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1F1F"/>
          <w:sz w:val="40"/>
          <w:szCs w:val="40"/>
        </w:rPr>
        <w:t xml:space="preserve">Kojo Website Audit: Feedback for Aizad</w:t>
      </w:r>
    </w:p>
    <w:p>
      <w:pPr>
        <w:spacing w:after="280"/>
      </w:pPr>
      <w:r>
        <w:rPr>
          <w:rFonts w:ascii="Arial" w:cs="Arial" w:eastAsia="Arial" w:hAnsi="Arial"/>
          <w:color w:val="5F6368"/>
          <w:sz w:val="20"/>
          <w:szCs w:val="20"/>
        </w:rPr>
        <w:t xml:space="preserve">Review of UseKojo_Website_Audit_Improvement_Plan.pptx (9 slides). Prepared by Jordan Pinto on 27 September 2026. Internal, not for the client.</w:t>
      </w:r>
    </w:p>
    <w:p>
      <w:pPr>
        <w:pStyle w:val="Heading1"/>
      </w:pPr>
      <w:r>
        <w:rPr>
          <w:rFonts w:ascii="Arial" w:cs="Arial" w:eastAsia="Arial" w:hAnsi="Arial"/>
        </w:rPr>
        <w:t xml:space="preserve">Summary</w:t>
      </w:r>
    </w:p>
    <w:p>
      <w:pPr>
        <w:spacing w:after="140" w:line="288"/>
      </w:pPr>
      <w:r>
        <w:rPr>
          <w:rFonts w:ascii="Arial" w:cs="Arial" w:eastAsia="Arial" w:hAnsi="Arial"/>
        </w:rPr>
        <w:t xml:space="preserve">Aizad, this document gives you my feedback on the Kojo website audit deck, slide by slide and section by section, so you can work through it in order.</w:t>
      </w:r>
    </w:p>
    <w:p>
      <w:pPr>
        <w:spacing w:after="140" w:line="288"/>
      </w:pPr>
      <w:r>
        <w:rPr>
          <w:rFonts w:ascii="Arial" w:cs="Arial" w:eastAsia="Arial" w:hAnsi="Arial"/>
        </w:rPr>
        <w:t xml:space="preserve">I checked every claim in the deck against the live site on 27 September 2026. I used a real browser on desktop (1440 pixels wide) and mobile (390 pixels wide), read the raw HTML, and sent test UTMs through the demo form. I covered ten pages: the homepage, /demo, /demo-request, /talk-with-an-expert, /pricing, /enterprise, the two landing pages named for Google campaigns (/lp/google-paid-search-comptv and /lp/google-ps-brand), and the electrical and mechanical trade pages.</w:t>
      </w:r>
    </w:p>
    <w:p>
      <w:pPr>
        <w:pStyle w:val="Heading2"/>
      </w:pPr>
      <w:r>
        <w:rPr>
          <w:rFonts w:ascii="Arial" w:cs="Arial" w:eastAsia="Arial" w:hAnsi="Arial"/>
        </w:rPr>
        <w:t xml:space="preserve">The verdict</w:t>
      </w:r>
    </w:p>
    <w:p>
      <w:pPr>
        <w:spacing w:after="140" w:line="288"/>
      </w:pPr>
      <w:r>
        <w:rPr>
          <w:rFonts w:ascii="Arial" w:cs="Arial" w:eastAsia="Arial" w:hAnsi="Arial"/>
        </w:rPr>
        <w:t xml:space="preserve">The deck needs a rebuild rather than a polish, for three reasons.</w:t>
      </w:r>
    </w:p>
    <w:p>
      <w:pPr>
        <w:pStyle w:val="ListParagraph"/>
        <w:numPr>
          <w:ilvl w:val="0"/>
          <w:numId w:val="2"/>
        </w:numPr>
        <w:spacing w:after="100" w:line="288"/>
      </w:pPr>
      <w:r>
        <w:rPr>
          <w:rFonts w:ascii="Arial" w:cs="Arial" w:eastAsia="Arial" w:hAnsi="Arial"/>
          <w:b/>
          <w:bCs/>
        </w:rPr>
        <w:t xml:space="preserve">Some findings do not hold up. </w:t>
      </w:r>
      <w:r>
        <w:rPr>
          <w:rFonts w:ascii="Arial" w:cs="Arial" w:eastAsia="Arial" w:hAnsi="Arial"/>
        </w:rPr>
        <w:t xml:space="preserve">Three of the four quick wins and one of the three major findings are wrong on the live site. Alex's team can check each one in a minute, and one wrong finding makes him doubt the rest of the proposal.</w:t>
      </w:r>
    </w:p>
    <w:p>
      <w:pPr>
        <w:pStyle w:val="ListParagraph"/>
        <w:numPr>
          <w:ilvl w:val="0"/>
          <w:numId w:val="2"/>
        </w:numPr>
        <w:spacing w:after="100" w:line="288"/>
      </w:pPr>
      <w:r>
        <w:rPr>
          <w:rFonts w:ascii="Arial" w:cs="Arial" w:eastAsia="Arial" w:hAnsi="Arial"/>
          <w:b/>
          <w:bCs/>
        </w:rPr>
        <w:t xml:space="preserve">The lens is off. </w:t>
      </w:r>
      <w:r>
        <w:rPr>
          <w:rFonts w:ascii="Arial" w:cs="Arial" w:eastAsia="Arial" w:hAnsi="Arial"/>
        </w:rPr>
        <w:t xml:space="preserve">The deck audits the site for accessibility and usability heuristics. Alex pays over $1,000 per lead and wants to know what the website can do about it. Every finding should connect to lead volume, lead quality or cost per lead.</w:t>
      </w:r>
    </w:p>
    <w:p>
      <w:pPr>
        <w:pStyle w:val="ListParagraph"/>
        <w:numPr>
          <w:ilvl w:val="0"/>
          <w:numId w:val="2"/>
        </w:numPr>
        <w:spacing w:after="100" w:line="288"/>
      </w:pPr>
      <w:r>
        <w:rPr>
          <w:rFonts w:ascii="Arial" w:cs="Arial" w:eastAsia="Arial" w:hAnsi="Arial"/>
          <w:b/>
          <w:bCs/>
        </w:rPr>
        <w:t xml:space="preserve">Part of the plan belongs to other people. </w:t>
      </w:r>
      <w:r>
        <w:rPr>
          <w:rFonts w:ascii="Arial" w:cs="Arial" w:eastAsia="Arial" w:hAnsi="Arial"/>
        </w:rPr>
        <w:t xml:space="preserve">Structured data and the content hub are Julian's work (SEO, AEO and GEO). The tracking audit belongs to the paid team, and slide 3 of the paid section already covers it. Your section should stay in the website lane: landing pages, forms, messaging, proof and conversion.</w:t>
      </w:r>
    </w:p>
    <w:p>
      <w:pPr>
        <w:spacing w:after="140" w:line="288"/>
      </w:pPr>
      <w:r>
        <w:rPr>
          <w:rFonts w:ascii="Arial" w:cs="Arial" w:eastAsia="Arial" w:hAnsi="Arial"/>
        </w:rPr>
        <w:t xml:space="preserve">Your strongest finding, message match, has the right instinct, and the live site gives you better evidence for it than the deck uses. Section 4 lists what you can add to sell website strategy, and Section 5 gives you a three-slide structure that fits the compiled deck.</w:t>
      </w:r>
    </w:p>
    <w:p>
      <w:pPr>
        <w:pStyle w:val="Heading2"/>
      </w:pPr>
      <w:r>
        <w:rPr>
          <w:rFonts w:ascii="Arial" w:cs="Arial" w:eastAsia="Arial" w:hAnsi="Arial"/>
        </w:rPr>
        <w:t xml:space="preserve">How to read the tables</w:t>
      </w:r>
    </w:p>
    <w:p>
      <w:pPr>
        <w:spacing w:after="140" w:line="288"/>
      </w:pPr>
      <w:r>
        <w:rPr>
          <w:rFonts w:ascii="Arial" w:cs="Arial" w:eastAsia="Arial" w:hAnsi="Arial"/>
        </w:rPr>
        <w:t xml:space="preserve">Each row names the slide section, summarizes what it says now, gives the feedback, and states the change. The label at the start of each change sets the priority.</w:t>
      </w:r>
    </w:p>
    <w:p>
      <w:pPr>
        <w:pStyle w:val="ListParagraph"/>
        <w:numPr>
          <w:ilvl w:val="0"/>
          <w:numId w:val="2"/>
        </w:numPr>
        <w:spacing w:after="100" w:line="288"/>
      </w:pPr>
      <w:r>
        <w:rPr>
          <w:rFonts w:ascii="Arial" w:cs="Arial" w:eastAsia="Arial" w:hAnsi="Arial"/>
          <w:b/>
          <w:bCs/>
          <w:color w:val="C0392B"/>
        </w:rPr>
        <w:t xml:space="preserve">Must fix: </w:t>
      </w:r>
      <w:r>
        <w:rPr>
          <w:rFonts w:ascii="Arial" w:cs="Arial" w:eastAsia="Arial" w:hAnsi="Arial"/>
        </w:rPr>
        <w:t xml:space="preserve">the slide states something the live site contradicts, or shows internal text the client should not see.</w:t>
      </w:r>
    </w:p>
    <w:p>
      <w:pPr>
        <w:pStyle w:val="ListParagraph"/>
        <w:numPr>
          <w:ilvl w:val="0"/>
          <w:numId w:val="2"/>
        </w:numPr>
        <w:spacing w:after="100" w:line="288"/>
      </w:pPr>
      <w:r>
        <w:rPr>
          <w:rFonts w:ascii="Arial" w:cs="Arial" w:eastAsia="Arial" w:hAnsi="Arial"/>
          <w:b/>
          <w:bCs/>
          <w:color w:val="B7791F"/>
        </w:rPr>
        <w:t xml:space="preserve">Rewrite: </w:t>
      </w:r>
      <w:r>
        <w:rPr>
          <w:rFonts w:ascii="Arial" w:cs="Arial" w:eastAsia="Arial" w:hAnsi="Arial"/>
        </w:rPr>
        <w:t xml:space="preserve">the point is valid but needs new framing or better evidence.</w:t>
      </w:r>
    </w:p>
    <w:p>
      <w:pPr>
        <w:pStyle w:val="ListParagraph"/>
        <w:numPr>
          <w:ilvl w:val="0"/>
          <w:numId w:val="2"/>
        </w:numPr>
        <w:spacing w:after="100" w:line="288"/>
      </w:pPr>
      <w:r>
        <w:rPr>
          <w:rFonts w:ascii="Arial" w:cs="Arial" w:eastAsia="Arial" w:hAnsi="Arial"/>
          <w:b/>
          <w:bCs/>
          <w:color w:val="6B7280"/>
        </w:rPr>
        <w:t xml:space="preserve">Remove: </w:t>
      </w:r>
      <w:r>
        <w:rPr>
          <w:rFonts w:ascii="Arial" w:cs="Arial" w:eastAsia="Arial" w:hAnsi="Arial"/>
        </w:rPr>
        <w:t xml:space="preserve">the point may be accurate, but it does not help Alex lower his cost per lead.</w:t>
      </w:r>
    </w:p>
    <w:p>
      <w:pPr>
        <w:pStyle w:val="ListParagraph"/>
        <w:numPr>
          <w:ilvl w:val="0"/>
          <w:numId w:val="2"/>
        </w:numPr>
        <w:spacing w:after="100" w:line="288"/>
      </w:pPr>
      <w:r>
        <w:rPr>
          <w:rFonts w:ascii="Arial" w:cs="Arial" w:eastAsia="Arial" w:hAnsi="Arial"/>
          <w:b/>
          <w:bCs/>
          <w:color w:val="2F855A"/>
        </w:rPr>
        <w:t xml:space="preserve">Keep: </w:t>
      </w:r>
      <w:r>
        <w:rPr>
          <w:rFonts w:ascii="Arial" w:cs="Arial" w:eastAsia="Arial" w:hAnsi="Arial"/>
        </w:rPr>
        <w:t xml:space="preserve">leave it as it is, or with the light edit noted.</w:t>
      </w:r>
    </w:p>
    <w:p>
      <w:pPr>
        <w:pStyle w:val="ListParagraph"/>
        <w:numPr>
          <w:ilvl w:val="0"/>
          <w:numId w:val="2"/>
        </w:numPr>
        <w:spacing w:after="100" w:line="288"/>
      </w:pPr>
      <w:r>
        <w:rPr>
          <w:rFonts w:ascii="Arial" w:cs="Arial" w:eastAsia="Arial" w:hAnsi="Arial"/>
          <w:b/>
          <w:bCs/>
          <w:color w:val="2B6CB0"/>
        </w:rPr>
        <w:t xml:space="preserve">Add: </w:t>
      </w:r>
      <w:r>
        <w:rPr>
          <w:rFonts w:ascii="Arial" w:cs="Arial" w:eastAsia="Arial" w:hAnsi="Arial"/>
        </w:rPr>
        <w:t xml:space="preserve">the slide is missing something the live site gives you.</w:t>
      </w:r>
    </w:p>
    <w:p>
      <w:pPr>
        <w:pStyle w:val="Heading1"/>
      </w:pPr>
      <w:r>
        <w:rPr>
          <w:rFonts w:ascii="Arial" w:cs="Arial" w:eastAsia="Arial" w:hAnsi="Arial"/>
        </w:rPr>
        <w:t xml:space="preserve">1. Factual corrections (fix these first)</w:t>
      </w:r>
    </w:p>
    <w:p>
      <w:pPr>
        <w:spacing w:after="140" w:line="288"/>
      </w:pPr>
      <w:r>
        <w:rPr>
          <w:rFonts w:ascii="Arial" w:cs="Arial" w:eastAsia="Arial" w:hAnsi="Arial"/>
        </w:rPr>
        <w:t xml:space="preserve">These claims appear on more than one slide. Fix them everywhere before you work through the slide-by-slide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900"/>
        <w:gridCol w:w="4076"/>
        <w:gridCol w:w="2150"/>
      </w:tblGrid>
      <w:tr>
        <w:trPr>
          <w:tblHeader/>
        </w:trPr>
        <w:tc>
          <w:tcPr>
            <w:tcW w:type="dxa" w:w="19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Claim in the deck</w:t>
            </w:r>
          </w:p>
        </w:tc>
        <w:tc>
          <w:tcPr>
            <w:tcW w:type="dxa" w:w="9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Slides</w:t>
            </w:r>
          </w:p>
        </w:tc>
        <w:tc>
          <w:tcPr>
            <w:tcW w:type="dxa" w:w="40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live site shows</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No lang attribute on the &lt;html&gt; tag</w:t>
            </w:r>
          </w:p>
        </w:tc>
        <w:tc>
          <w:tcPr>
            <w:tcW w:type="dxa" w:w="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3, 5, 8</w:t>
            </w:r>
          </w:p>
        </w:tc>
        <w:tc>
          <w:tcPr>
            <w:tcW w:type="dxa" w:w="40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Every page I checked serves &lt;html lang="en"&gt; in its raw HTML, before any script runs.</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it from the quick wins, the minor findings and Phase 1.</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Images and graphics lack alt text</w:t>
            </w:r>
          </w:p>
        </w:tc>
        <w:tc>
          <w:tcPr>
            <w:tcW w:type="dxa" w:w="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3, 4, 8</w:t>
            </w:r>
          </w:p>
        </w:tc>
        <w:tc>
          <w:tcPr>
            <w:tcW w:type="dxa" w:w="40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homepage serves 150 images and none is missing an alt attribute. Testimonial photos carry the person's name (for example, "Tom Milligan, Owner, Metro North Electric"), and the association logos are labeled.</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major finding, the quick win and the Phase 1 item.</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The only attribution source is a free-text field</w:t>
            </w:r>
          </w:p>
        </w:tc>
        <w:tc>
          <w:tcPr>
            <w:tcW w:type="dxa" w:w="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5</w:t>
            </w:r>
          </w:p>
        </w:tc>
        <w:tc>
          <w:tcPr>
            <w:tcW w:type="dxa" w:w="40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Every demo form carries hidden fields for utm_source, utm_medium, utm_campaign, utm_term, utm_content and page_url. I landed on a Google landing page with test UTMs, clicked through to the demo page, and the fields filled correctly. The real gaps are that Kojo's UTM cookies expire after about 29 minutes and the form has no field for click IDs such as the Google click ID.</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it. Slide 3 of the paid section already covers the cookie expiry and click IDs, so point to that slide instead of repeating it.</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The same social-share image weakens about $30K a month of Meta spend</w:t>
            </w:r>
          </w:p>
        </w:tc>
        <w:tc>
          <w:tcPr>
            <w:tcW w:type="dxa" w:w="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5, 8</w:t>
            </w:r>
          </w:p>
        </w:tc>
        <w:tc>
          <w:tcPr>
            <w:tcW w:type="dxa" w:w="40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Meta ads use their own creative. The share image (og:image) appears only when someone pastes a link into a post or a chat. The paid audit also found no active ads on either Kojo Meta page.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finding and the Phase 2 item for page-specific share images.</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"Complete meta and OG tags" and "Exactly one H1 per page"</w:t>
            </w:r>
          </w:p>
        </w:tc>
        <w:tc>
          <w:tcPr>
            <w:tcW w:type="dxa" w:w="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7</w:t>
            </w:r>
          </w:p>
        </w:tc>
        <w:tc>
          <w:tcPr>
            <w:tcW w:type="dxa" w:w="40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Both fail on the two Google landing pages. Neither has a share image, each has two H1 headings, and their browser-tab titles read "Google-Paid-Search-Comptv" and "Paid Search: Brand".</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both strengths. The landing page problems belong in a finding.</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"Read more" repeated about 40 times</w:t>
            </w:r>
          </w:p>
        </w:tc>
        <w:tc>
          <w:tcPr>
            <w:tcW w:type="dxa" w:w="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3, 4, 6, 8</w:t>
            </w:r>
          </w:p>
        </w:tc>
        <w:tc>
          <w:tcPr>
            <w:tcW w:type="dxa" w:w="40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homepage HTML contains 96 of these links because the carousel duplicates its cards. Every one of them points to the /customer-stories list page, not to the story on the card.</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Correct the count and reframe it as lost proof (see slide 4).</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The homepage and demo page carry the bulk of Kojo's paid traffic</w:t>
            </w:r>
          </w:p>
        </w:tc>
        <w:tc>
          <w:tcPr>
            <w:tcW w:type="dxa" w:w="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2</w:t>
            </w:r>
          </w:p>
        </w:tc>
        <w:tc>
          <w:tcPr>
            <w:tcW w:type="dxa" w:w="40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We have no account access, so we cannot know where paid traffic lands. The sitemap lists 12 /lp/ pages, and two of them are named for Google campaigns.</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claim and add the /lp/ pages to the scope.</w:t>
            </w:r>
          </w:p>
        </w:tc>
      </w:tr>
    </w:tbl>
    <w:p>
      <w:pPr>
        <w:pStyle w:val="Heading1"/>
      </w:pPr>
      <w:r>
        <w:rPr>
          <w:rFonts w:ascii="Arial" w:cs="Arial" w:eastAsia="Arial" w:hAnsi="Arial"/>
        </w:rPr>
        <w:t xml:space="preserve">2. Slide-by-slide feedback</w:t>
      </w:r>
    </w:p>
    <w:p>
      <w:pPr>
        <w:pStyle w:val="Heading2"/>
      </w:pPr>
      <w:r>
        <w:rPr>
          <w:rFonts w:ascii="Arial" w:cs="Arial" w:eastAsia="Arial" w:hAnsi="Arial"/>
        </w:rPr>
        <w:t xml:space="preserve">Slide 1: Title</w:t>
      </w:r>
    </w:p>
    <w:p>
      <w:pPr>
        <w:keepNext/>
        <w:spacing w:after="140" w:line="288"/>
      </w:pPr>
      <w:r>
        <w:rPr>
          <w:rFonts w:ascii="Arial" w:cs="Arial" w:eastAsia="Arial" w:hAnsi="Arial"/>
          <w:i/>
          <w:iCs/>
          <w:color w:val="5F6368"/>
          <w:sz w:val="19"/>
          <w:szCs w:val="19"/>
        </w:rPr>
        <w:t xml:space="preserve">In the compiled deck, the cover is shared with the paid section, so this slide drops out. Fix these points in case you send it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Headline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"Website Audit &amp; Improvement Plan"</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a label. The paid section's cover makes a specific promise to Alex, and a website cover should do the same.</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Lead with the main finding, for example "Your paid clicks land on your weakest pages."</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Subtitle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Names usekojo.com, the homepage and the demo-request landing page</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scope is too narrow (see slide 2), and the line uses an em dash, which our writing standards ban.</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Drop the page list or widen it, and replace the em dash with a comma or a colon.</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Footer, line 1</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"Prepared for UseKojo prospecting engagement"</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our internal language, and it tells the client we see them as a prospect. The company is Kojo; UseKojo is the domain.</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line, and say "Kojo" everywhere.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Footer, line 2</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"Toggle Group Sdn. Bhd." and September 2026</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legal entity name is wrong.</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Use "Toggle Solutions Group Sdn. Bhd.", or match the paid cover and drop the entity name.</w:t>
            </w:r>
          </w:p>
        </w:tc>
      </w:tr>
    </w:tbl>
    <w:p>
      <w:pPr>
        <w:pStyle w:val="Heading2"/>
      </w:pPr>
      <w:r>
        <w:rPr>
          <w:rFonts w:ascii="Arial" w:cs="Arial" w:eastAsia="Arial" w:hAnsi="Arial"/>
        </w:rPr>
        <w:t xml:space="preserve">Slide 2: Scope &amp; Methodology</w:t>
      </w:r>
    </w:p>
    <w:p>
      <w:pPr>
        <w:keepNext/>
        <w:spacing w:after="140" w:line="288"/>
      </w:pPr>
      <w:r>
        <w:rPr>
          <w:rFonts w:ascii="Arial" w:cs="Arial" w:eastAsia="Arial" w:hAnsi="Arial"/>
          <w:i/>
          <w:iCs/>
          <w:color w:val="5F6368"/>
          <w:sz w:val="19"/>
          <w:szCs w:val="19"/>
        </w:rPr>
        <w:t xml:space="preserve">In the compiled deck, the method moves into a one-line source note, as the paid slides do. This slide drops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1. Pages reviewed</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The homepage and the demo-request page, described as the two pages that carry most of Kojo's paid traffic</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We cannot know where paid traffic lands without account access. The scope also misses the pages that matter most for paid: the /lp/ landing pages (two are named for Google campaigns) and the electrical and mechanical trade pages.</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traffic claim. Review the /lp/ pages, both trade pages, /pricing and the demo form.</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2. Method</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15 principles from Nielsen, Norman, Constantine &amp; Lockwood and WCAG, verified with live browser screenshots</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Alex does not buy usability heuristics; he buys a lower cost per lead. Naming academic frameworks makes the audit sound like a compliance review.</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Use one line that says which pages, which devices, which date, and that we used public sources only.</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3. Severity scale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A 0 to 4 scale, from cosmetic to task failure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Nielsen's scale, and it ranks findings by user frustration, not by money. Alex cannot map "severity 3" to his budget.</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Group findings by impact: "loses leads", "blurs lead data" and "hygiene". Leave hygiene out of the client deck.</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Limitations box</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Says exact color contrast, JavaScript behavior and script-loaded content could not be verified</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contradicts the method line, which says you verified the findings in a live browser. The lang and alt-text errors suggest the audit read something other than the live page. A client reads this box as "we are not sure".</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6B7280"/>
                <w:sz w:val="18"/>
                <w:szCs w:val="18"/>
              </w:rPr>
              <w:t xml:space="preserve">Remove: </w:t>
            </w:r>
            <w:r>
              <w:rPr>
                <w:rFonts w:ascii="Arial" w:cs="Arial" w:eastAsia="Arial" w:hAnsi="Arial"/>
                <w:sz w:val="18"/>
                <w:szCs w:val="18"/>
              </w:rPr>
              <w:t xml:space="preserve">If you need a caveat, put it in the source note and name what you could not check.</w:t>
            </w:r>
          </w:p>
        </w:tc>
      </w:tr>
    </w:tbl>
    <w:p>
      <w:pPr>
        <w:pStyle w:val="Heading2"/>
      </w:pPr>
      <w:r>
        <w:rPr>
          <w:rFonts w:ascii="Arial" w:cs="Arial" w:eastAsia="Arial" w:hAnsi="Arial"/>
        </w:rPr>
        <w:t xml:space="preserve">Slide 3: Audit Summary</w:t>
      </w:r>
    </w:p>
    <w:p>
      <w:pPr>
        <w:keepNext/>
        <w:spacing w:after="140" w:line="288"/>
      </w:pPr>
      <w:r>
        <w:rPr>
          <w:rFonts w:ascii="Arial" w:cs="Arial" w:eastAsia="Arial" w:hAnsi="Arial"/>
          <w:i/>
          <w:iCs/>
          <w:color w:val="5F6368"/>
          <w:sz w:val="19"/>
          <w:szCs w:val="19"/>
        </w:rPr>
        <w:t xml:space="preserve">In the compiled deck, your summary becomes one "What we found" line and one "What we do" line on shared slide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Headline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"10 findings, none catastrophic. A solid foundation, with a few gaps quietly costing Kojo money..."</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tells Alex his site is fine, which undercuts the website service we want to sell. It also sits badly next to the $1,000+ cost per lead he is trying to fix.</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State the most expensive problem in one sentence, with a fact Alex can check.</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Total findings and severity chart</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"10" total, with a bar chart of 2 cosmetic, 5 minor, 3 major and 0 catastrophe</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 count of findings by severity tells Alex nothing about leads or money.</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6B7280"/>
                <w:sz w:val="18"/>
                <w:szCs w:val="18"/>
              </w:rPr>
              <w:t xml:space="preserve">Remove: </w:t>
            </w:r>
            <w:r>
              <w:rPr>
                <w:rFonts w:ascii="Arial" w:cs="Arial" w:eastAsia="Arial" w:hAnsi="Arial"/>
                <w:sz w:val="18"/>
                <w:szCs w:val="18"/>
              </w:rPr>
              <w:t xml:space="preserve">Cut the number and the chart.</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Quick wins box</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Add lang="en"; alt-text sweep; de-duplicate the Read more links; message-match the demo-request headline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Two of the four are wrong (lang and alt text). The Read more item needs reframing, and the message-match item points at the wrong page.</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Replace with verified quick wins: fix the cut-off checklist on the competitor landing page, switch reCAPTCHA to its production setup, start the trade dropdown blank, fix the landing page tab titles, and point each Read more link to its own story.</w:t>
            </w:r>
          </w:p>
        </w:tc>
      </w:tr>
    </w:tbl>
    <w:p>
      <w:pPr>
        <w:pStyle w:val="Heading2"/>
      </w:pPr>
      <w:r>
        <w:rPr>
          <w:rFonts w:ascii="Arial" w:cs="Arial" w:eastAsia="Arial" w:hAnsi="Arial"/>
        </w:rPr>
        <w:t xml:space="preserve">Slide 4: Major Findings</w:t>
      </w:r>
    </w:p>
    <w:p>
      <w:pPr>
        <w:keepNext/>
        <w:spacing w:after="140" w:line="288"/>
      </w:pPr>
      <w:r>
        <w:rPr>
          <w:rFonts w:ascii="Arial" w:cs="Arial" w:eastAsia="Arial" w:hAnsi="Arial"/>
          <w:i/>
          <w:iCs/>
          <w:color w:val="5F6368"/>
          <w:sz w:val="19"/>
          <w:szCs w:val="19"/>
        </w:rPr>
        <w:t xml:space="preserve">This is your strongest material. Card 3 becomes the core of your first slide in the compiled deck.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Subtitle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"Severity 3", described as users struggling significantly</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jargon from the Nielsen scale, and the line uses an em dash.</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Replace it with an impact label such as "These cost you leads", or remove it.</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Card 1: alt text</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Product shots, testimonials and diagrams carry no alt text</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Wrong on the live site (Section 1, row 2).</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card.</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Card 2: Read more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Identical "Read more" links on every testimonial card leave screen-reader users unable to tell the stories apart</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accessibility angle does not help Alex. The stronger point is that all 96 links go to the /customer-stories list page. A contractor who wants the Edge Electric $30,000 conduit story clicks and lands on a list of 31 stories, then has to hunt for it.</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Frame it as lost proof: each card should open its own story. Drop the "Recognition / Accessibility" tag.</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Card 3: message match</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The demo-request headline does not match the homepage or likely ad copy, and is a probable driver of the $1,000+ cost per lead</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Right instinct, weak evidence. "Likely ad copy" shows the ads were not checked, and the paid audit already has them. The Google ad in the paid audit reads "Construction Tracking App - Construction PO Software". The competitor landing page (/lp/google-paid-search-comptv) leads with "Choose the right tool for the job" and never names a competitor. The brand landing page leads with "The Leading Material Management Solution for Speciality Contractors", using the British "Speciality" while its body text says "specialty". Neither page mentions Kojo AI or a distributor.</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Show the real ad and the real landing page side by side. Change "a probable driver" to "one likely contributor we can test", since we cannot prove the cause without account access.</w:t>
            </w:r>
          </w:p>
        </w:tc>
      </w:tr>
    </w:tbl>
    <w:p>
      <w:pPr>
        <w:pStyle w:val="Heading2"/>
      </w:pPr>
      <w:r>
        <w:rPr>
          <w:rFonts w:ascii="Arial" w:cs="Arial" w:eastAsia="Arial" w:hAnsi="Arial"/>
        </w:rPr>
        <w:t xml:space="preserve">Slide 5: Minor &amp; Cosmetic Findings</w:t>
      </w:r>
    </w:p>
    <w:p>
      <w:pPr>
        <w:keepNext/>
        <w:spacing w:after="140" w:line="288"/>
      </w:pPr>
      <w:r>
        <w:rPr>
          <w:rFonts w:ascii="Arial" w:cs="Arial" w:eastAsia="Arial" w:hAnsi="Arial"/>
          <w:i/>
          <w:iCs/>
          <w:color w:val="5F6368"/>
          <w:sz w:val="19"/>
          <w:szCs w:val="19"/>
        </w:rPr>
        <w:t xml:space="preserve">Most of this slide drops out. Two items survive and move into your second slide, on the form and lead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Demo form dropdown and attribution</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"What's your trade?" defaults to Electrical, and the only attribution source is a free-text field</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dropdown point is valid, and the stronger reason is data quality. Any mechanical contractor who skips the field gets recorded as electrical, which corrupts the trade split Kojo will use to judge its electrical and mechanical campaigns. The attribution half is wrong (Section 1, row 3). You also missed a bigger form issue: the form has 8 required fields and none asks about company size, although the ICP is $25M+ in revenue. A hidden "annual construction volume" field exists, and the foremen question is optional.</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Keep the dropdown point with the data-quality reason, drop the attribution claim, and add the missing size question.</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No lang attribute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Screen readers and translation tools may mishandle the page</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Wrong (Section 1, row 1).</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Testimonial carousel very dense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40+ testimonials add page weight and slow the page for paid traffic</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unmeasured. On mobile, the pages I checked load 3.6 to 4.0 MB over 188 to 219 requests, and scripts make up most of it: 2.2 to 3.2 MB of JavaScript from 27 third-party domains.</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Run Google PageSpeed Insights (mobile) on the landing pages and the demo page, quote the real scores, and name the scripts as the cause.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Same social-share image everywhere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One 2022 image represents every page, which is weak for about $30K a month of Meta spend</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Meta logic does not hold (Section 1, row 4).</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No visible instant-booking cue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The CTA does not signal that booking is immediate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Valid. Chili Piper already offers a meeting time straight after the form, so telling visitors they can pick a time on the next screen can lift the share of form fills that book.</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2F855A"/>
                <w:sz w:val="18"/>
                <w:szCs w:val="18"/>
              </w:rPr>
              <w:t xml:space="preserve">Keep: </w:t>
            </w:r>
            <w:r>
              <w:rPr>
                <w:rFonts w:ascii="Arial" w:cs="Arial" w:eastAsia="Arial" w:hAnsi="Arial"/>
                <w:sz w:val="18"/>
                <w:szCs w:val="18"/>
              </w:rPr>
              <w:t xml:space="preserve">Tie it to one metric: the form-to-booking rate.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Generic icon alt text</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Demo-page icons use alt="icon" instead of describing the benefit</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demo-request page uses "timer icon", "document icon" and "office icon". This is hygiene with no effect on leads.</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6B7280"/>
                <w:sz w:val="18"/>
                <w:szCs w:val="18"/>
              </w:rPr>
              <w:t xml:space="preserve">Remove: </w:t>
            </w:r>
            <w:r>
              <w:rPr>
                <w:rFonts w:ascii="Arial" w:cs="Arial" w:eastAsia="Arial" w:hAnsi="Arial"/>
                <w:sz w:val="18"/>
                <w:szCs w:val="18"/>
              </w:rPr>
              <w:t xml:space="preserve">Cut it from the client deck.</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No cookie or consent banner</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Low risk for a US-only audience, worth a quick legal check</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HubSpot's cookie-banner script loads, but no banner showed from our location. The site also runs Meta, LinkedIn, 6sense, ZoomInfo and Warmly tags, so calling it low risk is not our call. It is a legal question, not a lead question.</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6B7280"/>
                <w:sz w:val="18"/>
                <w:szCs w:val="18"/>
              </w:rPr>
              <w:t xml:space="preserve">Remove: </w:t>
            </w:r>
            <w:r>
              <w:rPr>
                <w:rFonts w:ascii="Arial" w:cs="Arial" w:eastAsia="Arial" w:hAnsi="Arial"/>
                <w:sz w:val="18"/>
                <w:szCs w:val="18"/>
              </w:rPr>
              <w:t xml:space="preserve">Take it out of the client deck. Raise it with me if you want to flag it to Alex separately.</w:t>
            </w:r>
          </w:p>
        </w:tc>
      </w:tr>
    </w:tbl>
    <w:p>
      <w:pPr>
        <w:pStyle w:val="Heading2"/>
      </w:pPr>
      <w:r>
        <w:rPr>
          <w:rFonts w:ascii="Arial" w:cs="Arial" w:eastAsia="Arial" w:hAnsi="Arial"/>
        </w:rPr>
        <w:t xml:space="preserve">Slide 6: Visual Evidence</w:t>
      </w:r>
    </w:p>
    <w:p>
      <w:pPr>
        <w:keepNext/>
        <w:spacing w:after="140" w:line="288"/>
      </w:pPr>
      <w:r>
        <w:rPr>
          <w:rFonts w:ascii="Arial" w:cs="Arial" w:eastAsia="Arial" w:hAnsi="Arial"/>
          <w:i/>
          <w:iCs/>
          <w:color w:val="5F6368"/>
          <w:sz w:val="19"/>
          <w:szCs w:val="19"/>
        </w:rPr>
        <w:t xml:space="preserve">Screenshots are the right idea. Use them to show the problems that cost Kojo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Left screenshot: testimonials</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The carousel with "Read more" on each card, tagged major</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image does not show the problem, because the problem is where the link goes.</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If you keep it, annotate that every card opens the same list page.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Right screenshot: demo form</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The form with the trade field set to Electrical, tagged minor</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one is useful.</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2F855A"/>
                <w:sz w:val="18"/>
                <w:szCs w:val="18"/>
              </w:rPr>
              <w:t xml:space="preserve">Keep: </w:t>
            </w:r>
            <w:r>
              <w:rPr>
                <w:rFonts w:ascii="Arial" w:cs="Arial" w:eastAsia="Arial" w:hAnsi="Arial"/>
                <w:sz w:val="18"/>
                <w:szCs w:val="18"/>
              </w:rPr>
              <w:t xml:space="preserve">Annotate the Electrical default and the missing company-size question.</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Missing evidence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Not on the slide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live site gives you two stronger screenshots (see Figure 1). On the competitor landing page, the benefit checklist is cut off on desktop and mobile ("Gained visibility across tl... purchasi..."). Every demo form I loaded shows Google's red warning next to the submit area: "This reCAPTCHA is for testing purposes only. Please report to the site admin if you are seeing this." That likely means the spam check is not blocking bots, which would add junk leads to the count. I saw it in headless Chrome, so confirm it in a normal browser before it goes on a slide.</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2B6CB0"/>
                <w:sz w:val="18"/>
                <w:szCs w:val="18"/>
              </w:rPr>
              <w:t xml:space="preserve">Add: </w:t>
            </w:r>
            <w:r>
              <w:rPr>
                <w:rFonts w:ascii="Arial" w:cs="Arial" w:eastAsia="Arial" w:hAnsi="Arial"/>
                <w:sz w:val="18"/>
                <w:szCs w:val="18"/>
              </w:rPr>
              <w:t xml:space="preserve">Add both screenshots, plus the ad and the landing page side by side from slide 4.</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Caption</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Says the live screenshots corrected the initial static-markup read of the demo form</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an internal admission that the first pass was wrong. The client should never read it.</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caption.</w:t>
            </w:r>
          </w:p>
        </w:tc>
      </w:tr>
    </w:tbl>
    <w:p>
      <w:pPr>
        <w:spacing w:after="120"/>
      </w:pPr>
    </w:p>
    <w:p>
      <w:pPr>
        <w:spacing w:after="8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29000"/>
                    </a:xfrm>
                    <a:prstGeom prst="rect">
                      <a:avLst/>
                    </a:prstGeom>
                  </pic:spPr>
                </pic:pic>
              </a:graphicData>
            </a:graphic>
          </wp:inline>
        </w:drawing>
      </w:r>
    </w:p>
    <w:p>
      <w:pPr>
        <w:keepNext/>
        <w:spacing w:after="140" w:line="288"/>
      </w:pPr>
      <w:r>
        <w:rPr>
          <w:rFonts w:ascii="Arial" w:cs="Arial" w:eastAsia="Arial" w:hAnsi="Arial"/>
          <w:i/>
          <w:iCs/>
          <w:color w:val="5F6368"/>
          <w:sz w:val="19"/>
          <w:szCs w:val="19"/>
        </w:rPr>
        <w:t xml:space="preserve">Figure 1. The competitor landing page (/lp/google-paid-search-comptv) on desktop, 27 September 2026. The benefit checklist on the left is cut off, and the red reCAPTCHA test warning sits at the bottom of the form.</w:t>
      </w:r>
    </w:p>
    <w:p>
      <w:pPr>
        <w:pStyle w:val="Heading2"/>
      </w:pPr>
      <w:r>
        <w:rPr>
          <w:rFonts w:ascii="Arial" w:cs="Arial" w:eastAsia="Arial" w:hAnsi="Arial"/>
        </w:rPr>
        <w:t xml:space="preserve">Slide 7: Strengths</w:t>
      </w:r>
    </w:p>
    <w:p>
      <w:pPr>
        <w:keepNext/>
        <w:spacing w:after="140" w:line="288"/>
      </w:pPr>
      <w:r>
        <w:rPr>
          <w:rFonts w:ascii="Arial" w:cs="Arial" w:eastAsia="Arial" w:hAnsi="Arial"/>
          <w:i/>
          <w:iCs/>
          <w:color w:val="5F6368"/>
          <w:sz w:val="19"/>
          <w:szCs w:val="19"/>
        </w:rPr>
        <w:t xml:space="preserve">A strengths slide shows we are fair, which is a good instinct. In the compiled deck, fold one strength into your first finding slide instead of giving it a full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Subtitle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"What NOT to change"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idea is fine. The capitals read as shouting.</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Use "What to keep".</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Clean heading structure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Exactly one H1 per page, with a logical H2 and H3 hierarchy</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false on the landing pages (two H1s each), and heading structure is an SEO point that belongs to Julian.</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Complete meta and OG tags</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Title, description and social-card tags all filled in</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False on the landing pages (Section 1, row 5).</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One consistent primary CTA</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"Get a Demo" dominates, with no competing buttons</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Mostly fair. The homepage also shows Pricing, See it in action and Contact Us, so "no competing buttons" overstates it.</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2F855A"/>
                <w:sz w:val="18"/>
                <w:szCs w:val="18"/>
              </w:rPr>
              <w:t xml:space="preserve">Keep: </w:t>
            </w:r>
            <w:r>
              <w:rPr>
                <w:rFonts w:ascii="Arial" w:cs="Arial" w:eastAsia="Arial" w:hAnsi="Arial"/>
                <w:sz w:val="18"/>
                <w:szCs w:val="18"/>
              </w:rPr>
              <w:t xml:space="preserve">Edit it to "Get a Demo leads on every page."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Strong, attributed social proof</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Named testimonials, trade-association logos and the SOC 2 badge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True, and the most valuable strength. Kojo has 31 customer stories, many with dollar results: K2 Electric found $270K, Tutor Electrical cut its PO cost from $68 to $6, and Edge Electric saved $30,000 on conduit.</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2F855A"/>
                <w:sz w:val="18"/>
                <w:szCs w:val="18"/>
              </w:rPr>
              <w:t xml:space="preserve">Keep: </w:t>
            </w:r>
            <w:r>
              <w:rPr>
                <w:rFonts w:ascii="Arial" w:cs="Arial" w:eastAsia="Arial" w:hAnsi="Arial"/>
                <w:sz w:val="18"/>
                <w:szCs w:val="18"/>
              </w:rPr>
              <w:t xml:space="preserve">Make it specific: the proof exists, but the landing pages do not use it by trade.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Zoom-friendly viewport</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No scale blocking that would lock out low-vision users</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Hygiene. It does not affect leads.</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6B7280"/>
                <w:sz w:val="18"/>
                <w:szCs w:val="18"/>
              </w:rPr>
              <w:t xml:space="preserve">Remove: </w:t>
            </w:r>
            <w:r>
              <w:rPr>
                <w:rFonts w:ascii="Arial" w:cs="Arial" w:eastAsia="Arial" w:hAnsi="Arial"/>
                <w:sz w:val="18"/>
                <w:szCs w:val="18"/>
              </w:rPr>
              <w:t xml:space="preserve">Cut it.</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Accessible mobile navigation and screenshot</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A working hamburger menu at 375 pixels wide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Hygiene. It does not affect leads.</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6B7280"/>
                <w:sz w:val="18"/>
                <w:szCs w:val="18"/>
              </w:rPr>
              <w:t xml:space="preserve">Remove: </w:t>
            </w:r>
            <w:r>
              <w:rPr>
                <w:rFonts w:ascii="Arial" w:cs="Arial" w:eastAsia="Arial" w:hAnsi="Arial"/>
                <w:sz w:val="18"/>
                <w:szCs w:val="18"/>
              </w:rPr>
              <w:t xml:space="preserve">Cut it and replace the screenshot.</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Missing strength</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Not on the slide</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best page on the site is /trades/electrical-contractors. It names Wesco, Graybar, Rexel and CED (the distributor-pricing edge Alex described), has a Kojo AI section, shows dollar results and an FAQ, and embeds the demo form that goes straight to Chili Piper for booking.</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2B6CB0"/>
                <w:sz w:val="18"/>
                <w:szCs w:val="18"/>
              </w:rPr>
              <w:t xml:space="preserve">Add: </w:t>
            </w:r>
            <w:r>
              <w:rPr>
                <w:rFonts w:ascii="Arial" w:cs="Arial" w:eastAsia="Arial" w:hAnsi="Arial"/>
                <w:sz w:val="18"/>
                <w:szCs w:val="18"/>
              </w:rPr>
              <w:t xml:space="preserve">Present it as the template: "Your paid traffic should land on pages like this one."</w:t>
            </w:r>
          </w:p>
        </w:tc>
      </w:tr>
    </w:tbl>
    <w:p>
      <w:pPr>
        <w:pStyle w:val="Heading2"/>
      </w:pPr>
      <w:r>
        <w:rPr>
          <w:rFonts w:ascii="Arial" w:cs="Arial" w:eastAsia="Arial" w:hAnsi="Arial"/>
        </w:rPr>
        <w:t xml:space="preserve">Slide 8: Improvement Plan</w:t>
      </w:r>
    </w:p>
    <w:p>
      <w:pPr>
        <w:keepNext/>
        <w:spacing w:after="140" w:line="288"/>
      </w:pPr>
      <w:r>
        <w:rPr>
          <w:rFonts w:ascii="Arial" w:cs="Arial" w:eastAsia="Arial" w:hAnsi="Arial"/>
          <w:i/>
          <w:iCs/>
          <w:color w:val="5F6368"/>
          <w:sz w:val="19"/>
          <w:szCs w:val="19"/>
        </w:rPr>
        <w:t xml:space="preserve">This becomes your third slide in the compiled deck. It needs months, owners and metrics that line up with the paid plan (October, November and December).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Subtitle</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Phased to match Kojo's timeline, sitting alongside the Semrush-based brand audit</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Internal language. Alex does not need to know which tool we used, and the line uses an em dash.</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the Semrush reference.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Phase 1 (1 to 2 weeks, "Immediate")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Add lang="en", alt-text sweep, de-duplicate Read more links, confirm the form and calendar load reliably</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Two of the four items are wrong, and the phase has no fix that affects leads.</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Make it October: the reCAPTCHA production setup, the cut-off checklist, a blank trade default, landing page titles, Read more links to each story, and a check that Chili Piper books reliably after the form.</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Phase 2 (2 to 6 weeks, "Fix the CPL drivers")</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Message-matched pages per vertical, 6 to 8 curated testimonials, page-specific share images, a clearer instant-booking CTA</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Message-matched pages is the right core, so make it specific to the paid campaigns. Curated testimonials work better as trade-matched proof on each page. Share images go (Section 1, row 4). The booking cue stays.</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Make it November: landing pages for electrical, mechanical, invoice and AP, competitor, and data center, each built from the electrical page template and carrying that trade's customer proof.</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Phase 3 (6 to 12 weeks, "AEO / GEO alignment")</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Structured data, a "How it works" content hub, a tag manager and tracking audit</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None of this is website strategy. Structured data and the content hub are Julian's. The tracking audit sits on paid slide 3 and belongs to the paid team.</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 all three. Replace them with December: account-based personalization, competitor comparison pages and a first test read.</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Timing</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1 to 2 weeks, 2 to 6 weeks, 6 to 12 weeks</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These spans do not match the October to December engagement in the paid plan.</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Label the phases by month.</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Owners and metrics</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Not on the slide</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Alex's gap is that nobody owns web strategy, while an outsourced developer and designer do the building. The plan has to say who does what.</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2B6CB0"/>
                <w:sz w:val="18"/>
                <w:szCs w:val="18"/>
              </w:rPr>
              <w:t xml:space="preserve">Add: </w:t>
            </w:r>
            <w:r>
              <w:rPr>
                <w:rFonts w:ascii="Arial" w:cs="Arial" w:eastAsia="Arial" w:hAnsi="Arial"/>
                <w:sz w:val="18"/>
                <w:szCs w:val="18"/>
              </w:rPr>
              <w:t xml:space="preserve">Give each item an owner (Toggle or Kojo's developer) and give each month one metric.</w:t>
            </w:r>
          </w:p>
        </w:tc>
      </w:tr>
    </w:tbl>
    <w:p>
      <w:pPr>
        <w:pStyle w:val="Heading2"/>
      </w:pPr>
      <w:r>
        <w:rPr>
          <w:rFonts w:ascii="Arial" w:cs="Arial" w:eastAsia="Arial" w:hAnsi="Arial"/>
        </w:rPr>
        <w:t xml:space="preserve">Slide 9: Next Steps</w:t>
      </w:r>
    </w:p>
    <w:p>
      <w:pPr>
        <w:keepNext/>
        <w:spacing w:after="140" w:line="288"/>
      </w:pPr>
      <w:r>
        <w:rPr>
          <w:rFonts w:ascii="Arial" w:cs="Arial" w:eastAsia="Arial" w:hAnsi="Arial"/>
          <w:i/>
          <w:iCs/>
          <w:color w:val="5F6368"/>
          <w:sz w:val="19"/>
          <w:szCs w:val="19"/>
        </w:rPr>
        <w:t xml:space="preserve">This slide is an internal to-do list. The compiled deck already has a shared next-step slide (slide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2150"/>
        <w:gridCol w:w="3376"/>
        <w:gridCol w:w="1950"/>
      </w:tblGrid>
      <w:tr>
        <w:trPr>
          <w:tblHeader/>
        </w:trPr>
        <w:tc>
          <w:tcPr>
            <w:tcW w:type="dxa" w:w="15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Section</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the slide says now</w:t>
            </w:r>
          </w:p>
        </w:tc>
        <w:tc>
          <w:tcPr>
            <w:tcW w:type="dxa" w:w="33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19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Item 1</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Deliver the brand audit and proposal to Alex, targeting 1 to 2 October</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internal, and the date conflicts with our hard deadline of 1 October.</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Item 2</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Send the company profile deck and B2B SaaS case studies</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I sent both on 24 September.</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w:t>
            </w:r>
          </w:p>
        </w:tc>
      </w:tr>
      <w:tr>
        <w:trPr>
          <w:cantSplit/>
        </w:trPr>
        <w:tc>
          <w:tcPr>
            <w:tcW w:type="dxa" w:w="15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Item 3</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Fold this usability review into the paid media and web strategy scope</w:t>
            </w:r>
          </w:p>
        </w:tc>
        <w:tc>
          <w:tcPr>
            <w:tcW w:type="dxa" w:w="33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This is internal planning, not a client next step.</w:t>
            </w:r>
          </w:p>
        </w:tc>
        <w:tc>
          <w:tcPr>
            <w:tcW w:type="dxa" w:w="19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Remove.</w:t>
            </w:r>
          </w:p>
        </w:tc>
      </w:tr>
      <w:tr>
        <w:trPr>
          <w:cantSplit/>
        </w:trPr>
        <w:tc>
          <w:tcPr>
            <w:tcW w:type="dxa" w:w="15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Footer</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Full findings, screenshots and the phased plan live in the companion audit document</w:t>
            </w:r>
          </w:p>
        </w:tc>
        <w:tc>
          <w:tcPr>
            <w:tcW w:type="dxa" w:w="33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If the companion document exists, it probably carries the same wrong findings. If it does not exist, the line promises something we cannot send.</w:t>
            </w:r>
          </w:p>
        </w:tc>
        <w:tc>
          <w:tcPr>
            <w:tcW w:type="dxa" w:w="19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Correct the companion document, or remove the line.</w:t>
            </w:r>
          </w:p>
        </w:tc>
      </w:tr>
    </w:tbl>
    <w:p>
      <w:pPr>
        <w:pStyle w:val="Heading1"/>
      </w:pPr>
      <w:r>
        <w:rPr>
          <w:rFonts w:ascii="Arial" w:cs="Arial" w:eastAsia="Arial" w:hAnsi="Arial"/>
        </w:rPr>
        <w:t xml:space="preserve">3. Deck-wide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3876"/>
        <w:gridCol w:w="2150"/>
      </w:tblGrid>
      <w:tr>
        <w:trPr>
          <w:tblHeader/>
        </w:trPr>
        <w:tc>
          <w:tcPr>
            <w:tcW w:type="dxa" w:w="15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Issue</w:t>
            </w:r>
          </w:p>
        </w:tc>
        <w:tc>
          <w:tcPr>
            <w:tcW w:type="dxa" w:w="15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Where</w:t>
            </w:r>
          </w:p>
        </w:tc>
        <w:tc>
          <w:tcPr>
            <w:tcW w:type="dxa" w:w="387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Feedback</w:t>
            </w:r>
          </w:p>
        </w:tc>
        <w:tc>
          <w:tcPr>
            <w:tcW w:type="dxa" w:w="215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change</w:t>
            </w:r>
          </w:p>
        </w:tc>
      </w:tr>
      <w:tr>
        <w:trPr>
          <w:cantSplit/>
        </w:trPr>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Length</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All 9 slides</w:t>
            </w:r>
          </w:p>
        </w:tc>
        <w:tc>
          <w:tcPr>
            <w:tcW w:type="dxa" w:w="38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paid section's compile rule gives each other pillar at most three slides, plus points added to shared slides 2, 7 and 8, so the full deck stays near 14 slides.</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Cut to three slides (Section 5).</w:t>
            </w:r>
          </w:p>
        </w:tc>
      </w:tr>
      <w:tr>
        <w:trPr>
          <w:cantSplit/>
        </w:trPr>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Lens</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Every slide</w:t>
            </w:r>
          </w:p>
        </w:tc>
        <w:tc>
          <w:tcPr>
            <w:tcW w:type="dxa" w:w="38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deck reads as an accessibility review. Alex is a Head of Marketing with a $1,000+ cost per lead and a $50,000 monthly cap.</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Tie each finding to lead volume, lead quality or cost per lead, or cut it.</w:t>
            </w:r>
          </w:p>
        </w:tc>
      </w:tr>
      <w:tr>
        <w:trPr>
          <w:cantSplit/>
        </w:trPr>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Em dashes</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Almost every slide</w:t>
            </w:r>
          </w:p>
        </w:tc>
        <w:tc>
          <w:tcPr>
            <w:tcW w:type="dxa" w:w="38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Our writing standards (brain/voice/writing-standards.md) ban em dashes in any text a client reads.</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Replace each one with a comma, a colon, parentheses or a new sentence.</w:t>
            </w:r>
          </w:p>
        </w:tc>
      </w:tr>
      <w:tr>
        <w:trPr>
          <w:cantSplit/>
        </w:trPr>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Fonts</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Every slide</w:t>
            </w:r>
          </w:p>
        </w:tc>
        <w:tc>
          <w:tcPr>
            <w:tcW w:type="dxa" w:w="38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Inter and Plus Jakarta Sans are not embedded. When I rendered the deck on the Windows desktop, PowerPoint substituted a font and repeated words at line breaks ("identical identical", "per per vertical", "Product, Product", "screenshots. screenshots."). The slide text itself is correct, so this is a rendering risk on Alex's machine.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Embed the fonts or match the paid deck's format, and check the file on a Mac before sending.</w:t>
            </w:r>
          </w:p>
        </w:tc>
      </w:tr>
      <w:tr>
        <w:trPr>
          <w:cantSplit/>
        </w:trPr>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Company name</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Slide 1 and every footer</w:t>
            </w:r>
          </w:p>
        </w:tc>
        <w:tc>
          <w:tcPr>
            <w:tcW w:type="dxa" w:w="387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deck says "UseKojo" in places. The company is Kojo.</w:t>
            </w:r>
          </w:p>
        </w:tc>
        <w:tc>
          <w:tcPr>
            <w:tcW w:type="dxa" w:w="215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color w:val="C0392B"/>
                <w:sz w:val="18"/>
                <w:szCs w:val="18"/>
              </w:rPr>
              <w:t xml:space="preserve">Must fix: </w:t>
            </w:r>
            <w:r>
              <w:rPr>
                <w:rFonts w:ascii="Arial" w:cs="Arial" w:eastAsia="Arial" w:hAnsi="Arial"/>
                <w:sz w:val="18"/>
                <w:szCs w:val="18"/>
              </w:rPr>
              <w:t xml:space="preserve">Use "Kojo" throughout.</w:t>
            </w:r>
          </w:p>
        </w:tc>
      </w:tr>
      <w:tr>
        <w:trPr>
          <w:cantSplit/>
        </w:trPr>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Lane</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Slides 5, 7 and 8</w:t>
            </w:r>
          </w:p>
        </w:tc>
        <w:tc>
          <w:tcPr>
            <w:tcW w:type="dxa" w:w="387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Tracking belongs to the paid team, and SEO, AEO and GEO belong to Julian. Repeating their points makes the compiled deck say the same thing twice.</w:t>
            </w:r>
          </w:p>
        </w:tc>
        <w:tc>
          <w:tcPr>
            <w:tcW w:type="dxa" w:w="215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color w:val="B7791F"/>
                <w:sz w:val="18"/>
                <w:szCs w:val="18"/>
              </w:rPr>
              <w:t xml:space="preserve">Rewrite: </w:t>
            </w:r>
            <w:r>
              <w:rPr>
                <w:rFonts w:ascii="Arial" w:cs="Arial" w:eastAsia="Arial" w:hAnsi="Arial"/>
                <w:sz w:val="18"/>
                <w:szCs w:val="18"/>
              </w:rPr>
              <w:t xml:space="preserve">Stay in the website lane, and point to the other sections where they overlap.</w:t>
            </w:r>
          </w:p>
        </w:tc>
      </w:tr>
    </w:tbl>
    <w:p>
      <w:pPr>
        <w:pStyle w:val="Heading1"/>
      </w:pPr>
      <w:r>
        <w:rPr>
          <w:rFonts w:ascii="Arial" w:cs="Arial" w:eastAsia="Arial" w:hAnsi="Arial"/>
        </w:rPr>
        <w:t xml:space="preserve">4. What is missing to sell website strategy</w:t>
      </w:r>
    </w:p>
    <w:p>
      <w:pPr>
        <w:spacing w:after="140" w:line="288"/>
      </w:pPr>
      <w:r>
        <w:rPr>
          <w:rFonts w:ascii="Arial" w:cs="Arial" w:eastAsia="Arial" w:hAnsi="Arial"/>
        </w:rPr>
        <w:t xml:space="preserve">These points make the case for Toggle owning Kojo's web strategy. Each one names the slide it belongs on in the three-slide structure in Section 5 (Slides A, B and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626"/>
        <w:gridCol w:w="1500"/>
      </w:tblGrid>
      <w:tr>
        <w:trPr>
          <w:tblHeader/>
        </w:trPr>
        <w:tc>
          <w:tcPr>
            <w:tcW w:type="dxa" w:w="19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to add</w:t>
            </w:r>
          </w:p>
        </w:tc>
        <w:tc>
          <w:tcPr>
            <w:tcW w:type="dxa" w:w="562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Detail</w:t>
            </w:r>
          </w:p>
        </w:tc>
        <w:tc>
          <w:tcPr>
            <w:tcW w:type="dxa" w:w="15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Where it goes</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1. The money case</w:t>
            </w:r>
          </w:p>
        </w:tc>
        <w:tc>
          <w:tcPr>
            <w:tcW w:type="dxa" w:w="56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At the $50,000 cap and a $1,000 cost per lead, Kojo gets about 50 leads a month. If the landing pages convert a quarter better, the same budget buys about 62 leads at roughly $800 each. This is the argument for a website retainer. We do not know Kojo's current conversion rate, so label the math as illustrative.</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C, as the headline number</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2. Landing pages that mirror the paid plan</w:t>
            </w:r>
          </w:p>
        </w:tc>
        <w:tc>
          <w:tcPr>
            <w:tcW w:type="dxa" w:w="56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Build one page per search campaign and LinkedIn audience: electrical, mechanical, invoice and AP, competitor, and data center from November. Add the project-manager page Alex mentioned on the call. The site runs on Webflow, so one CMS template built from the electrical page can produce each version quickly.</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C</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3. The mechanical page</w:t>
            </w:r>
          </w:p>
        </w:tc>
        <w:tc>
          <w:tcPr>
            <w:tcW w:type="dxa" w:w="56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Mechanical is Kojo's second trade, and Remarcable entered mechanical in July 2026. The mechanical page has no embedded demo form, no dollar results, no distributor names and no mention of AI.</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A</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4. Competitor pages</w:t>
            </w:r>
          </w:p>
        </w:tc>
        <w:tc>
          <w:tcPr>
            <w:tcW w:type="dxa" w:w="56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No page on the site names Remarcable, Field Materials or SubBase, including the landing page named for the competitor campaign. Field Materials publishes stories about contractors who replaced Kojo. Kojo needs comparison pages for the competitor search campaign and for its sales team.</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A for the finding, Slide C for the plan</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5. The messages that win</w:t>
            </w:r>
          </w:p>
        </w:tc>
        <w:tc>
          <w:tcPr>
            <w:tcW w:type="dxa" w:w="56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word "AI" appears zero times on the homepage and on both Google landing pages, and neither landing page names a distributor. Competitors lead with AI, the board is asking about it, and Alex names distributor pricing as Kojo's edge. The electrical page already says both well.</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A</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6. The account-based tools Kojo already pays for</w:t>
            </w:r>
          </w:p>
        </w:tc>
        <w:tc>
          <w:tcPr>
            <w:tcW w:type="dxa" w:w="56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site loads 6sense, ZoomInfo and Warmly (three tools that identify visiting companies), plus Salesloft, Segment, Clarity and Navattic. We can use them to show target accounts a trade-specific hero, alert SDRs when a named account visits, shorten the form if Kojo's ZoomInfo plan includes form enrichment, and cut overlapping tools to speed up the pages. We can see these scripts load, but we cannot see what Kojo licenses. For an account-based buyer, this is the most on-brief idea we have.</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B for the finding, Slide C (December) for the plan</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7. Qualify and route by company size</w:t>
            </w:r>
          </w:p>
        </w:tc>
        <w:tc>
          <w:tcPr>
            <w:tcW w:type="dxa" w:w="56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ICP is $25M+ in revenue, but the form never asks about size. Make a size question visible (the hidden "annual construction volume" field already exists), or fill it through enrichment, so Chili Piper can send ICP accounts to account executives and smaller firms to SDRs.</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B</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8. A testing plan that fits the volume</w:t>
            </w:r>
          </w:p>
        </w:tc>
        <w:tc>
          <w:tcPr>
            <w:tcW w:type="dxa" w:w="56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At 50 to 80 leads a month, a classic A/B test will not reach significance inside the engagement. Propose bigger single changes read over four to six weeks, backed by Clarity session recordings, which Kojo already has installed. Saying this up front makes us credible with a Head of Marketing.</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C</w:t>
            </w:r>
          </w:p>
        </w:tc>
      </w:tr>
      <w:tr>
        <w:trPr>
          <w:cantSplit/>
        </w:trPr>
        <w:tc>
          <w:tcPr>
            <w:tcW w:type="dxa" w:w="19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9. Operating model and metrics</w:t>
            </w:r>
          </w:p>
        </w:tc>
        <w:tc>
          <w:tcPr>
            <w:tcW w:type="dxa" w:w="56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State that Toggle owns strategy, briefs, copy and QA, and that Kojo's outsourced developer and designer build. Set a monthly cadence. Report landing page conversion rate, form-to-booking rate, ICP share of demos and cost per booked meeting, which is the metric the paid section leads with.</w:t>
            </w:r>
          </w:p>
        </w:tc>
        <w:tc>
          <w:tcPr>
            <w:tcW w:type="dxa" w:w="15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C</w:t>
            </w:r>
          </w:p>
        </w:tc>
      </w:tr>
      <w:tr>
        <w:trPr>
          <w:cantSplit/>
        </w:trPr>
        <w:tc>
          <w:tcPr>
            <w:tcW w:type="dxa" w:w="19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10. Too many demo pages</w:t>
            </w:r>
          </w:p>
        </w:tc>
        <w:tc>
          <w:tcPr>
            <w:tcW w:type="dxa" w:w="56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site has /demo, /demo-request, /demo-request-newtab, /talk-with-an-expert and /lp/test-demo, and the public sitemap lists the test page. The three I checked carry three different headlines. Consolidating them keeps the message and the tracking consistent.</w:t>
            </w:r>
          </w:p>
        </w:tc>
        <w:tc>
          <w:tcPr>
            <w:tcW w:type="dxa" w:w="15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iCs/>
                <w:color w:val="5F6368"/>
                <w:sz w:val="18"/>
                <w:szCs w:val="18"/>
              </w:rPr>
              <w:t xml:space="preserve">Slide B</w:t>
            </w:r>
          </w:p>
        </w:tc>
      </w:tr>
    </w:tbl>
    <w:p>
      <w:pPr>
        <w:pStyle w:val="Heading1"/>
      </w:pPr>
      <w:r>
        <w:rPr>
          <w:rFonts w:ascii="Arial" w:cs="Arial" w:eastAsia="Arial" w:hAnsi="Arial"/>
        </w:rPr>
        <w:t xml:space="preserve">5. Suggested structure for the compiled deck</w:t>
      </w:r>
    </w:p>
    <w:p>
      <w:pPr>
        <w:spacing w:after="140" w:line="288"/>
      </w:pPr>
      <w:r>
        <w:rPr>
          <w:rFonts w:ascii="Arial" w:cs="Arial" w:eastAsia="Arial" w:hAnsi="Arial"/>
        </w:rPr>
        <w:t xml:space="preserve">Build three slides for the website section, and add one line to each of the three shared slides.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800"/>
        <w:gridCol w:w="4526"/>
      </w:tblGrid>
      <w:tr>
        <w:trPr>
          <w:tblHeader/>
        </w:trPr>
        <w:tc>
          <w:tcPr>
            <w:tcW w:type="dxa" w:w="17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Slide</w:t>
            </w:r>
          </w:p>
        </w:tc>
        <w:tc>
          <w:tcPr>
            <w:tcW w:type="dxa" w:w="28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Suggested headline</w:t>
            </w:r>
          </w:p>
        </w:tc>
        <w:tc>
          <w:tcPr>
            <w:tcW w:type="dxa" w:w="452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What goes on it</w:t>
            </w:r>
          </w:p>
        </w:tc>
      </w:tr>
      <w:tr>
        <w:trPr>
          <w:cantSplit/>
        </w:trPr>
        <w:tc>
          <w:tcPr>
            <w:tcW w:type="dxa" w:w="17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Website slide A</w:t>
            </w:r>
          </w:p>
        </w:tc>
        <w:tc>
          <w:tcPr>
            <w:tcW w:type="dxa" w:w="28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Your paid clicks land on your weakest pages.</w:t>
            </w:r>
          </w:p>
        </w:tc>
        <w:tc>
          <w:tcPr>
            <w:tcW w:type="dxa" w:w="45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Google ad next to the competitor landing page, the cut-off checklist and the reCAPTCHA test warning. The missing messages: Kojo AI, distributor pricing and a named competitor. The electrical page as the one to copy, and the mechanical gap.</w:t>
            </w:r>
          </w:p>
        </w:tc>
      </w:tr>
      <w:tr>
        <w:trPr>
          <w:cantSplit/>
        </w:trPr>
        <w:tc>
          <w:tcPr>
            <w:tcW w:type="dxa" w:w="17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Website slide B</w:t>
            </w:r>
          </w:p>
        </w:tc>
        <w:tc>
          <w:tcPr>
            <w:tcW w:type="dxa" w:w="28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Your demo form blurs the leads you already pay for.</w:t>
            </w:r>
          </w:p>
        </w:tc>
        <w:tc>
          <w:tcPr>
            <w:tcW w:type="dxa" w:w="45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Electrical default, the missing size question, Read more links that open a list page, the five demo pages, and the account-identification tools the site loads but does not use for personalization.</w:t>
            </w:r>
          </w:p>
        </w:tc>
      </w:tr>
      <w:tr>
        <w:trPr>
          <w:cantSplit/>
        </w:trPr>
        <w:tc>
          <w:tcPr>
            <w:tcW w:type="dxa" w:w="17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Website slide C</w:t>
            </w:r>
          </w:p>
        </w:tc>
        <w:tc>
          <w:tcPr>
            <w:tcW w:type="dxa" w:w="28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Every campaign gets its own landing page by December.</w:t>
            </w:r>
          </w:p>
        </w:tc>
        <w:tc>
          <w:tcPr>
            <w:tcW w:type="dxa" w:w="45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October, November and December mapped to the paid campaigns, with an owner and a metric for each month. The conversion math as the headline number, and the testing approach in one line.</w:t>
            </w:r>
          </w:p>
        </w:tc>
      </w:tr>
      <w:tr>
        <w:trPr>
          <w:cantSplit/>
        </w:trPr>
        <w:tc>
          <w:tcPr>
            <w:tcW w:type="dxa" w:w="17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Shared slide 2 (executive summary)</w:t>
            </w:r>
          </w:p>
        </w:tc>
        <w:tc>
          <w:tcPr>
            <w:tcW w:type="dxa" w:w="28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Add one "What we found" line and one "What we do" line.</w:t>
            </w:r>
          </w:p>
        </w:tc>
        <w:tc>
          <w:tcPr>
            <w:tcW w:type="dxa" w:w="45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Found: "Your Google landing pages leave out Kojo AI, distributor pricing and any named competitor." Do: "Give each campaign its own landing page, built from your electrical page."</w:t>
            </w:r>
          </w:p>
        </w:tc>
      </w:tr>
      <w:tr>
        <w:trPr>
          <w:cantSplit/>
        </w:trPr>
        <w:tc>
          <w:tcPr>
            <w:tcW w:type="dxa" w:w="17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Shared slide 7 (how we work)</w:t>
            </w:r>
          </w:p>
        </w:tc>
        <w:tc>
          <w:tcPr>
            <w:tcW w:type="dxa" w:w="28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Add the website line to each month.</w:t>
            </w:r>
          </w:p>
        </w:tc>
        <w:tc>
          <w:tcPr>
            <w:tcW w:type="dxa" w:w="45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October: fix the landing pages and the form. November: launch the trade, invoice and competitor pages. December: personalize for target accounts and read the first tests.</w:t>
            </w:r>
          </w:p>
        </w:tc>
      </w:tr>
      <w:tr>
        <w:trPr>
          <w:cantSplit/>
        </w:trPr>
        <w:tc>
          <w:tcPr>
            <w:tcW w:type="dxa" w:w="17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Shared slide 8 (next step)</w:t>
            </w:r>
          </w:p>
        </w:tc>
        <w:tc>
          <w:tcPr>
            <w:tcW w:type="dxa" w:w="28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Add one access request.</w:t>
            </w:r>
          </w:p>
        </w:tc>
        <w:tc>
          <w:tcPr>
            <w:tcW w:type="dxa" w:w="45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Ask for Webflow editor access and HubSpot form access alongside the paid read access.</w:t>
            </w:r>
          </w:p>
        </w:tc>
      </w:tr>
    </w:tbl>
    <w:p>
      <w:pPr>
        <w:pStyle w:val="Heading1"/>
      </w:pPr>
      <w:r>
        <w:rPr>
          <w:rFonts w:ascii="Arial" w:cs="Arial" w:eastAsia="Arial" w:hAnsi="Arial"/>
        </w:rPr>
        <w:t xml:space="preserve">6. What I could not verify</w:t>
      </w:r>
    </w:p>
    <w:p>
      <w:pPr>
        <w:pStyle w:val="ListParagraph"/>
        <w:numPr>
          <w:ilvl w:val="0"/>
          <w:numId w:val="2"/>
        </w:numPr>
        <w:spacing w:after="100" w:line="288"/>
      </w:pPr>
      <w:r>
        <w:rPr>
          <w:rFonts w:ascii="Arial" w:cs="Arial" w:eastAsia="Arial" w:hAnsi="Arial"/>
          <w:b/>
          <w:bCs/>
        </w:rPr>
        <w:t xml:space="preserve">US page-speed scores. </w:t>
      </w:r>
      <w:r>
        <w:rPr>
          <w:rFonts w:ascii="Arial" w:cs="Arial" w:eastAsia="Arial" w:hAnsi="Arial"/>
        </w:rPr>
        <w:t xml:space="preserve">Google's PageSpeed Insights API hit its daily quota, and my own load times came from Malaysia, so they do not reflect a US visitor. Run PageSpeed Insights yourself and quote the scores.</w:t>
      </w:r>
    </w:p>
    <w:p>
      <w:pPr>
        <w:pStyle w:val="ListParagraph"/>
        <w:numPr>
          <w:ilvl w:val="0"/>
          <w:numId w:val="2"/>
        </w:numPr>
        <w:spacing w:after="100" w:line="288"/>
      </w:pPr>
      <w:r>
        <w:rPr>
          <w:rFonts w:ascii="Arial" w:cs="Arial" w:eastAsia="Arial" w:hAnsi="Arial"/>
          <w:b/>
          <w:bCs/>
        </w:rPr>
        <w:t xml:space="preserve">Where the ads send traffic. </w:t>
      </w:r>
      <w:r>
        <w:rPr>
          <w:rFonts w:ascii="Arial" w:cs="Arial" w:eastAsia="Arial" w:hAnsi="Arial"/>
        </w:rPr>
        <w:t xml:space="preserve">We have no account access. The /lp/google-* page names are the best evidence we have.</w:t>
      </w:r>
    </w:p>
    <w:p>
      <w:pPr>
        <w:pStyle w:val="ListParagraph"/>
        <w:numPr>
          <w:ilvl w:val="0"/>
          <w:numId w:val="2"/>
        </w:numPr>
        <w:spacing w:after="100" w:line="288"/>
      </w:pPr>
      <w:r>
        <w:rPr>
          <w:rFonts w:ascii="Arial" w:cs="Arial" w:eastAsia="Arial" w:hAnsi="Arial"/>
          <w:b/>
          <w:bCs/>
        </w:rPr>
        <w:t xml:space="preserve">Whether a US visitor sees the reCAPTCHA warning. </w:t>
      </w:r>
      <w:r>
        <w:rPr>
          <w:rFonts w:ascii="Arial" w:cs="Arial" w:eastAsia="Arial" w:hAnsi="Arial"/>
        </w:rPr>
        <w:t xml:space="preserve">I saw it in headless Chrome from Malaysia on every form I loaded. Confirm it in a normal browser.</w:t>
      </w:r>
    </w:p>
    <w:p>
      <w:pPr>
        <w:pStyle w:val="ListParagraph"/>
        <w:numPr>
          <w:ilvl w:val="0"/>
          <w:numId w:val="2"/>
        </w:numPr>
        <w:spacing w:after="100" w:line="288"/>
      </w:pPr>
      <w:r>
        <w:rPr>
          <w:rFonts w:ascii="Arial" w:cs="Arial" w:eastAsia="Arial" w:hAnsi="Arial"/>
          <w:b/>
          <w:bCs/>
        </w:rPr>
        <w:t xml:space="preserve">Which tools Kojo licenses. </w:t>
      </w:r>
      <w:r>
        <w:rPr>
          <w:rFonts w:ascii="Arial" w:cs="Arial" w:eastAsia="Arial" w:hAnsi="Arial"/>
        </w:rPr>
        <w:t xml:space="preserve">We can see which scripts load, not what each contract includes.</w:t>
      </w:r>
    </w:p>
    <w:p>
      <w:pPr>
        <w:pStyle w:val="ListParagraph"/>
        <w:numPr>
          <w:ilvl w:val="0"/>
          <w:numId w:val="2"/>
        </w:numPr>
        <w:spacing w:after="100" w:line="288"/>
      </w:pPr>
      <w:r>
        <w:rPr>
          <w:rFonts w:ascii="Arial" w:cs="Arial" w:eastAsia="Arial" w:hAnsi="Arial"/>
          <w:b/>
          <w:bCs/>
        </w:rPr>
        <w:t xml:space="preserve">Current conversion rates. </w:t>
      </w:r>
      <w:r>
        <w:rPr>
          <w:rFonts w:ascii="Arial" w:cs="Arial" w:eastAsia="Arial" w:hAnsi="Arial"/>
        </w:rPr>
        <w:t xml:space="preserve">Without access, the conversion math in Section 4 stays illustrative.</w:t>
      </w:r>
    </w:p>
    <w:p>
      <w:pPr>
        <w:pStyle w:val="Heading1"/>
      </w:pPr>
      <w:r>
        <w:rPr>
          <w:rFonts w:ascii="Arial" w:cs="Arial" w:eastAsia="Arial" w:hAnsi="Arial"/>
        </w:rPr>
        <w:t xml:space="preserve">Appendix: Evidence log</w:t>
      </w:r>
    </w:p>
    <w:p>
      <w:pPr>
        <w:spacing w:after="140" w:line="288"/>
      </w:pPr>
      <w:r>
        <w:rPr>
          <w:rFonts w:ascii="Arial" w:cs="Arial" w:eastAsia="Arial" w:hAnsi="Arial"/>
        </w:rPr>
        <w:t xml:space="preserve">The pages I checked on 27 September 2026, with what each one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1300"/>
        <w:gridCol w:w="3126"/>
      </w:tblGrid>
      <w:tr>
        <w:trPr>
          <w:tblHeader/>
        </w:trPr>
        <w:tc>
          <w:tcPr>
            <w:tcW w:type="dxa" w:w="22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Page</w:t>
            </w:r>
          </w:p>
        </w:tc>
        <w:tc>
          <w:tcPr>
            <w:tcW w:type="dxa" w:w="24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Main headline (H1)</w:t>
            </w:r>
          </w:p>
        </w:tc>
        <w:tc>
          <w:tcPr>
            <w:tcW w:type="dxa" w:w="1300"/>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Demo form</w:t>
            </w:r>
          </w:p>
        </w:tc>
        <w:tc>
          <w:tcPr>
            <w:tcW w:type="dxa" w:w="3126"/>
            <w:tcBorders>
              <w:top w:val="single" w:color="D0D0D0" w:sz="4"/>
              <w:left w:val="single" w:color="D0D0D0" w:sz="4"/>
              <w:bottom w:val="single" w:color="D0D0D0" w:sz="4"/>
              <w:right w:val="single" w:color="D0D0D0" w:sz="4"/>
            </w:tcBorders>
            <w:shd w:fill="2B2B2B" w:color="auto" w:val="clear"/>
            <w:tcMar>
              <w:top w:type="dxa" w:w="80"/>
              <w:left w:type="dxa" w:w="110"/>
              <w:bottom w:type="dxa" w:w="80"/>
              <w:right w:type="dxa" w:w="110"/>
            </w:tcMar>
          </w:tcPr>
          <w:p>
            <w:pPr>
              <w:spacing w:after="0" w:line="264"/>
            </w:pPr>
            <w:r>
              <w:rPr>
                <w:rFonts w:ascii="Arial" w:cs="Arial" w:eastAsia="Arial" w:hAnsi="Arial"/>
                <w:b/>
                <w:bCs/>
                <w:i w:val="false"/>
                <w:iCs w:val="false"/>
                <w:color w:val="FFFFFF"/>
                <w:sz w:val="18"/>
                <w:szCs w:val="18"/>
              </w:rPr>
              <w:t xml:space="preserve">Notes</w:t>
            </w:r>
          </w:p>
        </w:tc>
      </w:tr>
      <w:tr>
        <w:trPr>
          <w:cantSplit/>
        </w:trPr>
        <w:tc>
          <w:tcPr>
            <w:tcW w:type="dxa" w:w="22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 (homepage)</w:t>
            </w:r>
          </w:p>
        </w:tc>
        <w:tc>
          <w:tcPr>
            <w:tcW w:type="dxa" w:w="24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Take control of your materials</w:t>
            </w:r>
          </w:p>
        </w:tc>
        <w:tc>
          <w:tcPr>
            <w:tcW w:type="dxa" w:w="13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No</w:t>
            </w:r>
          </w:p>
        </w:tc>
        <w:tc>
          <w:tcPr>
            <w:tcW w:type="dxa" w:w="31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150 images, all with alt text. 96 Read more links, all to /customer-stories. No mention of AI.</w:t>
            </w:r>
          </w:p>
        </w:tc>
      </w:tr>
      <w:tr>
        <w:trPr>
          <w:cantSplit/>
        </w:trPr>
        <w:tc>
          <w:tcPr>
            <w:tcW w:type="dxa" w:w="22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/demo</w:t>
            </w:r>
          </w:p>
        </w:tc>
        <w:tc>
          <w:tcPr>
            <w:tcW w:type="dxa" w:w="24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Request a Demo</w:t>
            </w:r>
          </w:p>
        </w:tc>
        <w:tc>
          <w:tcPr>
            <w:tcW w:type="dxa" w:w="13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Yes</w:t>
            </w:r>
          </w:p>
        </w:tc>
        <w:tc>
          <w:tcPr>
            <w:tcW w:type="dxa" w:w="31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8 required fields. Trade defaults to Electrical. No company-size question.</w:t>
            </w:r>
          </w:p>
        </w:tc>
      </w:tr>
      <w:tr>
        <w:trPr>
          <w:cantSplit/>
        </w:trPr>
        <w:tc>
          <w:tcPr>
            <w:tcW w:type="dxa" w:w="22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/demo-request (the nav target)</w:t>
            </w:r>
          </w:p>
        </w:tc>
        <w:tc>
          <w:tcPr>
            <w:tcW w:type="dxa" w:w="24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One-stop shop for purchasing and inventory</w:t>
            </w:r>
          </w:p>
        </w:tc>
        <w:tc>
          <w:tcPr>
            <w:tcW w:type="dxa" w:w="13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Yes</w:t>
            </w:r>
          </w:p>
        </w:tc>
        <w:tc>
          <w:tcPr>
            <w:tcW w:type="dxa" w:w="31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Same form. The reCAPTCHA test warning shows.</w:t>
            </w:r>
          </w:p>
        </w:tc>
      </w:tr>
      <w:tr>
        <w:trPr>
          <w:cantSplit/>
        </w:trPr>
        <w:tc>
          <w:tcPr>
            <w:tcW w:type="dxa" w:w="22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/lp/google-paid-search-comptv</w:t>
            </w:r>
          </w:p>
        </w:tc>
        <w:tc>
          <w:tcPr>
            <w:tcW w:type="dxa" w:w="24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Choose the right tool for the job, plus a second H1 ("Get A Demo")</w:t>
            </w:r>
          </w:p>
        </w:tc>
        <w:tc>
          <w:tcPr>
            <w:tcW w:type="dxa" w:w="13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Yes</w:t>
            </w:r>
          </w:p>
        </w:tc>
        <w:tc>
          <w:tcPr>
            <w:tcW w:type="dxa" w:w="31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Tab title "Google-Paid-Search-Comptv". No share image. Checklist cut off. Names no competitor. No mention of AI.</w:t>
            </w:r>
          </w:p>
        </w:tc>
      </w:tr>
      <w:tr>
        <w:trPr>
          <w:cantSplit/>
        </w:trPr>
        <w:tc>
          <w:tcPr>
            <w:tcW w:type="dxa" w:w="22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/lp/google-ps-brand</w:t>
            </w:r>
          </w:p>
        </w:tc>
        <w:tc>
          <w:tcPr>
            <w:tcW w:type="dxa" w:w="24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The Leading Material Management Solution for Speciality Contractors, plus a second H1</w:t>
            </w:r>
          </w:p>
        </w:tc>
        <w:tc>
          <w:tcPr>
            <w:tcW w:type="dxa" w:w="13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Yes</w:t>
            </w:r>
          </w:p>
        </w:tc>
        <w:tc>
          <w:tcPr>
            <w:tcW w:type="dxa" w:w="31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Tab title "Paid Search: Brand". No share image. No AI or distributor names.</w:t>
            </w:r>
          </w:p>
        </w:tc>
      </w:tr>
      <w:tr>
        <w:trPr>
          <w:cantSplit/>
        </w:trPr>
        <w:tc>
          <w:tcPr>
            <w:tcW w:type="dxa" w:w="22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/trades/electrical-contractors</w:t>
            </w:r>
          </w:p>
        </w:tc>
        <w:tc>
          <w:tcPr>
            <w:tcW w:type="dxa" w:w="24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Electrical Contractors That Buy Better, Build Better</w:t>
            </w:r>
          </w:p>
        </w:tc>
        <w:tc>
          <w:tcPr>
            <w:tcW w:type="dxa" w:w="13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Yes</w:t>
            </w:r>
          </w:p>
        </w:tc>
        <w:tc>
          <w:tcPr>
            <w:tcW w:type="dxa" w:w="31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Names Wesco, Graybar, Rexel and CED. Kojo AI section, FAQ and dollar results.</w:t>
            </w:r>
          </w:p>
        </w:tc>
      </w:tr>
      <w:tr>
        <w:trPr>
          <w:cantSplit/>
        </w:trPr>
        <w:tc>
          <w:tcPr>
            <w:tcW w:type="dxa" w:w="22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/trades/mechanical-contractors</w:t>
            </w:r>
          </w:p>
        </w:tc>
        <w:tc>
          <w:tcPr>
            <w:tcW w:type="dxa" w:w="24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Manage Profitability, and End the Paper Chase</w:t>
            </w:r>
          </w:p>
        </w:tc>
        <w:tc>
          <w:tcPr>
            <w:tcW w:type="dxa" w:w="13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No</w:t>
            </w:r>
          </w:p>
        </w:tc>
        <w:tc>
          <w:tcPr>
            <w:tcW w:type="dxa" w:w="31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No AI, no dollar figures and no distributor names.</w:t>
            </w:r>
          </w:p>
        </w:tc>
      </w:tr>
      <w:tr>
        <w:trPr>
          <w:cantSplit/>
        </w:trPr>
        <w:tc>
          <w:tcPr>
            <w:tcW w:type="dxa" w:w="22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/pricing</w:t>
            </w:r>
          </w:p>
        </w:tc>
        <w:tc>
          <w:tcPr>
            <w:tcW w:type="dxa" w:w="24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Pricing</w:t>
            </w:r>
          </w:p>
        </w:tc>
        <w:tc>
          <w:tcPr>
            <w:tcW w:type="dxa" w:w="13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Yes (pricing request)</w:t>
            </w:r>
          </w:p>
        </w:tc>
        <w:tc>
          <w:tcPr>
            <w:tcW w:type="dxa" w:w="31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No prices shown. Requests go to a Chili Piper pricing router.</w:t>
            </w:r>
          </w:p>
        </w:tc>
      </w:tr>
      <w:tr>
        <w:trPr>
          <w:cantSplit/>
        </w:trPr>
        <w:tc>
          <w:tcPr>
            <w:tcW w:type="dxa" w:w="22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/enterprise</w:t>
            </w:r>
          </w:p>
        </w:tc>
        <w:tc>
          <w:tcPr>
            <w:tcW w:type="dxa" w:w="24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Take Control of Materials</w:t>
            </w:r>
          </w:p>
        </w:tc>
        <w:tc>
          <w:tcPr>
            <w:tcW w:type="dxa" w:w="1300"/>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No</w:t>
            </w:r>
          </w:p>
        </w:tc>
        <w:tc>
          <w:tcPr>
            <w:tcW w:type="dxa" w:w="3126"/>
            <w:tcBorders>
              <w:top w:val="single" w:color="D0D0D0" w:sz="4"/>
              <w:left w:val="single" w:color="D0D0D0" w:sz="4"/>
              <w:bottom w:val="single" w:color="D0D0D0" w:sz="4"/>
              <w:right w:val="single" w:color="D0D0D0" w:sz="4"/>
            </w:tcBorders>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Leads with "Get a custom quote".</w:t>
            </w:r>
          </w:p>
        </w:tc>
      </w:tr>
      <w:tr>
        <w:trPr>
          <w:cantSplit/>
        </w:trPr>
        <w:tc>
          <w:tcPr>
            <w:tcW w:type="dxa" w:w="22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bCs/>
                <w:i w:val="false"/>
                <w:iCs w:val="false"/>
                <w:color w:val="1F1F1F"/>
                <w:sz w:val="18"/>
                <w:szCs w:val="18"/>
              </w:rPr>
              <w:t xml:space="preserve">/talk-with-an-expert</w:t>
            </w:r>
          </w:p>
        </w:tc>
        <w:tc>
          <w:tcPr>
            <w:tcW w:type="dxa" w:w="24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Talk with an Expert</w:t>
            </w:r>
          </w:p>
        </w:tc>
        <w:tc>
          <w:tcPr>
            <w:tcW w:type="dxa" w:w="1300"/>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Yes</w:t>
            </w:r>
          </w:p>
        </w:tc>
        <w:tc>
          <w:tcPr>
            <w:tcW w:type="dxa" w:w="3126"/>
            <w:tcBorders>
              <w:top w:val="single" w:color="D0D0D0" w:sz="4"/>
              <w:left w:val="single" w:color="D0D0D0" w:sz="4"/>
              <w:bottom w:val="single" w:color="D0D0D0" w:sz="4"/>
              <w:right w:val="single" w:color="D0D0D0" w:sz="4"/>
            </w:tcBorders>
            <w:shd w:fill="F7F7F7" w:color="auto" w:val="clear"/>
            <w:tcMar>
              <w:top w:type="dxa" w:w="80"/>
              <w:left w:type="dxa" w:w="110"/>
              <w:bottom w:type="dxa" w:w="80"/>
              <w:right w:type="dxa" w:w="110"/>
            </w:tcMar>
          </w:tcPr>
          <w:p>
            <w:pPr>
              <w:spacing w:after="0" w:line="264"/>
            </w:pPr>
            <w:r>
              <w:rPr>
                <w:rFonts w:ascii="Arial" w:cs="Arial" w:eastAsia="Arial" w:hAnsi="Arial"/>
                <w:b w:val="false"/>
                <w:bCs w:val="false"/>
                <w:i w:val="false"/>
                <w:iCs w:val="false"/>
                <w:color w:val="1F1F1F"/>
                <w:sz w:val="18"/>
                <w:szCs w:val="18"/>
              </w:rPr>
              <w:t xml:space="preserve">Uses the Edge Electric $30,000 conduit quote.</w:t>
            </w:r>
          </w:p>
        </w:tc>
      </w:tr>
    </w:tbl>
    <w:p>
      <w:pPr>
        <w:spacing w:after="120"/>
      </w:pPr>
    </w:p>
    <w:p>
      <w:pPr>
        <w:keepNext/>
        <w:spacing w:after="140" w:line="288"/>
      </w:pPr>
      <w:r>
        <w:rPr>
          <w:rFonts w:ascii="Arial" w:cs="Arial" w:eastAsia="Arial" w:hAnsi="Arial"/>
          <w:i/>
          <w:iCs/>
          <w:color w:val="5F6368"/>
          <w:sz w:val="19"/>
          <w:szCs w:val="19"/>
        </w:rPr>
        <w:t xml:space="preserve">Method: Playwright with Chromium at 1440 and 390 pixels wide, plus the raw HTML of each page. Test UTMs: utm_source=google, utm_medium=cpc, utm_campaign=toggle_test. Mobile page weight measured over the first eight seconds after load.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368"/>
        <w:sz w:val="16"/>
        <w:szCs w:val="16"/>
      </w:rPr>
      <w:t xml:space="preserve">Kojo website audit feedback. Internal. 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1F1F"/>
      <w:sz w:val="30"/>
      <w:szCs w:val="30"/>
    </w:rPr>
  </w:style>
  <w:style w:type="paragraph" w:styleId="Heading2">
    <w:name w:val="Heading 2"/>
    <w:basedOn w:val="Normal"/>
    <w:next w:val="Normal"/>
    <w:qFormat/>
    <w:pPr>
      <w:keepNext/>
      <w:spacing w:after="100" w:before="280"/>
      <w:outlineLvl w:val="1"/>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392e2ce584831169619e512f63125ef76650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Kojo Website Audit: Feedback for Aizad</dc:title>
  <dc:creator>Jordan Pinto</dc:creator>
  <cp:lastModifiedBy>Un-named</cp:lastModifiedBy>
  <cp:revision>1</cp:revision>
  <dcterms:created xsi:type="dcterms:W3CDTF">2026-09-27T13:39:54.933Z</dcterms:created>
  <dcterms:modified xsi:type="dcterms:W3CDTF">2026-09-27T13:39:54.934Z</dcterms:modified>
</cp:coreProperties>
</file>

<file path=docProps/custom.xml><?xml version="1.0" encoding="utf-8"?>
<Properties xmlns="http://schemas.openxmlformats.org/officeDocument/2006/custom-properties" xmlns:vt="http://schemas.openxmlformats.org/officeDocument/2006/docPropsVTypes"/>
</file>