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E2D3F" w14:textId="77777777" w:rsidR="002967C0" w:rsidRDefault="00E43587">
      <w:pPr>
        <w:pStyle w:val="Heading2"/>
        <w:spacing w:before="200" w:after="200"/>
      </w:pPr>
      <w:bookmarkStart w:id="0" w:name="_rgwg6lxfi1mg" w:colFirst="0" w:colLast="0"/>
      <w:bookmarkEnd w:id="0"/>
      <w:r>
        <w:t>Terms and definitions from Course 8</w:t>
      </w:r>
    </w:p>
    <w:p w14:paraId="0B4E2D40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B</w:t>
      </w:r>
    </w:p>
    <w:p w14:paraId="0B4E2D41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Business continuity plan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: A document that outlines the procedures to sustain business operations during and after a significant disruption</w:t>
      </w:r>
    </w:p>
    <w:p w14:paraId="0B4E2D42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C</w:t>
      </w:r>
    </w:p>
    <w:p w14:paraId="0B4E2D43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Confidential data: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Data that often has limits on the number of people who have access to it</w:t>
      </w:r>
    </w:p>
    <w:p w14:paraId="0B4E2D44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D</w:t>
      </w:r>
    </w:p>
    <w:p w14:paraId="0B4E2D45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Data controller: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person that determines the procedure and purpose for processing data</w:t>
      </w:r>
    </w:p>
    <w:p w14:paraId="0B4E2D46" w14:textId="77777777" w:rsidR="002967C0" w:rsidRDefault="00E43587">
      <w:pPr>
        <w:spacing w:before="200"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Data processor: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person that is responsible for processing data on behalf of the data controller</w:t>
      </w:r>
    </w:p>
    <w:p w14:paraId="0B4E2D47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Data protection officer (DPO):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An individual that is responsible for monitoring the compliance of an organization's data protection procedures</w:t>
      </w:r>
    </w:p>
    <w:p w14:paraId="0B4E2D48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E</w:t>
      </w:r>
    </w:p>
    <w:p w14:paraId="0B4E2D49" w14:textId="77777777" w:rsidR="002967C0" w:rsidRDefault="00E43587">
      <w:pPr>
        <w:spacing w:before="200" w:after="200"/>
        <w:rPr>
          <w:rFonts w:ascii="Roboto" w:eastAsia="Roboto" w:hAnsi="Roboto" w:cs="Roboto"/>
          <w:u w:val="single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Elevator pitch: </w:t>
      </w:r>
      <w:proofErr w:type="gramStart"/>
      <w:r>
        <w:rPr>
          <w:rFonts w:ascii="Google Sans" w:eastAsia="Google Sans" w:hAnsi="Google Sans" w:cs="Google Sans"/>
          <w:color w:val="434343"/>
          <w:sz w:val="24"/>
          <w:szCs w:val="24"/>
        </w:rPr>
        <w:t>A brief summary</w:t>
      </w:r>
      <w:proofErr w:type="gramEnd"/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 of your experience, skills, and background</w:t>
      </w:r>
    </w:p>
    <w:p w14:paraId="0B4E2D4A" w14:textId="77777777" w:rsidR="002967C0" w:rsidRDefault="00E43587">
      <w:pPr>
        <w:spacing w:before="200" w:after="200"/>
        <w:rPr>
          <w:rFonts w:ascii="Google Sans" w:eastAsia="Google Sans" w:hAnsi="Google Sans" w:cs="Google Sans"/>
          <w:b/>
          <w:color w:val="434343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Escalation policy: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set of actions that outlines who should be notified when an incident alert occurs and how that incident should be handled</w:t>
      </w:r>
    </w:p>
    <w:p w14:paraId="0B4E2D4B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lastRenderedPageBreak/>
        <w:t>I</w:t>
      </w:r>
    </w:p>
    <w:p w14:paraId="0B4E2D4C" w14:textId="77777777" w:rsidR="002967C0" w:rsidRDefault="00E43587">
      <w:pPr>
        <w:spacing w:before="200" w:after="200"/>
        <w:rPr>
          <w:rFonts w:ascii="Google Sans" w:eastAsia="Google Sans" w:hAnsi="Google Sans" w:cs="Google Sans"/>
          <w:b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Improper usage: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An incident type that occurs when an employee of an organization violates the organization’s acceptable use policies</w:t>
      </w:r>
    </w:p>
    <w:p w14:paraId="0B4E2D4D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Incident escalation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: The process of identifying a potential security incident, triaging it, and handing it off to a more experienced team member</w:t>
      </w:r>
    </w:p>
    <w:p w14:paraId="0B4E2D4E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M</w:t>
      </w:r>
    </w:p>
    <w:p w14:paraId="0B4E2D4F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>Malware infection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: An incident type that occurs when malicious software designed to disrupt a system infiltrates an organization’s computers or network</w:t>
      </w:r>
    </w:p>
    <w:p w14:paraId="0B4E2D50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O</w:t>
      </w:r>
    </w:p>
    <w:p w14:paraId="0B4E2D51" w14:textId="77777777" w:rsidR="002967C0" w:rsidRDefault="00E43587">
      <w:pPr>
        <w:spacing w:before="200" w:after="200"/>
        <w:rPr>
          <w:rFonts w:ascii="Roboto" w:eastAsia="Roboto" w:hAnsi="Roboto" w:cs="Roboto"/>
          <w:u w:val="single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OWASP Top 10: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A globally recognized standard awareness document that lists the top 10 most critical security risks to web applications </w:t>
      </w:r>
    </w:p>
    <w:p w14:paraId="0B4E2D52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P</w:t>
      </w:r>
    </w:p>
    <w:p w14:paraId="0B4E2D53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  <w:highlight w:val="white"/>
        </w:rPr>
        <w:t>Private data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: Information that should be kept from the public</w:t>
      </w:r>
    </w:p>
    <w:p w14:paraId="0B4E2D54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  <w:highlight w:val="white"/>
        </w:rPr>
        <w:t>Public data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: Data that is already accessible to the public and poses a minimal risk to the organization if viewed or shared by others</w:t>
      </w:r>
    </w:p>
    <w:p w14:paraId="0B4E2D55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R</w:t>
      </w:r>
    </w:p>
    <w:p w14:paraId="0B4E2D56" w14:textId="77777777" w:rsidR="002967C0" w:rsidRDefault="00E43587">
      <w:pPr>
        <w:spacing w:before="200"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Rapport: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A friendly relationship in which the people involved understand each other’s ideas and communicate well with each other</w:t>
      </w:r>
    </w:p>
    <w:p w14:paraId="0B4E2D57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S</w:t>
      </w:r>
    </w:p>
    <w:p w14:paraId="0B4E2D58" w14:textId="77777777" w:rsidR="002967C0" w:rsidRDefault="00E43587">
      <w:pPr>
        <w:spacing w:before="200" w:after="200"/>
        <w:rPr>
          <w:rFonts w:ascii="Roboto" w:eastAsia="Roboto" w:hAnsi="Roboto" w:cs="Roboto"/>
          <w:u w:val="single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Security mindset: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>The ability to evaluate risk and constantly seek out and identify the potential or actual breach of a system, an application, or data</w:t>
      </w:r>
    </w:p>
    <w:p w14:paraId="0B4E2D59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lastRenderedPageBreak/>
        <w:t>Sensitive data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 type of data that includes personally identifiable information (PII), sensitive personally identifiable information (SPII), or protected health information (PHI)</w:t>
      </w:r>
    </w:p>
    <w:p w14:paraId="0B4E2D5A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Stakeholder: 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>An individual or a group that has an interest in any decision or activity of an organization</w:t>
      </w:r>
    </w:p>
    <w:p w14:paraId="0B4E2D5B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34343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STAR method: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An interview technique used to answer behavioral and situational questions </w:t>
      </w:r>
    </w:p>
    <w:p w14:paraId="0B4E2D5C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U</w:t>
      </w:r>
    </w:p>
    <w:p w14:paraId="0B4E2D5D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34343"/>
          <w:sz w:val="24"/>
          <w:szCs w:val="24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</w:rPr>
        <w:t xml:space="preserve">Unauthorized access: </w:t>
      </w:r>
      <w:r>
        <w:rPr>
          <w:rFonts w:ascii="Google Sans" w:eastAsia="Google Sans" w:hAnsi="Google Sans" w:cs="Google Sans"/>
          <w:color w:val="434343"/>
          <w:sz w:val="24"/>
          <w:szCs w:val="24"/>
        </w:rPr>
        <w:t xml:space="preserve">An incident type that occurs when an individual gains digital or physical access to a system or an application without permission </w:t>
      </w:r>
    </w:p>
    <w:p w14:paraId="0B4E2D5E" w14:textId="77777777" w:rsidR="002967C0" w:rsidRDefault="002967C0">
      <w:pPr>
        <w:spacing w:before="200" w:after="200"/>
        <w:rPr>
          <w:rFonts w:ascii="Google Sans" w:eastAsia="Google Sans" w:hAnsi="Google Sans" w:cs="Google Sans"/>
          <w:color w:val="434343"/>
          <w:sz w:val="24"/>
          <w:szCs w:val="24"/>
        </w:rPr>
      </w:pPr>
    </w:p>
    <w:p w14:paraId="0B4E2D5F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285F4"/>
          <w:sz w:val="48"/>
          <w:szCs w:val="48"/>
        </w:rPr>
      </w:pPr>
      <w:r>
        <w:rPr>
          <w:rFonts w:ascii="Google Sans" w:eastAsia="Google Sans" w:hAnsi="Google Sans" w:cs="Google Sans"/>
          <w:color w:val="4285F4"/>
          <w:sz w:val="48"/>
          <w:szCs w:val="48"/>
        </w:rPr>
        <w:t>V</w:t>
      </w:r>
    </w:p>
    <w:p w14:paraId="0B4E2D60" w14:textId="77777777" w:rsidR="002967C0" w:rsidRDefault="00E43587">
      <w:pPr>
        <w:spacing w:before="200" w:after="200"/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</w:pPr>
      <w:r>
        <w:rPr>
          <w:rFonts w:ascii="Google Sans" w:eastAsia="Google Sans" w:hAnsi="Google Sans" w:cs="Google Sans"/>
          <w:b/>
          <w:color w:val="434343"/>
          <w:sz w:val="24"/>
          <w:szCs w:val="24"/>
          <w:highlight w:val="white"/>
        </w:rPr>
        <w:t>Visual dashboard:</w:t>
      </w:r>
      <w:r>
        <w:rPr>
          <w:rFonts w:ascii="Google Sans" w:eastAsia="Google Sans" w:hAnsi="Google Sans" w:cs="Google Sans"/>
          <w:color w:val="434343"/>
          <w:sz w:val="24"/>
          <w:szCs w:val="24"/>
          <w:highlight w:val="white"/>
        </w:rPr>
        <w:t xml:space="preserve"> A way of displaying various types of data quickly in one place</w:t>
      </w:r>
    </w:p>
    <w:p w14:paraId="0B4E2D61" w14:textId="77777777" w:rsidR="002967C0" w:rsidRDefault="002967C0">
      <w:pPr>
        <w:rPr>
          <w:rFonts w:ascii="Google Sans" w:eastAsia="Google Sans" w:hAnsi="Google Sans" w:cs="Google Sans"/>
          <w:color w:val="434343"/>
          <w:sz w:val="24"/>
          <w:szCs w:val="24"/>
        </w:rPr>
      </w:pPr>
    </w:p>
    <w:p w14:paraId="0B4E2D62" w14:textId="77777777" w:rsidR="002967C0" w:rsidRDefault="002967C0">
      <w:pPr>
        <w:rPr>
          <w:rFonts w:ascii="Google Sans" w:eastAsia="Google Sans" w:hAnsi="Google Sans" w:cs="Google Sans"/>
          <w:color w:val="434343"/>
          <w:sz w:val="24"/>
          <w:szCs w:val="24"/>
        </w:rPr>
      </w:pPr>
    </w:p>
    <w:p w14:paraId="0B4E2D63" w14:textId="77777777" w:rsidR="002967C0" w:rsidRDefault="00E43587">
      <w:pPr>
        <w:spacing w:after="200" w:line="360" w:lineRule="auto"/>
        <w:rPr>
          <w:rFonts w:ascii="Google Sans" w:eastAsia="Google Sans" w:hAnsi="Google Sans" w:cs="Google Sans"/>
          <w:color w:val="434343"/>
        </w:rPr>
      </w:pPr>
      <w:bookmarkStart w:id="1" w:name="_igorxza5ro90" w:colFirst="0" w:colLast="0"/>
      <w:bookmarkEnd w:id="1"/>
      <w:r>
        <w:rPr>
          <w:noProof/>
        </w:rPr>
      </w:r>
      <w:r w:rsidR="00E43587">
        <w:rPr>
          <w:noProof/>
        </w:rPr>
        <w:pict w14:anchorId="0B4E2D64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sectPr w:rsidR="002967C0">
      <w:headerReference w:type="default" r:id="rId6"/>
      <w:headerReference w:type="first" r:id="rId7"/>
      <w:footerReference w:type="first" r:id="rId8"/>
      <w:pgSz w:w="12240" w:h="15840"/>
      <w:pgMar w:top="1440" w:right="1440" w:bottom="1440" w:left="1440" w:header="1133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E2D6E" w14:textId="77777777" w:rsidR="00E43587" w:rsidRDefault="00E43587">
      <w:pPr>
        <w:spacing w:line="240" w:lineRule="auto"/>
      </w:pPr>
      <w:r>
        <w:separator/>
      </w:r>
    </w:p>
  </w:endnote>
  <w:endnote w:type="continuationSeparator" w:id="0">
    <w:p w14:paraId="0B4E2D70" w14:textId="77777777" w:rsidR="00E43587" w:rsidRDefault="00E435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69C8FF4A-F8A7-BC4A-98CE-DEE8749E13BA}"/>
    <w:embedItalic r:id="rId2" w:fontKey="{4CA34806-67B9-E84F-80BA-E757151FDD1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9290D1D5-B82A-9640-9863-5DC03F7954F0}"/>
  </w:font>
  <w:font w:name="Google Sans">
    <w:panose1 w:val="020B0604020202020204"/>
    <w:charset w:val="00"/>
    <w:family w:val="auto"/>
    <w:pitch w:val="default"/>
    <w:embedRegular r:id="rId4" w:fontKey="{CC6C555A-38D3-DB4D-9180-6C0A5D87F5BD}"/>
    <w:embedBold r:id="rId5" w:fontKey="{722B1FFA-84AB-324C-8A1A-D28D4674B047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6" w:fontKey="{74404625-F135-7749-A859-1CA1ED5A45A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9F091FB9-7412-A04B-BA29-C5FF908D181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DAE2315E-D674-5147-8234-29657095D88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E2D69" w14:textId="77777777" w:rsidR="002967C0" w:rsidRDefault="002967C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E2D6A" w14:textId="77777777" w:rsidR="00E43587" w:rsidRDefault="00E43587">
      <w:pPr>
        <w:spacing w:line="240" w:lineRule="auto"/>
      </w:pPr>
      <w:r>
        <w:separator/>
      </w:r>
    </w:p>
  </w:footnote>
  <w:footnote w:type="continuationSeparator" w:id="0">
    <w:p w14:paraId="0B4E2D6C" w14:textId="77777777" w:rsidR="00E43587" w:rsidRDefault="00E435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E2D65" w14:textId="77777777" w:rsidR="002967C0" w:rsidRDefault="002967C0">
    <w:pPr>
      <w:rPr>
        <w:rFonts w:ascii="Google Sans" w:eastAsia="Google Sans" w:hAnsi="Google Sans" w:cs="Google Sans"/>
        <w:b/>
        <w:color w:val="666666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E2D66" w14:textId="77777777" w:rsidR="002967C0" w:rsidRDefault="00E43587">
    <w:pPr>
      <w:rPr>
        <w:rFonts w:ascii="Google Sans" w:eastAsia="Google Sans" w:hAnsi="Google Sans" w:cs="Google Sans"/>
        <w:color w:val="666666"/>
        <w:sz w:val="42"/>
        <w:szCs w:val="42"/>
      </w:rPr>
    </w:pPr>
    <w:r>
      <w:rPr>
        <w:rFonts w:ascii="Google Sans" w:eastAsia="Google Sans" w:hAnsi="Google Sans" w:cs="Google Sans"/>
        <w:sz w:val="90"/>
        <w:szCs w:val="90"/>
      </w:rPr>
      <w:t>Glossary</w:t>
    </w:r>
    <w:r>
      <w:rPr>
        <w:rFonts w:ascii="Google Sans" w:eastAsia="Google Sans" w:hAnsi="Google Sans" w:cs="Google Sans"/>
        <w:sz w:val="72"/>
        <w:szCs w:val="72"/>
      </w:rPr>
      <w:br/>
    </w:r>
    <w:r>
      <w:rPr>
        <w:rFonts w:ascii="Google Sans" w:eastAsia="Google Sans" w:hAnsi="Google Sans" w:cs="Google Sans"/>
        <w:color w:val="4285F4"/>
        <w:sz w:val="42"/>
        <w:szCs w:val="42"/>
      </w:rPr>
      <w:t>Cybersecurity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B4E2D6A" wp14:editId="0B4E2D6B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B4E2D67" w14:textId="77777777" w:rsidR="002967C0" w:rsidRDefault="00E43587">
    <w:pPr>
      <w:rPr>
        <w:color w:val="434343"/>
        <w:sz w:val="28"/>
        <w:szCs w:val="28"/>
      </w:rPr>
    </w:pPr>
    <w:r>
      <w:rPr>
        <w:noProof/>
      </w:rPr>
    </w:r>
    <w:r w:rsidR="00E43587">
      <w:rPr>
        <w:noProof/>
      </w:rPr>
      <w:pict w14:anchorId="0B4E2D6C">
        <v:rect id="_x0000_i1026" alt="" style="width:468pt;height:.05pt;mso-width-percent:0;mso-height-percent:0;mso-width-percent:0;mso-height-percent:0" o:hralign="center" o:hrstd="t" o:hr="t" fillcolor="#a0a0a0" stroked="f"/>
      </w:pict>
    </w:r>
  </w:p>
  <w:p w14:paraId="0B4E2D68" w14:textId="77777777" w:rsidR="002967C0" w:rsidRDefault="002967C0">
    <w:pPr>
      <w:rPr>
        <w:color w:val="434343"/>
        <w:sz w:val="28"/>
        <w:szCs w:val="2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7C0"/>
    <w:rsid w:val="002967C0"/>
    <w:rsid w:val="003B1F26"/>
    <w:rsid w:val="00E43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B4E2D3F"/>
  <w15:docId w15:val="{3B975BF9-D849-8E44-83FB-D52B6ED1A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372</Words>
  <Characters>2122</Characters>
  <Application>Microsoft Office Word</Application>
  <DocSecurity>0</DocSecurity>
  <Lines>17</Lines>
  <Paragraphs>4</Paragraphs>
  <ScaleCrop>false</ScaleCrop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2</cp:revision>
  <dcterms:created xsi:type="dcterms:W3CDTF">2024-05-17T21:27:00Z</dcterms:created>
  <dcterms:modified xsi:type="dcterms:W3CDTF">2024-05-17T21:27:00Z</dcterms:modified>
</cp:coreProperties>
</file>