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Brand voice</w:t>
      </w:r>
    </w:p>
    <w:p>
      <w:r>
        <w:t>Use the approved typeface in every derived artefact.</w:t>
      </w:r>
    </w:p>
    <w:p/>
    <w:p>
      <w:r>
        <w:t>Do not recolour the primary mark.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</w:tbl>
    <w:p>
      <w:pPr>
        <w:pStyle w:val="Heading2"/>
      </w:pPr>
      <w:r>
        <w:t>Colour</w:t>
      </w:r>
    </w:p>
    <w:p>
      <w:r>
        <w:t>Primary ink is #101820.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