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B194D" w14:textId="77777777" w:rsidR="00233F37" w:rsidRPr="00322B42" w:rsidRDefault="00AA7CE3" w:rsidP="00B632D2">
      <w:pPr>
        <w:spacing w:line="240" w:lineRule="auto"/>
        <w:jc w:val="center"/>
        <w:rPr>
          <w:rFonts w:cs="Times New Roman"/>
          <w:b/>
          <w:bCs/>
          <w:sz w:val="24"/>
          <w:szCs w:val="24"/>
          <w:lang w:val="en-US"/>
        </w:rPr>
      </w:pPr>
      <w:r>
        <w:rPr>
          <w:b/>
          <w:bCs/>
          <w:sz w:val="24"/>
          <w:szCs w:val="24"/>
          <w:lang w:val="en-US"/>
        </w:rPr>
        <w:t>Training Randomness in Architecture Ablations: A Crossed Seed–Window Analysis with Preregistered Replication</w:t>
      </w:r>
    </w:p>
    <w:p w14:paraId="65B687B8" w14:textId="02BF9932" w:rsidR="00CE1755" w:rsidRPr="00937145" w:rsidRDefault="00EA3B89" w:rsidP="00B632D2">
      <w:pPr>
        <w:spacing w:line="240" w:lineRule="auto"/>
        <w:ind w:left="106"/>
        <w:jc w:val="center"/>
        <w:rPr>
          <w:rFonts w:cs="Times New Roman"/>
          <w:b/>
          <w:vertAlign w:val="superscript"/>
          <w:lang w:val="en-US"/>
        </w:rPr>
      </w:pPr>
      <w:r>
        <w:rPr>
          <w:rFonts w:cs="Times New Roman"/>
          <w:b/>
          <w:lang w:val="en-US"/>
        </w:rPr>
        <w:t>Akylbek Tokhmetov</w:t>
      </w:r>
      <w:r w:rsidR="00937145">
        <w:rPr>
          <w:rFonts w:cs="Times New Roman"/>
          <w:b/>
          <w:lang w:val="en-US"/>
        </w:rPr>
        <w:t xml:space="preserve"> </w:t>
      </w:r>
      <w:r w:rsidR="00937145">
        <w:rPr>
          <w:rFonts w:cs="Times New Roman"/>
          <w:b/>
          <w:vertAlign w:val="superscript"/>
          <w:lang w:val="en-US"/>
        </w:rPr>
        <w:t>1</w:t>
      </w:r>
      <w:r w:rsidR="00E314F2" w:rsidRPr="00E314F2">
        <w:rPr>
          <w:rFonts w:cs="Times New Roman"/>
          <w:b/>
          <w:lang w:val="en-US"/>
        </w:rPr>
        <w:t>*</w:t>
      </w:r>
      <w:r w:rsidR="00CE1755">
        <w:rPr>
          <w:rFonts w:cs="Times New Roman"/>
          <w:b/>
          <w:lang w:val="en-US"/>
        </w:rPr>
        <w:t xml:space="preserve">, </w:t>
      </w:r>
      <w:r w:rsidRPr="00EA3B89">
        <w:rPr>
          <w:rFonts w:cs="Times New Roman"/>
          <w:b/>
          <w:lang w:val="en-US"/>
        </w:rPr>
        <w:t>Saule Zhumagulovа</w:t>
      </w:r>
      <w:r w:rsidR="00937145">
        <w:rPr>
          <w:rFonts w:cs="Times New Roman"/>
          <w:b/>
          <w:lang w:val="en-US"/>
        </w:rPr>
        <w:t xml:space="preserve"> </w:t>
      </w:r>
      <w:r w:rsidR="00937145">
        <w:rPr>
          <w:rFonts w:cs="Times New Roman"/>
          <w:b/>
          <w:vertAlign w:val="superscript"/>
          <w:lang w:val="en-US"/>
        </w:rPr>
        <w:t>2</w:t>
      </w:r>
      <w:r w:rsidR="00CE1755">
        <w:rPr>
          <w:rFonts w:cs="Times New Roman"/>
          <w:b/>
          <w:lang w:val="en-US"/>
        </w:rPr>
        <w:t xml:space="preserve">*, </w:t>
      </w:r>
      <w:r>
        <w:rPr>
          <w:rFonts w:cs="Times New Roman"/>
          <w:b/>
          <w:lang w:val="en-US"/>
        </w:rPr>
        <w:t>Liliya Tanchenko</w:t>
      </w:r>
      <w:r w:rsidR="00937145">
        <w:rPr>
          <w:rFonts w:cs="Times New Roman"/>
          <w:b/>
          <w:lang w:val="en-US"/>
        </w:rPr>
        <w:t xml:space="preserve"> </w:t>
      </w:r>
      <w:r w:rsidR="00937145">
        <w:rPr>
          <w:rFonts w:cs="Times New Roman"/>
          <w:b/>
          <w:vertAlign w:val="superscript"/>
          <w:lang w:val="en-US"/>
        </w:rPr>
        <w:t>1</w:t>
      </w:r>
      <w:r>
        <w:rPr>
          <w:rFonts w:cs="Times New Roman"/>
          <w:b/>
          <w:lang w:val="en-US"/>
        </w:rPr>
        <w:t xml:space="preserve">, </w:t>
      </w:r>
      <w:r w:rsidR="00CE1755">
        <w:rPr>
          <w:rFonts w:cs="Times New Roman"/>
          <w:b/>
          <w:lang w:val="en-US"/>
        </w:rPr>
        <w:t>Danel Musina</w:t>
      </w:r>
      <w:r w:rsidR="00937145">
        <w:rPr>
          <w:rFonts w:cs="Times New Roman"/>
          <w:b/>
          <w:lang w:val="en-US"/>
        </w:rPr>
        <w:t xml:space="preserve"> </w:t>
      </w:r>
      <w:r w:rsidR="00937145">
        <w:rPr>
          <w:rFonts w:cs="Times New Roman"/>
          <w:b/>
          <w:vertAlign w:val="superscript"/>
          <w:lang w:val="en-US"/>
        </w:rPr>
        <w:t>1</w:t>
      </w:r>
    </w:p>
    <w:p w14:paraId="26819B80" w14:textId="450EBDE2" w:rsidR="00CE1755" w:rsidRDefault="00937145" w:rsidP="00B632D2">
      <w:pPr>
        <w:spacing w:line="240" w:lineRule="auto"/>
        <w:ind w:left="106"/>
        <w:jc w:val="both"/>
        <w:rPr>
          <w:rFonts w:cs="Times New Roman"/>
          <w:i/>
          <w:lang w:val="en-US"/>
        </w:rPr>
      </w:pPr>
      <w:r w:rsidRPr="00937145">
        <w:rPr>
          <w:rFonts w:cs="Times New Roman"/>
          <w:iCs/>
          <w:vertAlign w:val="superscript"/>
          <w:lang w:val="en-US"/>
        </w:rPr>
        <w:t>1</w:t>
      </w:r>
      <w:r>
        <w:rPr>
          <w:rFonts w:cs="Times New Roman"/>
          <w:iCs/>
          <w:lang w:val="en-US"/>
        </w:rPr>
        <w:t xml:space="preserve"> </w:t>
      </w:r>
      <w:r w:rsidR="00CE1755">
        <w:rPr>
          <w:rFonts w:cs="Times New Roman"/>
          <w:i/>
          <w:lang w:val="en-US"/>
        </w:rPr>
        <w:t>Department of Information Systems, L.N. Gumilyov Eurasian National University, Astana, Kazakhstan</w:t>
      </w:r>
    </w:p>
    <w:p w14:paraId="25EF6BE6" w14:textId="67C52069" w:rsidR="00A62EC5" w:rsidRPr="00F22774" w:rsidRDefault="00937145" w:rsidP="00A62EC5">
      <w:pPr>
        <w:spacing w:line="240" w:lineRule="auto"/>
        <w:ind w:left="106"/>
        <w:jc w:val="center"/>
        <w:rPr>
          <w:rFonts w:cs="Times New Roman"/>
          <w:i/>
          <w:lang w:val="en-US"/>
        </w:rPr>
      </w:pPr>
      <w:r w:rsidRPr="00937145">
        <w:rPr>
          <w:rFonts w:cs="Times New Roman"/>
          <w:iCs/>
          <w:vertAlign w:val="superscript"/>
          <w:lang w:val="en-US"/>
        </w:rPr>
        <w:t>2</w:t>
      </w:r>
      <w:r>
        <w:rPr>
          <w:rFonts w:cs="Times New Roman"/>
          <w:iCs/>
          <w:lang w:val="en-US"/>
        </w:rPr>
        <w:t xml:space="preserve"> </w:t>
      </w:r>
      <w:r w:rsidRPr="00937145">
        <w:rPr>
          <w:rFonts w:cs="Times New Roman"/>
          <w:i/>
          <w:lang w:val="en-US"/>
        </w:rPr>
        <w:t>Department of applied mathematics and computer science,</w:t>
      </w:r>
      <w:r>
        <w:rPr>
          <w:rFonts w:cs="Times New Roman"/>
          <w:i/>
          <w:lang w:val="en-US"/>
        </w:rPr>
        <w:t xml:space="preserve"> </w:t>
      </w:r>
      <w:r w:rsidR="00A62EC5" w:rsidRPr="00A62EC5">
        <w:rPr>
          <w:rFonts w:cs="Times New Roman"/>
          <w:i/>
          <w:lang w:val="en-US"/>
        </w:rPr>
        <w:t xml:space="preserve">Karaganda National Research University named after Academician E.A. </w:t>
      </w:r>
      <w:r w:rsidR="00F23D70" w:rsidRPr="00A62EC5">
        <w:rPr>
          <w:rFonts w:cs="Times New Roman"/>
          <w:i/>
          <w:lang w:val="en-US"/>
        </w:rPr>
        <w:t>Buketov, Karaganda</w:t>
      </w:r>
      <w:r w:rsidR="00A62EC5" w:rsidRPr="00A62EC5">
        <w:rPr>
          <w:rFonts w:cs="Times New Roman"/>
          <w:i/>
          <w:lang w:val="en-US"/>
        </w:rPr>
        <w:t>, Kazakhstan</w:t>
      </w:r>
    </w:p>
    <w:p w14:paraId="5537486D" w14:textId="1EA610CE" w:rsidR="00CE1755" w:rsidRPr="00E314F2" w:rsidRDefault="00CE1755" w:rsidP="00B632D2">
      <w:pPr>
        <w:pStyle w:val="a3"/>
        <w:jc w:val="center"/>
        <w:rPr>
          <w:i/>
          <w:iCs/>
          <w:lang w:val="en-US"/>
        </w:rPr>
      </w:pPr>
      <w:r>
        <w:rPr>
          <w:i/>
          <w:iCs/>
          <w:lang w:val="en-US"/>
        </w:rPr>
        <w:t>*Corresponding author’s Email: tokhmetov_at_2@enu.kz</w:t>
      </w:r>
      <w:r w:rsidR="00E314F2">
        <w:rPr>
          <w:i/>
          <w:iCs/>
          <w:lang w:val="en-US"/>
        </w:rPr>
        <w:t xml:space="preserve">, </w:t>
      </w:r>
      <w:r w:rsidR="00CF3BAC" w:rsidRPr="00CF3BAC">
        <w:rPr>
          <w:i/>
          <w:iCs/>
          <w:lang w:val="en-US"/>
        </w:rPr>
        <w:t>Zhumagulova.S@karnu-buketov.edu.kz</w:t>
      </w:r>
    </w:p>
    <w:p w14:paraId="44E27003" w14:textId="77777777" w:rsidR="00CE1755" w:rsidRPr="00F22774" w:rsidRDefault="00CE1755" w:rsidP="00B632D2">
      <w:pPr>
        <w:spacing w:after="200" w:line="240" w:lineRule="auto"/>
        <w:jc w:val="both"/>
        <w:rPr>
          <w:rFonts w:cs="Times New Roman"/>
          <w:lang w:val="en-US"/>
        </w:rPr>
      </w:pPr>
    </w:p>
    <w:p w14:paraId="3DF00AF1" w14:textId="77777777" w:rsidR="00D25B5F" w:rsidRPr="00F22774" w:rsidRDefault="00D25B5F" w:rsidP="00B632D2">
      <w:pPr>
        <w:spacing w:after="0" w:line="240" w:lineRule="auto"/>
        <w:jc w:val="both"/>
        <w:rPr>
          <w:rFonts w:cs="Times New Roman"/>
          <w:lang w:val="en-US"/>
        </w:rPr>
      </w:pPr>
      <w:r>
        <w:rPr>
          <w:lang w:val="en-US"/>
        </w:rPr>
        <w:t>Architectural ablations in deep learning commonly treat stochastic training as fixed and quantify uncertainty only over the evaluation set. We study a paired component effect under repeated stochastic training and finite evaluation sampling in a decomposition-based Transformer, using 17 households, five seeds and eight configurations, followed by a preregistered replication on 17 commercial clients. In the primary household design, the median estimated contribution of the training-seed component is 83%; model-based intervals support a regime-level majority contribution but remain wide for several individual units. Propagating this component reduces nominally non-zero household effects from 7/17 to 2/17 and lowers apparent heterogeneity from I²=87% to 30%. The restricted maximum likelihood (REML)–modified-Hartung–Knapp pooled effect is −0.26% of household error, with prediction interval [−0.98%, +0.46%] inside a study-specific ±2% decision margin. Adaptive fusion also conceals severe branch failures. On OpenML-CC18, feature-identity effects are heterogeneous and metric-dependent rather than universally beneficial. The common framework is to cross training runs with shared evaluation units, propagate both uncertainty sources, and observe a component directly when output-level compensation is possible.</w:t>
      </w:r>
    </w:p>
    <w:p w14:paraId="3CE08FF3" w14:textId="77777777" w:rsidR="00CE1755" w:rsidRPr="00DD392A" w:rsidRDefault="00CE1755" w:rsidP="00B632D2">
      <w:pPr>
        <w:pStyle w:val="a3"/>
        <w:jc w:val="both"/>
        <w:rPr>
          <w:sz w:val="22"/>
          <w:szCs w:val="22"/>
          <w:lang w:val="en-US"/>
        </w:rPr>
      </w:pPr>
      <w:r>
        <w:rPr>
          <w:lang w:val="en-US"/>
        </w:rPr>
        <w:t>Keywords: Architectural ablation, Training randomness, Variance decomposition, Hartung–Knapp meta-analysis, Feature identity, Preregistered replication.</w:t>
      </w:r>
    </w:p>
    <w:p w14:paraId="0DFF334C" w14:textId="77777777" w:rsidR="00CE1755" w:rsidRPr="00F22774" w:rsidRDefault="00CE1755" w:rsidP="00B632D2">
      <w:pPr>
        <w:pStyle w:val="1"/>
        <w:numPr>
          <w:ilvl w:val="0"/>
          <w:numId w:val="1"/>
        </w:numPr>
        <w:spacing w:before="400" w:after="200"/>
        <w:jc w:val="both"/>
        <w:rPr>
          <w:lang w:val="en-US"/>
        </w:rPr>
      </w:pPr>
      <w:r>
        <w:rPr>
          <w:lang w:val="en-US"/>
        </w:rPr>
        <w:t>Introduction</w:t>
      </w:r>
    </w:p>
    <w:p w14:paraId="125FB22B" w14:textId="77777777" w:rsidR="00FA1C3E" w:rsidRPr="00322B42" w:rsidRDefault="00DF00D8" w:rsidP="00B632D2">
      <w:pPr>
        <w:spacing w:line="240" w:lineRule="auto"/>
        <w:jc w:val="both"/>
        <w:rPr>
          <w:lang w:val="en-US"/>
        </w:rPr>
      </w:pPr>
      <w:r>
        <w:rPr>
          <w:lang w:val="en-US"/>
        </w:rPr>
        <w:t>Architectural ablation is usually interpreted as a direct test of whether a component is useful: remove it, retrain the model and compare the end-task metric. This interpretation relies on two assumptions that are often implicit. First, the observed difference must reflect the component rather than stochastic training. Second, the reported output must faithfully expose the component rather than compensate for its internal state.</w:t>
      </w:r>
    </w:p>
    <w:p w14:paraId="7C42E100" w14:textId="77777777" w:rsidR="00FA1C3E" w:rsidRPr="00322B42" w:rsidRDefault="00DF00D8" w:rsidP="00B632D2">
      <w:pPr>
        <w:spacing w:line="240" w:lineRule="auto"/>
        <w:jc w:val="both"/>
        <w:rPr>
          <w:lang w:val="en-US"/>
        </w:rPr>
      </w:pPr>
      <w:r>
        <w:rPr>
          <w:lang w:val="en-US"/>
        </w:rPr>
        <w:t>We test both assumptions in a decomposition-based Transformer for short-term load forecasting. The model uses mode-identity embeddings in a weight-shared encoder and combines a decomposition branch with a direct path through a learned gate. The focal architectural claim arose in our own unpublished earlier work and failed to reproduce. We therefore reconstruct the comparison, decompose its uncertainty, inspect the branches directly and intervene on the trained representation. The central variance result is then tested under a preregistered design on 17 commercial-load clients, and the identity principle is examined on 17 non-energy OpenML-CC18 tasks.</w:t>
      </w:r>
    </w:p>
    <w:p w14:paraId="2CBEC4D9" w14:textId="77777777" w:rsidR="00FA1C3E" w:rsidRPr="00322B42" w:rsidRDefault="00DF00D8" w:rsidP="00B632D2">
      <w:pPr>
        <w:spacing w:line="240" w:lineRule="auto"/>
        <w:jc w:val="both"/>
        <w:rPr>
          <w:lang w:val="en-US"/>
        </w:rPr>
      </w:pPr>
      <w:r>
        <w:rPr>
          <w:lang w:val="en-US"/>
        </w:rPr>
        <w:t>The crossed seed-window analysis shows that training seed contributes a median 83% of uncertainty in the mean household ablation effect, with a median seed-to-evaluation variance ratio near 24. Accounting for this source reduces nominally non-zero household effects from 7/17 to 2/17 and lowers apparent heterogeneity from I²=87% to 30%. The preregistered ECL replication meets both success criteria: the median seed share is again 83% and the median ratio is 4.9. Checks on PatchTST and BiLSTM preserve the qualitative ordering but show that its magnitude is architecture-dependent.</w:t>
      </w:r>
    </w:p>
    <w:p w14:paraId="2D927873" w14:textId="77777777" w:rsidR="00FA1C3E" w:rsidRPr="00322B42" w:rsidRDefault="00DF00D8" w:rsidP="00B632D2">
      <w:pPr>
        <w:spacing w:line="240" w:lineRule="auto"/>
        <w:jc w:val="both"/>
        <w:rPr>
          <w:lang w:val="en-US"/>
        </w:rPr>
      </w:pPr>
      <w:r>
        <w:rPr>
          <w:lang w:val="en-US"/>
        </w:rPr>
        <w:t>The mechanistic analyses expose a separate observability problem. A mismatch between the auxiliary objective and the aggregation rule leaves the decomposition branch worse than a constant predictor on 11/17 households, yet the fused forecast remains stable because the gate compensates. Repairing the branch does not improve the reported metric. Fixed-weight interventions confirm that identity is represented internally, but the median effect of each of the seven conditions is below 0.7% of household error; per-household effects range wider — under zeroing, 5/17 households exceed the ±2% margin (three flagged in the §4.2.1 data audit).</w:t>
      </w:r>
    </w:p>
    <w:p w14:paraId="67238F6B" w14:textId="77777777" w:rsidR="00FA1C3E" w:rsidRPr="00322B42" w:rsidRDefault="00DF00D8" w:rsidP="00B632D2">
      <w:pPr>
        <w:spacing w:line="240" w:lineRule="auto"/>
        <w:jc w:val="both"/>
        <w:rPr>
          <w:lang w:val="en-US"/>
        </w:rPr>
      </w:pPr>
      <w:r>
        <w:rPr>
          <w:lang w:val="en-US"/>
        </w:rPr>
        <w:lastRenderedPageBreak/>
        <w:t>Our central claim is that architectural-ablation validity requires uncertainty propagation over training runs and evaluation units, plus direct observation of the component when output-level compensation is possible. The energy study is the core demonstration, ECL is the preregistered replication of its variance result, and OpenML-CC18 is a concise scope probe showing that metric choice and task heterogeneity can change the apparent ablation conclusion.</w:t>
      </w:r>
    </w:p>
    <w:p w14:paraId="5A41EC30" w14:textId="77777777" w:rsidR="00FA1C3E" w:rsidRPr="00322B42" w:rsidRDefault="00DF00D8" w:rsidP="00B632D2">
      <w:pPr>
        <w:spacing w:line="240" w:lineRule="auto"/>
        <w:jc w:val="both"/>
        <w:rPr>
          <w:lang w:val="en-US"/>
        </w:rPr>
      </w:pPr>
      <w:r>
        <w:rPr>
          <w:lang w:val="en-US"/>
        </w:rPr>
        <w:t>The scope is deliberately limited. Variance shares are properties of an architecture, training procedure, metric and evaluation design jointly; they are not universal constants. We claim neither a general benefit of feature identity nor a general defect in the forecasting literature. The narrower conclusion is that a conventional ablation can support an architectural story when its dominant uncertainty source or the component's observability has not been tested.</w:t>
      </w:r>
    </w:p>
    <w:p w14:paraId="2E0ED1FE" w14:textId="77777777" w:rsidR="00FA1C3E" w:rsidRPr="00322B42" w:rsidRDefault="00DF00D8" w:rsidP="00B632D2">
      <w:pPr>
        <w:spacing w:line="240" w:lineRule="auto"/>
        <w:jc w:val="both"/>
        <w:rPr>
          <w:lang w:val="en-US"/>
        </w:rPr>
      </w:pPr>
      <w:r>
        <w:rPr>
          <w:lang w:val="en-US"/>
        </w:rPr>
        <w:t>Table 1. Claim–evidence map. Status refers to the analysis rather than to the manuscript as a whole; limitations bound the stated claim.</w:t>
      </w:r>
    </w:p>
    <w:tbl>
      <w:tblPr>
        <w:tblStyle w:val="a8"/>
        <w:tblW w:w="0" w:type="auto"/>
        <w:tblLayout w:type="fixed"/>
        <w:tblLook w:val="04A0" w:firstRow="1" w:lastRow="0" w:firstColumn="1" w:lastColumn="0" w:noHBand="0" w:noVBand="1"/>
      </w:tblPr>
      <w:tblGrid>
        <w:gridCol w:w="1800"/>
        <w:gridCol w:w="1080"/>
        <w:gridCol w:w="1512"/>
        <w:gridCol w:w="1440"/>
        <w:gridCol w:w="1584"/>
        <w:gridCol w:w="1656"/>
      </w:tblGrid>
      <w:tr w:rsidR="00FA1C3E" w14:paraId="20E7073C" w14:textId="77777777">
        <w:tc>
          <w:tcPr>
            <w:tcW w:w="1800" w:type="dxa"/>
            <w:vAlign w:val="center"/>
          </w:tcPr>
          <w:p w14:paraId="099ACDFA" w14:textId="77777777" w:rsidR="00FA1C3E" w:rsidRDefault="00DF00D8" w:rsidP="00B632D2">
            <w:r>
              <w:rPr>
                <w:b/>
                <w:sz w:val="16"/>
              </w:rPr>
              <w:t>Claim</w:t>
            </w:r>
          </w:p>
        </w:tc>
        <w:tc>
          <w:tcPr>
            <w:tcW w:w="1080" w:type="dxa"/>
            <w:vAlign w:val="center"/>
          </w:tcPr>
          <w:p w14:paraId="12DC94FD" w14:textId="77777777" w:rsidR="00FA1C3E" w:rsidRDefault="00DF00D8" w:rsidP="00B632D2">
            <w:r>
              <w:rPr>
                <w:b/>
                <w:sz w:val="16"/>
              </w:rPr>
              <w:t>Domain</w:t>
            </w:r>
          </w:p>
        </w:tc>
        <w:tc>
          <w:tcPr>
            <w:tcW w:w="1512" w:type="dxa"/>
            <w:vAlign w:val="center"/>
          </w:tcPr>
          <w:p w14:paraId="334C64FC" w14:textId="77777777" w:rsidR="00FA1C3E" w:rsidRDefault="00DF00D8" w:rsidP="00B632D2">
            <w:r>
              <w:rPr>
                <w:b/>
                <w:sz w:val="16"/>
              </w:rPr>
              <w:t>Status</w:t>
            </w:r>
          </w:p>
        </w:tc>
        <w:tc>
          <w:tcPr>
            <w:tcW w:w="1440" w:type="dxa"/>
            <w:vAlign w:val="center"/>
          </w:tcPr>
          <w:p w14:paraId="14CADE6F" w14:textId="77777777" w:rsidR="00FA1C3E" w:rsidRDefault="00DF00D8" w:rsidP="00B632D2">
            <w:r>
              <w:rPr>
                <w:b/>
                <w:sz w:val="16"/>
              </w:rPr>
              <w:t>Estimand</w:t>
            </w:r>
          </w:p>
        </w:tc>
        <w:tc>
          <w:tcPr>
            <w:tcW w:w="1584" w:type="dxa"/>
            <w:vAlign w:val="center"/>
          </w:tcPr>
          <w:p w14:paraId="45C3F55B" w14:textId="77777777" w:rsidR="00FA1C3E" w:rsidRDefault="00DF00D8" w:rsidP="00B632D2">
            <w:r>
              <w:rPr>
                <w:b/>
                <w:sz w:val="16"/>
              </w:rPr>
              <w:t>Primary result</w:t>
            </w:r>
          </w:p>
        </w:tc>
        <w:tc>
          <w:tcPr>
            <w:tcW w:w="1656" w:type="dxa"/>
            <w:vAlign w:val="center"/>
          </w:tcPr>
          <w:p w14:paraId="09A88445" w14:textId="77777777" w:rsidR="00FA1C3E" w:rsidRDefault="00DF00D8" w:rsidP="00B632D2">
            <w:r>
              <w:rPr>
                <w:b/>
                <w:sz w:val="16"/>
              </w:rPr>
              <w:t>Limitation</w:t>
            </w:r>
          </w:p>
        </w:tc>
      </w:tr>
      <w:tr w:rsidR="00FA1C3E" w:rsidRPr="005439BC" w14:paraId="610A4EE3" w14:textId="77777777">
        <w:tc>
          <w:tcPr>
            <w:tcW w:w="1800" w:type="dxa"/>
            <w:vAlign w:val="center"/>
          </w:tcPr>
          <w:p w14:paraId="5A0D5D2A" w14:textId="77777777" w:rsidR="00FA1C3E" w:rsidRDefault="00DF00D8" w:rsidP="00B632D2">
            <w:r>
              <w:rPr>
                <w:sz w:val="16"/>
              </w:rPr>
              <w:t>Training uncertainty is material</w:t>
            </w:r>
          </w:p>
        </w:tc>
        <w:tc>
          <w:tcPr>
            <w:tcW w:w="1080" w:type="dxa"/>
            <w:vAlign w:val="center"/>
          </w:tcPr>
          <w:p w14:paraId="4DBC0254" w14:textId="77777777" w:rsidR="00FA1C3E" w:rsidRDefault="00DF00D8" w:rsidP="00B632D2">
            <w:r>
              <w:rPr>
                <w:sz w:val="16"/>
              </w:rPr>
              <w:t>Households</w:t>
            </w:r>
          </w:p>
        </w:tc>
        <w:tc>
          <w:tcPr>
            <w:tcW w:w="1512" w:type="dxa"/>
            <w:vAlign w:val="center"/>
          </w:tcPr>
          <w:p w14:paraId="40B223D6" w14:textId="77777777" w:rsidR="00FA1C3E" w:rsidRDefault="00DF00D8" w:rsidP="00B632D2">
            <w:r>
              <w:rPr>
                <w:sz w:val="16"/>
              </w:rPr>
              <w:t>Exploratory</w:t>
            </w:r>
          </w:p>
        </w:tc>
        <w:tc>
          <w:tcPr>
            <w:tcW w:w="1440" w:type="dxa"/>
            <w:vAlign w:val="center"/>
          </w:tcPr>
          <w:p w14:paraId="0D15A1FC" w14:textId="77777777" w:rsidR="00FA1C3E" w:rsidRDefault="00DF00D8" w:rsidP="00B632D2">
            <w:r>
              <w:rPr>
                <w:sz w:val="16"/>
              </w:rPr>
              <w:t>Seed share / ratio</w:t>
            </w:r>
          </w:p>
        </w:tc>
        <w:tc>
          <w:tcPr>
            <w:tcW w:w="1584" w:type="dxa"/>
            <w:vAlign w:val="center"/>
          </w:tcPr>
          <w:p w14:paraId="11F400D7" w14:textId="77777777" w:rsidR="00FA1C3E" w:rsidRDefault="00DF00D8" w:rsidP="00B632D2">
            <w:r>
              <w:rPr>
                <w:sz w:val="16"/>
              </w:rPr>
              <w:t>Median 83%</w:t>
            </w:r>
          </w:p>
        </w:tc>
        <w:tc>
          <w:tcPr>
            <w:tcW w:w="1656" w:type="dxa"/>
            <w:vAlign w:val="center"/>
          </w:tcPr>
          <w:p w14:paraId="58D0E5BC" w14:textId="77777777" w:rsidR="00FA1C3E" w:rsidRPr="00322B42" w:rsidRDefault="00DF00D8" w:rsidP="00B632D2">
            <w:pPr>
              <w:rPr>
                <w:lang w:val="en-US"/>
              </w:rPr>
            </w:pPr>
            <w:r>
              <w:rPr>
                <w:sz w:val="16"/>
                <w:lang w:val="en-US"/>
              </w:rPr>
              <w:t>Five seeds; wide unit intervals</w:t>
            </w:r>
          </w:p>
        </w:tc>
      </w:tr>
      <w:tr w:rsidR="00FA1C3E" w14:paraId="18FFF11B" w14:textId="77777777">
        <w:tc>
          <w:tcPr>
            <w:tcW w:w="1800" w:type="dxa"/>
            <w:vAlign w:val="center"/>
          </w:tcPr>
          <w:p w14:paraId="63814263" w14:textId="77777777" w:rsidR="00FA1C3E" w:rsidRDefault="00DF00D8" w:rsidP="00B632D2">
            <w:r>
              <w:rPr>
                <w:sz w:val="16"/>
              </w:rPr>
              <w:t>Variance ordering replicates</w:t>
            </w:r>
          </w:p>
        </w:tc>
        <w:tc>
          <w:tcPr>
            <w:tcW w:w="1080" w:type="dxa"/>
            <w:vAlign w:val="center"/>
          </w:tcPr>
          <w:p w14:paraId="70DCCDB1" w14:textId="77777777" w:rsidR="00FA1C3E" w:rsidRDefault="00DF00D8" w:rsidP="00B632D2">
            <w:r>
              <w:rPr>
                <w:sz w:val="16"/>
              </w:rPr>
              <w:t>ECL</w:t>
            </w:r>
          </w:p>
        </w:tc>
        <w:tc>
          <w:tcPr>
            <w:tcW w:w="1512" w:type="dxa"/>
            <w:vAlign w:val="center"/>
          </w:tcPr>
          <w:p w14:paraId="61CBF78F" w14:textId="77777777" w:rsidR="00FA1C3E" w:rsidRDefault="00DF00D8" w:rsidP="00B632D2">
            <w:r>
              <w:rPr>
                <w:sz w:val="16"/>
              </w:rPr>
              <w:t>Preregistered</w:t>
            </w:r>
          </w:p>
        </w:tc>
        <w:tc>
          <w:tcPr>
            <w:tcW w:w="1440" w:type="dxa"/>
            <w:vAlign w:val="center"/>
          </w:tcPr>
          <w:p w14:paraId="68E51751" w14:textId="77777777" w:rsidR="00FA1C3E" w:rsidRDefault="00DF00D8" w:rsidP="00B632D2">
            <w:r>
              <w:rPr>
                <w:sz w:val="16"/>
              </w:rPr>
              <w:t>Median share / ratio</w:t>
            </w:r>
          </w:p>
        </w:tc>
        <w:tc>
          <w:tcPr>
            <w:tcW w:w="1584" w:type="dxa"/>
            <w:vAlign w:val="center"/>
          </w:tcPr>
          <w:p w14:paraId="37BC6D9F" w14:textId="77777777" w:rsidR="00FA1C3E" w:rsidRDefault="00DF00D8" w:rsidP="00B632D2">
            <w:r>
              <w:rPr>
                <w:sz w:val="16"/>
              </w:rPr>
              <w:t>83%; ratio 4.9</w:t>
            </w:r>
          </w:p>
        </w:tc>
        <w:tc>
          <w:tcPr>
            <w:tcW w:w="1656" w:type="dxa"/>
            <w:vAlign w:val="center"/>
          </w:tcPr>
          <w:p w14:paraId="52C63584" w14:textId="77777777" w:rsidR="00FA1C3E" w:rsidRDefault="00DF00D8" w:rsidP="00B632D2">
            <w:r>
              <w:rPr>
                <w:sz w:val="16"/>
              </w:rPr>
              <w:t>Two energy domains</w:t>
            </w:r>
          </w:p>
        </w:tc>
      </w:tr>
      <w:tr w:rsidR="00FA1C3E" w14:paraId="471C715F" w14:textId="77777777">
        <w:tc>
          <w:tcPr>
            <w:tcW w:w="1800" w:type="dxa"/>
            <w:vAlign w:val="center"/>
          </w:tcPr>
          <w:p w14:paraId="2DD15EB8" w14:textId="77777777" w:rsidR="00FA1C3E" w:rsidRDefault="00DF00D8" w:rsidP="00B632D2">
            <w:r>
              <w:rPr>
                <w:sz w:val="16"/>
              </w:rPr>
              <w:t>Fusion masks branch state</w:t>
            </w:r>
          </w:p>
        </w:tc>
        <w:tc>
          <w:tcPr>
            <w:tcW w:w="1080" w:type="dxa"/>
            <w:vAlign w:val="center"/>
          </w:tcPr>
          <w:p w14:paraId="542B7E60" w14:textId="77777777" w:rsidR="00FA1C3E" w:rsidRDefault="00DF00D8" w:rsidP="00B632D2">
            <w:r>
              <w:rPr>
                <w:sz w:val="16"/>
              </w:rPr>
              <w:t>Energy</w:t>
            </w:r>
          </w:p>
        </w:tc>
        <w:tc>
          <w:tcPr>
            <w:tcW w:w="1512" w:type="dxa"/>
            <w:vAlign w:val="center"/>
          </w:tcPr>
          <w:p w14:paraId="239C184C" w14:textId="77777777" w:rsidR="00FA1C3E" w:rsidRDefault="00DF00D8" w:rsidP="00B632D2">
            <w:r>
              <w:rPr>
                <w:sz w:val="16"/>
              </w:rPr>
              <w:t>Pre-specified / exploratory</w:t>
            </w:r>
          </w:p>
        </w:tc>
        <w:tc>
          <w:tcPr>
            <w:tcW w:w="1440" w:type="dxa"/>
            <w:vAlign w:val="center"/>
          </w:tcPr>
          <w:p w14:paraId="365CD2E8" w14:textId="77777777" w:rsidR="00FA1C3E" w:rsidRDefault="00DF00D8" w:rsidP="00B632D2">
            <w:r>
              <w:rPr>
                <w:sz w:val="16"/>
              </w:rPr>
              <w:t>Branch vs. fused output</w:t>
            </w:r>
          </w:p>
        </w:tc>
        <w:tc>
          <w:tcPr>
            <w:tcW w:w="1584" w:type="dxa"/>
            <w:vAlign w:val="center"/>
          </w:tcPr>
          <w:p w14:paraId="2213EA12" w14:textId="77777777" w:rsidR="00FA1C3E" w:rsidRDefault="00DF00D8" w:rsidP="00B632D2">
            <w:r>
              <w:rPr>
                <w:sz w:val="16"/>
              </w:rPr>
              <w:t>5.3–14.4× branch range</w:t>
            </w:r>
          </w:p>
        </w:tc>
        <w:tc>
          <w:tcPr>
            <w:tcW w:w="1656" w:type="dxa"/>
            <w:vAlign w:val="center"/>
          </w:tcPr>
          <w:p w14:paraId="71077B92" w14:textId="77777777" w:rsidR="00FA1C3E" w:rsidRDefault="00DF00D8" w:rsidP="00B632D2">
            <w:r>
              <w:rPr>
                <w:sz w:val="16"/>
              </w:rPr>
              <w:t>Specific gated architecture</w:t>
            </w:r>
          </w:p>
        </w:tc>
      </w:tr>
      <w:tr w:rsidR="00FA1C3E" w14:paraId="3AA87846" w14:textId="77777777">
        <w:tc>
          <w:tcPr>
            <w:tcW w:w="1800" w:type="dxa"/>
            <w:vAlign w:val="center"/>
          </w:tcPr>
          <w:p w14:paraId="2936218E" w14:textId="77777777" w:rsidR="00FA1C3E" w:rsidRPr="00322B42" w:rsidRDefault="00DF00D8" w:rsidP="00B632D2">
            <w:pPr>
              <w:rPr>
                <w:lang w:val="en-US"/>
              </w:rPr>
            </w:pPr>
            <w:r>
              <w:rPr>
                <w:sz w:val="16"/>
                <w:lang w:val="en-US"/>
              </w:rPr>
              <w:t>Identity is represented but little used</w:t>
            </w:r>
          </w:p>
        </w:tc>
        <w:tc>
          <w:tcPr>
            <w:tcW w:w="1080" w:type="dxa"/>
            <w:vAlign w:val="center"/>
          </w:tcPr>
          <w:p w14:paraId="1CB20879" w14:textId="77777777" w:rsidR="00FA1C3E" w:rsidRDefault="00DF00D8" w:rsidP="00B632D2">
            <w:r>
              <w:rPr>
                <w:sz w:val="16"/>
              </w:rPr>
              <w:t>Households</w:t>
            </w:r>
          </w:p>
        </w:tc>
        <w:tc>
          <w:tcPr>
            <w:tcW w:w="1512" w:type="dxa"/>
            <w:vAlign w:val="center"/>
          </w:tcPr>
          <w:p w14:paraId="74FBD329" w14:textId="77777777" w:rsidR="00FA1C3E" w:rsidRDefault="00DF00D8" w:rsidP="00B632D2">
            <w:r>
              <w:rPr>
                <w:sz w:val="16"/>
              </w:rPr>
              <w:t>Exploratory intervention</w:t>
            </w:r>
          </w:p>
        </w:tc>
        <w:tc>
          <w:tcPr>
            <w:tcW w:w="1440" w:type="dxa"/>
            <w:vAlign w:val="center"/>
          </w:tcPr>
          <w:p w14:paraId="7BE0B77D" w14:textId="77777777" w:rsidR="00FA1C3E" w:rsidRDefault="00DF00D8" w:rsidP="00B632D2">
            <w:r>
              <w:rPr>
                <w:sz w:val="16"/>
              </w:rPr>
              <w:t>Fixed-weight effect</w:t>
            </w:r>
          </w:p>
        </w:tc>
        <w:tc>
          <w:tcPr>
            <w:tcW w:w="1584" w:type="dxa"/>
            <w:vAlign w:val="center"/>
          </w:tcPr>
          <w:p w14:paraId="76EC3051" w14:textId="77777777" w:rsidR="00FA1C3E" w:rsidRDefault="00DF00D8" w:rsidP="00B632D2">
            <w:r>
              <w:rPr>
                <w:sz w:val="16"/>
              </w:rPr>
              <w:t>Median &lt;0.7%</w:t>
            </w:r>
          </w:p>
        </w:tc>
        <w:tc>
          <w:tcPr>
            <w:tcW w:w="1656" w:type="dxa"/>
            <w:vAlign w:val="center"/>
          </w:tcPr>
          <w:p w14:paraId="5E0681A5" w14:textId="77777777" w:rsidR="00FA1C3E" w:rsidRDefault="00DF00D8" w:rsidP="00B632D2">
            <w:r>
              <w:rPr>
                <w:sz w:val="16"/>
              </w:rPr>
              <w:t>Specific component</w:t>
            </w:r>
          </w:p>
        </w:tc>
      </w:tr>
      <w:tr w:rsidR="00FA1C3E" w14:paraId="694F897D" w14:textId="77777777">
        <w:tc>
          <w:tcPr>
            <w:tcW w:w="1800" w:type="dxa"/>
            <w:vAlign w:val="center"/>
          </w:tcPr>
          <w:p w14:paraId="6C1AED65" w14:textId="77777777" w:rsidR="00FA1C3E" w:rsidRPr="00322B42" w:rsidRDefault="00DF00D8" w:rsidP="00B632D2">
            <w:pPr>
              <w:rPr>
                <w:lang w:val="en-US"/>
              </w:rPr>
            </w:pPr>
            <w:r>
              <w:rPr>
                <w:sz w:val="16"/>
                <w:lang w:val="en-US"/>
              </w:rPr>
              <w:t>Apparent identity effect is metric-dependent</w:t>
            </w:r>
          </w:p>
        </w:tc>
        <w:tc>
          <w:tcPr>
            <w:tcW w:w="1080" w:type="dxa"/>
            <w:vAlign w:val="center"/>
          </w:tcPr>
          <w:p w14:paraId="60121EF8" w14:textId="77777777" w:rsidR="00FA1C3E" w:rsidRDefault="00DF00D8" w:rsidP="00B632D2">
            <w:r>
              <w:rPr>
                <w:sz w:val="16"/>
              </w:rPr>
              <w:t>OpenML-CC18</w:t>
            </w:r>
          </w:p>
        </w:tc>
        <w:tc>
          <w:tcPr>
            <w:tcW w:w="1512" w:type="dxa"/>
            <w:vAlign w:val="center"/>
          </w:tcPr>
          <w:p w14:paraId="323B03DC" w14:textId="77777777" w:rsidR="00FA1C3E" w:rsidRDefault="00DF00D8" w:rsidP="00B632D2">
            <w:r>
              <w:rPr>
                <w:sz w:val="16"/>
              </w:rPr>
              <w:t>Pre-specified scope probe</w:t>
            </w:r>
          </w:p>
        </w:tc>
        <w:tc>
          <w:tcPr>
            <w:tcW w:w="1440" w:type="dxa"/>
            <w:vAlign w:val="center"/>
          </w:tcPr>
          <w:p w14:paraId="1D0FDAC0" w14:textId="77777777" w:rsidR="00FA1C3E" w:rsidRDefault="00DF00D8" w:rsidP="00B632D2">
            <w:r>
              <w:rPr>
                <w:sz w:val="16"/>
              </w:rPr>
              <w:t>Paired task effect</w:t>
            </w:r>
          </w:p>
        </w:tc>
        <w:tc>
          <w:tcPr>
            <w:tcW w:w="1584" w:type="dxa"/>
            <w:vAlign w:val="center"/>
          </w:tcPr>
          <w:p w14:paraId="0447CAB3" w14:textId="77777777" w:rsidR="00FA1C3E" w:rsidRDefault="00DF00D8" w:rsidP="00B632D2">
            <w:r>
              <w:rPr>
                <w:sz w:val="16"/>
              </w:rPr>
              <w:t>Heterogeneous; primary CI includes 0</w:t>
            </w:r>
          </w:p>
        </w:tc>
        <w:tc>
          <w:tcPr>
            <w:tcW w:w="1656" w:type="dxa"/>
            <w:vAlign w:val="center"/>
          </w:tcPr>
          <w:p w14:paraId="5137EB6D" w14:textId="77777777" w:rsidR="00FA1C3E" w:rsidRDefault="00DF00D8" w:rsidP="00B632D2">
            <w:r>
              <w:rPr>
                <w:sz w:val="16"/>
              </w:rPr>
              <w:t>17 tasks</w:t>
            </w:r>
          </w:p>
        </w:tc>
      </w:tr>
    </w:tbl>
    <w:p w14:paraId="2B5A78E5" w14:textId="77777777" w:rsidR="003A471E" w:rsidRPr="00F22774" w:rsidRDefault="003A471E" w:rsidP="00B632D2">
      <w:pPr>
        <w:pStyle w:val="1"/>
        <w:numPr>
          <w:ilvl w:val="0"/>
          <w:numId w:val="1"/>
        </w:numPr>
        <w:spacing w:before="400" w:after="200"/>
        <w:jc w:val="both"/>
        <w:rPr>
          <w:lang w:val="en-US"/>
        </w:rPr>
      </w:pPr>
      <w:r>
        <w:rPr>
          <w:lang w:val="en-US"/>
        </w:rPr>
        <w:t>Related work</w:t>
      </w:r>
    </w:p>
    <w:p w14:paraId="48DCC607" w14:textId="77777777" w:rsidR="00FA1C3E" w:rsidRPr="00322B42" w:rsidRDefault="000C3118" w:rsidP="00B632D2">
      <w:pPr>
        <w:spacing w:line="240" w:lineRule="auto"/>
        <w:jc w:val="both"/>
        <w:rPr>
          <w:lang w:val="en-US"/>
        </w:rPr>
      </w:pPr>
      <w:r>
        <w:rPr>
          <w:lang w:val="en-US"/>
        </w:rPr>
        <w:t>Decomposition followed by a learned forecaster is common in short-term load forecasting (</w:t>
      </w:r>
      <w:hyperlink w:anchor="ref_dong_2025" w:history="1">
        <w:r>
          <w:rPr>
            <w:color w:val="0563C1"/>
            <w:u w:val="single"/>
            <w:lang w:val="en-US"/>
          </w:rPr>
          <w:t>Dong et al., 2025</w:t>
        </w:r>
      </w:hyperlink>
      <w:r>
        <w:rPr>
          <w:lang w:val="en-US"/>
        </w:rPr>
        <w:t xml:space="preserve">; </w:t>
      </w:r>
      <w:hyperlink w:anchor="ref_zhou_2024" w:history="1">
        <w:r>
          <w:rPr>
            <w:color w:val="0563C1"/>
            <w:u w:val="single"/>
            <w:lang w:val="en-US"/>
          </w:rPr>
          <w:t>Zhou et al., 2024</w:t>
        </w:r>
      </w:hyperlink>
      <w:r>
        <w:rPr>
          <w:lang w:val="en-US"/>
        </w:rPr>
        <w:t>). Variational mode decomposition supplies a fixed number of band-limited components (</w:t>
      </w:r>
      <w:hyperlink w:anchor="ref_dragomiretskiy_2014" w:history="1">
        <w:r>
          <w:rPr>
            <w:color w:val="0563C1"/>
            <w:u w:val="single"/>
            <w:lang w:val="en-US"/>
          </w:rPr>
          <w:t>Dragomiretskiy &amp; Zosso, 2014</w:t>
        </w:r>
      </w:hyperlink>
      <w:r>
        <w:rPr>
          <w:lang w:val="en-US"/>
        </w:rPr>
        <w:t>) and has been combined with household-level deep forecasters (</w:t>
      </w:r>
      <w:hyperlink w:anchor="ref_ahajjam_2022" w:history="1">
        <w:r>
          <w:rPr>
            <w:color w:val="0563C1"/>
            <w:u w:val="single"/>
            <w:lang w:val="en-US"/>
          </w:rPr>
          <w:t>Ahajjam et al., 2022</w:t>
        </w:r>
      </w:hyperlink>
      <w:r>
        <w:rPr>
          <w:lang w:val="en-US"/>
        </w:rPr>
        <w:t>). Such hybrids often share an encoder across components and establish benefit through a small ablation, which motivates our joint examination of component identity and evaluation uncertainty.</w:t>
      </w:r>
    </w:p>
    <w:p w14:paraId="58A5D667" w14:textId="77777777" w:rsidR="00FA1C3E" w:rsidRPr="00322B42" w:rsidRDefault="000C3118" w:rsidP="00B632D2">
      <w:pPr>
        <w:spacing w:line="240" w:lineRule="auto"/>
        <w:jc w:val="both"/>
        <w:rPr>
          <w:lang w:val="en-US"/>
        </w:rPr>
      </w:pPr>
      <w:r>
        <w:rPr>
          <w:lang w:val="en-US"/>
        </w:rPr>
        <w:t>Identity signals allow a shared encoder to distinguish its inputs. Related mechanisms appear in multivariate forecasters such as iTransformer, CARD, Client and SOFTS (</w:t>
      </w:r>
      <w:hyperlink w:anchor="ref_gao_2023" w:history="1">
        <w:r>
          <w:rPr>
            <w:color w:val="0563C1"/>
            <w:u w:val="single"/>
            <w:lang w:val="en-US"/>
          </w:rPr>
          <w:t>Gao et al., 2023</w:t>
        </w:r>
      </w:hyperlink>
      <w:r>
        <w:rPr>
          <w:lang w:val="en-US"/>
        </w:rPr>
        <w:t xml:space="preserve">; </w:t>
      </w:r>
      <w:hyperlink w:anchor="ref_liu_2024" w:history="1">
        <w:r>
          <w:rPr>
            <w:color w:val="0563C1"/>
            <w:u w:val="single"/>
            <w:lang w:val="en-US"/>
          </w:rPr>
          <w:t>Liu et al., 2024</w:t>
        </w:r>
      </w:hyperlink>
      <w:r>
        <w:rPr>
          <w:lang w:val="en-US"/>
        </w:rPr>
        <w:t xml:space="preserve">; </w:t>
      </w:r>
      <w:hyperlink w:anchor="ref_xue_2024" w:history="1">
        <w:r>
          <w:rPr>
            <w:color w:val="0563C1"/>
            <w:u w:val="single"/>
            <w:lang w:val="en-US"/>
          </w:rPr>
          <w:t>Xue et al., 2024</w:t>
        </w:r>
      </w:hyperlink>
      <w:r>
        <w:rPr>
          <w:lang w:val="en-US"/>
        </w:rPr>
        <w:t xml:space="preserve">; </w:t>
      </w:r>
      <w:hyperlink w:anchor="ref_han_2024" w:history="1">
        <w:r>
          <w:rPr>
            <w:color w:val="0563C1"/>
            <w:u w:val="single"/>
            <w:lang w:val="en-US"/>
          </w:rPr>
          <w:t>Han et al., 2024</w:t>
        </w:r>
      </w:hyperlink>
      <w:r>
        <w:rPr>
          <w:lang w:val="en-US"/>
        </w:rPr>
        <w:t>). Their analyses motivate learned channel or mode representations, but an end-task ablation or embedding visualization does not by itself separate what is encoded, what the model uses and what changes because of retraining. Our fixed-weight interventions target that distinction without making claims about those models.</w:t>
      </w:r>
    </w:p>
    <w:p w14:paraId="6D1F21C7" w14:textId="77777777" w:rsidR="00FA1C3E" w:rsidRPr="00322B42" w:rsidRDefault="000C3118" w:rsidP="00B632D2">
      <w:pPr>
        <w:spacing w:line="240" w:lineRule="auto"/>
        <w:jc w:val="both"/>
        <w:rPr>
          <w:lang w:val="en-US"/>
        </w:rPr>
      </w:pPr>
      <w:r>
        <w:rPr>
          <w:lang w:val="en-US"/>
        </w:rPr>
        <w:t>The same distinction is central to probing: decodability does not establish causal use, and controls are required to interpret a probe (</w:t>
      </w:r>
      <w:hyperlink w:anchor="ref_hewitt_2019" w:history="1">
        <w:r>
          <w:rPr>
            <w:color w:val="0563C1"/>
            <w:u w:val="single"/>
            <w:lang w:val="en-US"/>
          </w:rPr>
          <w:t>Hewitt &amp; Liang, 2019</w:t>
        </w:r>
      </w:hyperlink>
      <w:r>
        <w:rPr>
          <w:lang w:val="en-US"/>
        </w:rPr>
        <w:t xml:space="preserve">; </w:t>
      </w:r>
      <w:hyperlink w:anchor="ref_belinkov_2022" w:history="1">
        <w:r>
          <w:rPr>
            <w:color w:val="0563C1"/>
            <w:u w:val="single"/>
            <w:lang w:val="en-US"/>
          </w:rPr>
          <w:t>Belinkov, 2022</w:t>
        </w:r>
      </w:hyperlink>
      <w:r>
        <w:rPr>
          <w:lang w:val="en-US"/>
        </w:rPr>
        <w:t>). Forecasting work on disentangled representations similarly treats separability as evidence of useful structure (</w:t>
      </w:r>
      <w:hyperlink w:anchor="ref_woo_2022a" w:history="1">
        <w:r>
          <w:rPr>
            <w:color w:val="0563C1"/>
            <w:u w:val="single"/>
            <w:lang w:val="en-US"/>
          </w:rPr>
          <w:t>Woo et al., 2022a</w:t>
        </w:r>
      </w:hyperlink>
      <w:r>
        <w:rPr>
          <w:lang w:val="en-US"/>
        </w:rPr>
        <w:t xml:space="preserve">; </w:t>
      </w:r>
      <w:hyperlink w:anchor="ref_wang_2022" w:history="1">
        <w:r>
          <w:rPr>
            <w:color w:val="0563C1"/>
            <w:u w:val="single"/>
            <w:lang w:val="en-US"/>
          </w:rPr>
          <w:t>Wang et al., 2022</w:t>
        </w:r>
      </w:hyperlink>
      <w:r>
        <w:rPr>
          <w:lang w:val="en-US"/>
        </w:rPr>
        <w:t>). We add a mechanism-absent control and direct perturbations, allowing representation and use to be evaluated separately.</w:t>
      </w:r>
      <w:r>
        <w:rPr>
          <w:rFonts w:cs="Times New Roman"/>
          <w:lang w:val="en-US"/>
        </w:rPr>
        <w:t xml:space="preserve"> Reanalyses in neighboring fields have repeatedly shown that reported gains can dissolve once evaluation is controlled (</w:t>
      </w:r>
      <w:hyperlink w:anchor="ref_ferraridacrema_2019">
        <w:r>
          <w:rPr>
            <w:rFonts w:cs="Times New Roman"/>
            <w:color w:val="0563C1"/>
            <w:lang w:val="en-US"/>
          </w:rPr>
          <w:t>Ferrari Dacrema et al., 2019</w:t>
        </w:r>
      </w:hyperlink>
      <w:r>
        <w:rPr>
          <w:rFonts w:cs="Times New Roman"/>
          <w:lang w:val="en-US"/>
        </w:rPr>
        <w:t xml:space="preserve">; </w:t>
      </w:r>
      <w:hyperlink w:anchor="ref_musgrave_2020">
        <w:r>
          <w:rPr>
            <w:rFonts w:cs="Times New Roman"/>
            <w:color w:val="0563C1"/>
            <w:lang w:val="en-US"/>
          </w:rPr>
          <w:t>Musgrave et al., 2020</w:t>
        </w:r>
      </w:hyperlink>
      <w:r>
        <w:rPr>
          <w:rFonts w:cs="Times New Roman"/>
          <w:lang w:val="en-US"/>
        </w:rPr>
        <w:t xml:space="preserve">; </w:t>
      </w:r>
      <w:hyperlink w:anchor="ref_errica_2020">
        <w:r>
          <w:rPr>
            <w:rFonts w:cs="Times New Roman"/>
            <w:color w:val="0563C1"/>
            <w:lang w:val="en-US"/>
          </w:rPr>
          <w:t>Errica et al., 2020</w:t>
        </w:r>
      </w:hyperlink>
      <w:r>
        <w:rPr>
          <w:rFonts w:cs="Times New Roman"/>
          <w:lang w:val="en-US"/>
        </w:rPr>
        <w:t>).</w:t>
      </w:r>
    </w:p>
    <w:p w14:paraId="5E5FD2DE" w14:textId="77777777" w:rsidR="00C218B0" w:rsidRDefault="000C3118" w:rsidP="00B632D2">
      <w:pPr>
        <w:spacing w:line="240" w:lineRule="auto"/>
        <w:jc w:val="both"/>
        <w:rPr>
          <w:lang w:val="en-US"/>
        </w:rPr>
      </w:pPr>
      <w:r>
        <w:rPr>
          <w:lang w:val="en-US"/>
        </w:rPr>
        <w:t>Seed sensitivity is well documented across deep learning (</w:t>
      </w:r>
      <w:hyperlink w:anchor="ref_henderson_2018" w:history="1">
        <w:r>
          <w:rPr>
            <w:color w:val="0563C1"/>
            <w:u w:val="single"/>
            <w:lang w:val="en-US"/>
          </w:rPr>
          <w:t>Henderson et al., 2018</w:t>
        </w:r>
      </w:hyperlink>
      <w:r>
        <w:rPr>
          <w:lang w:val="en-US"/>
        </w:rPr>
        <w:t xml:space="preserve">; </w:t>
      </w:r>
      <w:hyperlink w:anchor="ref_dodge_2020" w:history="1">
        <w:r>
          <w:rPr>
            <w:color w:val="0563C1"/>
            <w:u w:val="single"/>
            <w:lang w:val="en-US"/>
          </w:rPr>
          <w:t>Dodge et al., 2020</w:t>
        </w:r>
      </w:hyperlink>
      <w:r>
        <w:rPr>
          <w:lang w:val="en-US"/>
        </w:rPr>
        <w:t xml:space="preserve">; </w:t>
      </w:r>
      <w:hyperlink w:anchor="ref_picard_2021" w:history="1">
        <w:r>
          <w:rPr>
            <w:color w:val="0563C1"/>
            <w:u w:val="single"/>
            <w:lang w:val="en-US"/>
          </w:rPr>
          <w:t>Picard, 2021</w:t>
        </w:r>
      </w:hyperlink>
      <w:r>
        <w:rPr>
          <w:lang w:val="en-US"/>
        </w:rPr>
        <w:t xml:space="preserve">; </w:t>
      </w:r>
      <w:hyperlink w:anchor="ref_summers_2021" w:history="1">
        <w:r>
          <w:rPr>
            <w:color w:val="0563C1"/>
            <w:u w:val="single"/>
            <w:lang w:val="en-US"/>
          </w:rPr>
          <w:t>Summers &amp; Dinneen, 2021</w:t>
        </w:r>
      </w:hyperlink>
      <w:r>
        <w:rPr>
          <w:lang w:val="en-US"/>
        </w:rPr>
        <w:t>) and can change model rankings in time-series forecasting (</w:t>
      </w:r>
      <w:hyperlink w:anchor="ref_gundersen_2023" w:history="1">
        <w:r>
          <w:rPr>
            <w:color w:val="0563C1"/>
            <w:u w:val="single"/>
            <w:lang w:val="en-US"/>
          </w:rPr>
          <w:t>Gundersen et al., 2023</w:t>
        </w:r>
      </w:hyperlink>
      <w:r>
        <w:rPr>
          <w:lang w:val="en-US"/>
        </w:rPr>
        <w:t xml:space="preserve">). </w:t>
      </w:r>
      <w:hyperlink w:anchor="ref_bouthillier_2021" w:history="1">
        <w:r>
          <w:rPr>
            <w:color w:val="0563C1"/>
            <w:u w:val="single"/>
            <w:lang w:val="en-US"/>
          </w:rPr>
          <w:t>Bouthillier et al. (2021)</w:t>
        </w:r>
      </w:hyperlink>
      <w:r>
        <w:rPr>
          <w:lang w:val="en-US"/>
        </w:rPr>
        <w:t xml:space="preserve"> decompose benchmark variance across data and training choices. Our complementary focus is the variance of a paired architectural effect: stochastic training is set directly against finite-evaluation variance, both are propagated into unit-level and random-effects inference, and the ratio receives a small-seed interval. This converts the general recommendation to repeat training into a design-specific assessment of how many runs are needed and whether the architectural conclusion survives. The two estimands are not numerically interchangeable. Bouthillier et al.'s dominant source, data sampling, is measured by bootstrapping the whole dataset into a new train/test pair so it reflects both which </w:t>
      </w:r>
      <w:r>
        <w:rPr>
          <w:lang w:val="en-US"/>
        </w:rPr>
        <w:lastRenderedPageBreak/>
        <w:t xml:space="preserve">examples the model was fitted on and which it was scored on; their model-initialization term, measured against that same resampled split, contributes under half of that variance. Our design instead holds the household/client partition fixed throughout — no unit is ever resampled into or out of training — and separates two components of a fixed-split estimate: the training-seed component and a finite-evaluation component obtained by block-bootstrapping test windows under an unchanged trained model. Their denominator therefore includes a source of variation that ours excludes by construction, and no common ratio can be computed without collapsing that distinction. </w:t>
      </w:r>
    </w:p>
    <w:p w14:paraId="1D2966FE" w14:textId="77777777" w:rsidR="00FA1C3E" w:rsidRPr="000C3118" w:rsidRDefault="00DF00D8" w:rsidP="00B632D2">
      <w:pPr>
        <w:spacing w:line="240" w:lineRule="auto"/>
        <w:jc w:val="both"/>
        <w:rPr>
          <w:lang w:val="en-US"/>
        </w:rPr>
      </w:pPr>
      <w:r>
        <w:rPr>
          <w:lang w:val="en-US"/>
        </w:rPr>
        <w:t xml:space="preserve">Full bibliographic details are listed in </w:t>
      </w:r>
      <w:hyperlink w:anchor="references_section">
        <w:r>
          <w:rPr>
            <w:color w:val="0563C1"/>
            <w:u w:val="single"/>
            <w:lang w:val="en-US"/>
          </w:rPr>
          <w:t>References</w:t>
        </w:r>
      </w:hyperlink>
      <w:r>
        <w:rPr>
          <w:lang w:val="en-US"/>
        </w:rPr>
        <w:t>.</w:t>
      </w:r>
    </w:p>
    <w:p w14:paraId="5860D7AB" w14:textId="77777777" w:rsidR="003A471E" w:rsidRPr="00F22774" w:rsidRDefault="003A471E" w:rsidP="00B632D2">
      <w:pPr>
        <w:pStyle w:val="1"/>
        <w:numPr>
          <w:ilvl w:val="0"/>
          <w:numId w:val="1"/>
        </w:numPr>
        <w:spacing w:before="400" w:after="200"/>
        <w:jc w:val="both"/>
        <w:rPr>
          <w:lang w:val="en-US"/>
        </w:rPr>
      </w:pPr>
      <w:r>
        <w:rPr>
          <w:lang w:val="en-US"/>
        </w:rPr>
        <w:t>The architecture under study</w:t>
      </w:r>
    </w:p>
    <w:p w14:paraId="163E9A35" w14:textId="77777777" w:rsidR="003A471E" w:rsidRPr="00F22774" w:rsidRDefault="00EF5D14" w:rsidP="00B632D2">
      <w:pPr>
        <w:spacing w:line="240" w:lineRule="auto"/>
        <w:jc w:val="both"/>
        <w:rPr>
          <w:lang w:val="en-US"/>
        </w:rPr>
      </w:pPr>
      <w:r>
        <w:rPr>
          <w:lang w:val="en-US"/>
        </w:rPr>
        <w:t>The architecture under study (Fig. 1) was developed in earlier work by two of the present authors and reported as an improvement over an undecomposed baseline. We describe it in the detail needed to follow the experiments, and we make no claim for it here; where the analysis identifies defects in it, those are findings about the architecture and about what an ablation can reveal, not proposals for a better forecaster.</w:t>
      </w:r>
    </w:p>
    <w:p w14:paraId="7AAEA9FC" w14:textId="77777777" w:rsidR="00CA4BED" w:rsidRPr="00F22774" w:rsidRDefault="00F1126C" w:rsidP="00D5552D">
      <w:pPr>
        <w:spacing w:line="240" w:lineRule="auto"/>
        <w:jc w:val="center"/>
        <w:rPr>
          <w:lang w:val="en-US"/>
        </w:rPr>
      </w:pPr>
      <w:r>
        <w:rPr>
          <w:noProof/>
          <w:lang w:val="en-US"/>
        </w:rPr>
        <w:drawing>
          <wp:inline distT="0" distB="0" distL="0" distR="0" wp14:anchorId="21985B9F" wp14:editId="6CFF9CFB">
            <wp:extent cx="5600948" cy="2875916"/>
            <wp:effectExtent l="0" t="0" r="0"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00948" cy="2875916"/>
                    </a:xfrm>
                    <a:prstGeom prst="rect">
                      <a:avLst/>
                    </a:prstGeom>
                  </pic:spPr>
                </pic:pic>
              </a:graphicData>
            </a:graphic>
          </wp:inline>
        </w:drawing>
      </w:r>
    </w:p>
    <w:p w14:paraId="19BC145F" w14:textId="77777777" w:rsidR="00CA4BED" w:rsidRPr="00F22774" w:rsidRDefault="00CA4BED" w:rsidP="00B632D2">
      <w:pPr>
        <w:spacing w:line="240" w:lineRule="auto"/>
        <w:jc w:val="both"/>
        <w:rPr>
          <w:lang w:val="en-US"/>
        </w:rPr>
      </w:pPr>
      <w:r>
        <w:rPr>
          <w:b/>
          <w:lang w:val="en-US"/>
        </w:rPr>
        <w:t>Fig. 1</w:t>
      </w:r>
      <w:r>
        <w:rPr>
          <w:lang w:val="en-US"/>
        </w:rPr>
        <w:t xml:space="preserve"> Architecture under study. An input window is decomposed into six modes, each passed through a weight‑tied patch Transformer; per‑mode forecasts are aggregated and combined with a direct‑path forecast by a learned gate. Toggles A–C are the binary design factors (§4.3.1): auxiliary objective, aggregation rule, and identity embeddings. A and B align when both are sum or when per‑mode meets convex; the other pairings are misaligned cells (§5.1.2). Circled numbers mark inference‑time interventions (§5.3)</w:t>
      </w:r>
    </w:p>
    <w:p w14:paraId="5F6642AC" w14:textId="77777777" w:rsidR="003A471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Decomposition and the shared encoder</w:t>
      </w:r>
    </w:p>
    <w:p w14:paraId="7118A93B" w14:textId="77777777" w:rsidR="003A471E" w:rsidRPr="00F22774" w:rsidRDefault="003A471E" w:rsidP="00B632D2">
      <w:pPr>
        <w:spacing w:line="240" w:lineRule="auto"/>
        <w:jc w:val="both"/>
        <w:rPr>
          <w:lang w:val="en-US"/>
        </w:rPr>
      </w:pPr>
      <w:r>
        <w:rPr>
          <w:lang w:val="en-US"/>
        </w:rPr>
        <w:t>An input window of L = 168 hourly observations is decomposed into K = 6 modes by variational mode decomposition applied within the window, so that no information beyond the window enters the decomposition. Each mode is passed through a patch-based Transformer encoder whose weights are shared across modes, producing a per-mode forecast of the following T = 24 hours. The direct path applies a structurally similar encoder to the undecomposed window.</w:t>
      </w:r>
    </w:p>
    <w:p w14:paraId="5A213A16" w14:textId="77777777" w:rsidR="003A471E" w:rsidRPr="00F22774" w:rsidRDefault="003A471E" w:rsidP="00B632D2">
      <w:pPr>
        <w:pStyle w:val="2"/>
        <w:numPr>
          <w:ilvl w:val="1"/>
          <w:numId w:val="1"/>
        </w:numPr>
        <w:spacing w:line="240" w:lineRule="auto"/>
        <w:rPr>
          <w:lang w:val="en-US"/>
        </w:rPr>
      </w:pPr>
      <w:r>
        <w:rPr>
          <w:rFonts w:ascii="Times New Roman" w:eastAsia="Times New Roman" w:hAnsi="Times New Roman"/>
          <w:lang w:val="en-US"/>
        </w:rPr>
        <w:t xml:space="preserve"> The identity mechanism and the hypothesis it embodies</w:t>
      </w:r>
    </w:p>
    <w:p w14:paraId="47BE4F5C" w14:textId="77777777" w:rsidR="003A471E" w:rsidRPr="00F22774" w:rsidRDefault="003A471E" w:rsidP="00B632D2">
      <w:pPr>
        <w:spacing w:line="240" w:lineRule="auto"/>
        <w:jc w:val="both"/>
        <w:rPr>
          <w:lang w:val="en-US"/>
        </w:rPr>
      </w:pPr>
      <w:r>
        <w:rPr>
          <w:lang w:val="en-US"/>
        </w:rPr>
        <w:t>Because the encoder is weight-shared, it receives six inputs that differ in spectral content but carries no information about which is which. The identity mechanism adds a learned vector e(k) to the patch representations of mode k, giving the encoder an explicit signal of the mode it is processing.</w:t>
      </w:r>
    </w:p>
    <w:p w14:paraId="6AF74F71" w14:textId="77777777" w:rsidR="003A471E" w:rsidRPr="00F22774" w:rsidRDefault="003A471E" w:rsidP="00B632D2">
      <w:pPr>
        <w:spacing w:line="240" w:lineRule="auto"/>
        <w:jc w:val="both"/>
        <w:rPr>
          <w:lang w:val="en-US"/>
        </w:rPr>
      </w:pPr>
      <w:r>
        <w:rPr>
          <w:lang w:val="en-US"/>
        </w:rPr>
        <w:t xml:space="preserve">The earlier work formulated this as a hypothesis rather than an implementation detail: that a weight-shared, channel-independent encoder cannot benefit from decomposition unless each component carries an explicit identity signal, and that the mechanism is therefore not an optional refinement but the condition under which decomposition helps at all. The evidence was a component-wise ablation on one dataset, in which </w:t>
      </w:r>
      <w:r>
        <w:rPr>
          <w:lang w:val="en-US"/>
        </w:rPr>
        <w:lastRenderedPageBreak/>
        <w:t>the identity embedding was the dominant term and reversed the sign of the effect of decomposition. That hypothesis, and that form of evidence, are what the present study examines.</w:t>
      </w:r>
    </w:p>
    <w:p w14:paraId="2CAF85C8"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Aggregation and gated fusion</w:t>
      </w:r>
    </w:p>
    <w:p w14:paraId="64AC1A81" w14:textId="77777777" w:rsidR="003A471E" w:rsidRPr="00F22774" w:rsidRDefault="003A471E" w:rsidP="00B632D2">
      <w:pPr>
        <w:spacing w:line="240" w:lineRule="auto"/>
        <w:jc w:val="both"/>
        <w:rPr>
          <w:lang w:val="en-US"/>
        </w:rPr>
      </w:pPr>
      <w:r>
        <w:rPr>
          <w:lang w:val="en-US"/>
        </w:rPr>
        <w:t>The per-mode forecasts are combined by an aggregation module that learns a weight for each mode at each forecast horizon, normalized across modes by a SoftMax. The result and the direct-path forecast are then combined by a gate computed from the two outputs themselves,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8A2606" w14:paraId="732C8CBF" w14:textId="77777777" w:rsidTr="00220724">
        <w:tc>
          <w:tcPr>
            <w:tcW w:w="8784" w:type="dxa"/>
          </w:tcPr>
          <w:p w14:paraId="3981A054" w14:textId="77777777" w:rsidR="008A2606" w:rsidRPr="00490BC6" w:rsidRDefault="008A2606" w:rsidP="00B632D2">
            <w:pPr>
              <w:jc w:val="both"/>
              <w:rPr>
                <w:lang w:val="en-US"/>
              </w:rPr>
            </w:pPr>
            <m:oMathPara>
              <m:oMathParaPr>
                <m:jc m:val="center"/>
              </m:oMathParaPr>
              <m:oMath>
                <m:r>
                  <m:rPr>
                    <m:sty m:val="p"/>
                  </m:rPr>
                  <w:rPr>
                    <w:rFonts w:ascii="Cambria Math" w:hAnsi="Cambria Math"/>
                    <w:lang w:val="en-US"/>
                  </w:rPr>
                  <m:t>y=g∙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r>
                  <m:rPr>
                    <m:sty m:val="p"/>
                  </m:rPr>
                  <w:rPr>
                    <w:rFonts w:ascii="Cambria Math" w:hAnsi="Cambria Math"/>
                    <w:lang w:val="en-US"/>
                  </w:rPr>
                  <m:t>+(1-g)∙</m:t>
                </m:r>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m:oMathPara>
          </w:p>
        </w:tc>
        <w:tc>
          <w:tcPr>
            <w:tcW w:w="561" w:type="dxa"/>
          </w:tcPr>
          <w:p w14:paraId="3CF08BB6" w14:textId="77777777" w:rsidR="008A2606" w:rsidRPr="00490BC6" w:rsidRDefault="008A2606" w:rsidP="00B632D2">
            <w:pPr>
              <w:jc w:val="right"/>
              <w:rPr>
                <w:lang w:val="en-US"/>
              </w:rPr>
            </w:pPr>
            <w:r>
              <w:rPr>
                <w:lang w:val="en-US"/>
              </w:rPr>
              <w:t>(1)</w:t>
            </w:r>
          </w:p>
        </w:tc>
      </w:tr>
    </w:tbl>
    <w:p w14:paraId="0F206E1B" w14:textId="77777777" w:rsidR="003A471E" w:rsidRPr="00F22774" w:rsidRDefault="003A471E" w:rsidP="00B632D2">
      <w:pPr>
        <w:spacing w:before="160" w:line="240" w:lineRule="auto"/>
        <w:jc w:val="both"/>
        <w:rPr>
          <w:lang w:val="en-US"/>
        </w:rPr>
      </w:pPr>
      <w:r>
        <w:rPr>
          <w:lang w:val="en-US"/>
        </w:rPr>
        <w:t xml:space="preserve">where </w:t>
      </w:r>
      <w:r>
        <w:rPr>
          <w:rFonts w:cs="Times New Roman"/>
          <w:lang w:val="en-US"/>
        </w:rPr>
        <w:t xml:space="preserve">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vmd</m:t>
            </m:r>
          </m:sub>
        </m:sSub>
      </m:oMath>
      <w:r>
        <w:rPr>
          <w:lang w:val="en-US"/>
        </w:rPr>
        <w:t xml:space="preserve"> aggregates the per-mode forecasts produced from the decomposition,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skip</m:t>
            </m:r>
          </m:sub>
        </m:sSub>
      </m:oMath>
      <w:r>
        <w:rPr>
          <w:lang w:val="en-US"/>
        </w:rPr>
        <w:t xml:space="preserve"> is the direct-path forecast from the undecomposed window, and the gate g is computed from the two path outputs themselves. Training minimizes a Huber loss on y together with an auxiliary reconstruction term on the per-mode forecasts, weighted at 0.2. The exact form of that auxiliary term turns out to matter considerably and is treated as an experimental factor in Section 5 rather than as a fixed property of the architecture.</w:t>
      </w:r>
    </w:p>
    <w:p w14:paraId="6A2CB8E1" w14:textId="77777777" w:rsidR="003A471E" w:rsidRPr="00F22774" w:rsidRDefault="0011569C" w:rsidP="00B632D2">
      <w:pPr>
        <w:pStyle w:val="2"/>
        <w:numPr>
          <w:ilvl w:val="1"/>
          <w:numId w:val="1"/>
        </w:numPr>
        <w:spacing w:line="240" w:lineRule="auto"/>
        <w:rPr>
          <w:lang w:val="en-US"/>
        </w:rPr>
      </w:pPr>
      <w:r>
        <w:rPr>
          <w:rFonts w:ascii="Times New Roman" w:eastAsia="Times New Roman" w:hAnsi="Times New Roman"/>
          <w:lang w:val="en-US"/>
        </w:rPr>
        <w:t xml:space="preserve"> Why this architecture is a useful test case</w:t>
      </w:r>
    </w:p>
    <w:p w14:paraId="50BD7CFC" w14:textId="77777777" w:rsidR="00300032" w:rsidRPr="00F22774" w:rsidRDefault="003A471E" w:rsidP="00B632D2">
      <w:pPr>
        <w:spacing w:line="240" w:lineRule="auto"/>
        <w:jc w:val="both"/>
        <w:rPr>
          <w:lang w:val="en-US"/>
        </w:rPr>
      </w:pPr>
      <w:r>
        <w:rPr>
          <w:lang w:val="en-US"/>
        </w:rPr>
        <w:t xml:space="preserve">Three features make it well suited to the questions of this paper, and none of them is unusual. The component under study sits inside one branch of a two-branch model, so its effect on the reported metric is mediated by a learned combination rather than observed directly. </w:t>
      </w:r>
    </w:p>
    <w:p w14:paraId="1070A2F2" w14:textId="77777777" w:rsidR="003A471E" w:rsidRPr="00F22774" w:rsidRDefault="003A471E" w:rsidP="00B632D2">
      <w:pPr>
        <w:spacing w:line="240" w:lineRule="auto"/>
        <w:jc w:val="both"/>
        <w:rPr>
          <w:lang w:val="en-US"/>
        </w:rPr>
      </w:pPr>
      <w:r>
        <w:rPr>
          <w:lang w:val="en-US"/>
        </w:rPr>
        <w:t>Gated or attention-weighted fusion of decomposition branches is an established, if still minority, pattern in the literature: of thirteen decomposition-based forecasting architectures we surveyed, three (23%) combine branches through an instance-dependent gate or attention weighting analogous to the one studied here — TimesNet’s softmax-weighted period fusion (</w:t>
      </w:r>
      <w:hyperlink w:anchor="ref_wu_2023">
        <w:r>
          <w:rPr>
            <w:color w:val="0563C1"/>
            <w:lang w:val="en-US"/>
          </w:rPr>
          <w:t>Wu et al., 2023)</w:t>
        </w:r>
      </w:hyperlink>
      <w:r>
        <w:rPr>
          <w:lang w:val="en-US"/>
        </w:rPr>
        <w:t>, MDMixer’s learned multi-granularity gate (</w:t>
      </w:r>
      <w:hyperlink w:anchor="ref_gao_2025">
        <w:r>
          <w:rPr>
            <w:color w:val="0563C1"/>
            <w:lang w:val="en-US"/>
          </w:rPr>
          <w:t>Gao et al., 2025)</w:t>
        </w:r>
      </w:hyperlink>
      <w:r>
        <w:rPr>
          <w:lang w:val="en-US"/>
        </w:rPr>
        <w:t>, and FEDformer’s internal mixture-of-experts trend block (</w:t>
      </w:r>
      <w:hyperlink w:anchor="ref_zhou_2022a">
        <w:r>
          <w:rPr>
            <w:color w:val="0563C1"/>
            <w:lang w:val="en-US"/>
          </w:rPr>
          <w:t>Zhou et al., 2022a)</w:t>
        </w:r>
      </w:hyperlink>
      <w:r>
        <w:rPr>
          <w:lang w:val="en-US"/>
        </w:rPr>
        <w:t xml:space="preserve"> — while the remaining ten rely on fixed summation or a statically learned weighting (</w:t>
      </w:r>
      <w:hyperlink w:anchor="ref_wu_2021">
        <w:r>
          <w:rPr>
            <w:color w:val="0563C1"/>
            <w:lang w:val="en-US"/>
          </w:rPr>
          <w:t>Wu et al., 2021</w:t>
        </w:r>
      </w:hyperlink>
      <w:r>
        <w:rPr>
          <w:lang w:val="en-US"/>
        </w:rPr>
        <w:t xml:space="preserve">; </w:t>
      </w:r>
      <w:hyperlink w:anchor="ref_zeng_2023">
        <w:r>
          <w:rPr>
            <w:color w:val="0563C1"/>
            <w:lang w:val="en-US"/>
          </w:rPr>
          <w:t>Zeng et al., 2023</w:t>
        </w:r>
      </w:hyperlink>
      <w:r>
        <w:rPr>
          <w:lang w:val="en-US"/>
        </w:rPr>
        <w:t xml:space="preserve">; </w:t>
      </w:r>
      <w:hyperlink w:anchor="ref_oreshkin_2020">
        <w:r>
          <w:rPr>
            <w:color w:val="0563C1"/>
            <w:lang w:val="en-US"/>
          </w:rPr>
          <w:t>Oreshkin et al., 2020</w:t>
        </w:r>
      </w:hyperlink>
      <w:r>
        <w:rPr>
          <w:lang w:val="en-US"/>
        </w:rPr>
        <w:t xml:space="preserve">; </w:t>
      </w:r>
      <w:hyperlink w:anchor="ref_challu_2023">
        <w:r>
          <w:rPr>
            <w:color w:val="0563C1"/>
            <w:lang w:val="en-US"/>
          </w:rPr>
          <w:t>Challu et al., 2023</w:t>
        </w:r>
      </w:hyperlink>
      <w:r>
        <w:rPr>
          <w:lang w:val="en-US"/>
        </w:rPr>
        <w:t xml:space="preserve">; </w:t>
      </w:r>
      <w:hyperlink w:anchor="ref_woo_2022b">
        <w:r>
          <w:rPr>
            <w:color w:val="0563C1"/>
            <w:lang w:val="en-US"/>
          </w:rPr>
          <w:t>Woo et al., 2022b</w:t>
        </w:r>
      </w:hyperlink>
      <w:r>
        <w:rPr>
          <w:lang w:val="en-US"/>
        </w:rPr>
        <w:t xml:space="preserve">; </w:t>
      </w:r>
      <w:hyperlink w:anchor="ref_wang_2023">
        <w:r>
          <w:rPr>
            <w:color w:val="0563C1"/>
            <w:lang w:val="en-US"/>
          </w:rPr>
          <w:t>Wang et al., 2023</w:t>
        </w:r>
      </w:hyperlink>
      <w:r>
        <w:rPr>
          <w:lang w:val="en-US"/>
        </w:rPr>
        <w:t xml:space="preserve">; </w:t>
      </w:r>
      <w:hyperlink w:anchor="ref_wang_2024">
        <w:r>
          <w:rPr>
            <w:color w:val="0563C1"/>
            <w:lang w:val="en-US"/>
          </w:rPr>
          <w:t>Wang et al., 2024</w:t>
        </w:r>
      </w:hyperlink>
      <w:r>
        <w:rPr>
          <w:lang w:val="en-US"/>
        </w:rPr>
        <w:t xml:space="preserve">; </w:t>
      </w:r>
      <w:hyperlink w:anchor="ref_zhou_2022b">
        <w:r>
          <w:rPr>
            <w:color w:val="0563C1"/>
            <w:lang w:val="en-US"/>
          </w:rPr>
          <w:t>Zhou et al., 2022b</w:t>
        </w:r>
      </w:hyperlink>
      <w:r>
        <w:rPr>
          <w:lang w:val="en-US"/>
        </w:rPr>
        <w:t xml:space="preserve">; </w:t>
      </w:r>
      <w:hyperlink w:anchor="ref_zhang_2023">
        <w:r>
          <w:rPr>
            <w:color w:val="0563C1"/>
            <w:lang w:val="en-US"/>
          </w:rPr>
          <w:t>Zhang &amp; Yan, 2023</w:t>
        </w:r>
      </w:hyperlink>
      <w:r>
        <w:rPr>
          <w:lang w:val="en-US"/>
        </w:rPr>
        <w:t xml:space="preserve">; </w:t>
      </w:r>
      <w:hyperlink w:anchor="ref_murad_2025">
        <w:r>
          <w:rPr>
            <w:color w:val="0563C1"/>
            <w:lang w:val="en-US"/>
          </w:rPr>
          <w:t>Murad et al., 2025)</w:t>
        </w:r>
      </w:hyperlink>
      <w:r>
        <w:rPr>
          <w:lang w:val="en-US"/>
        </w:rPr>
        <w:t>. Adaptive fusion is therefore neither idiosyncratic to this architecture nor yet the majority design, which bears directly on how broadly the present findings should be expected to generalize. The component has an explicit representational purpose, which makes it possible to test whether it achieves that purpose separately from whether it helps. And the natural unit of replication, the household, is available in quantity across independently collected datasets, which is what allows the variance of the comparison to be decomposed at all.</w:t>
      </w:r>
    </w:p>
    <w:p w14:paraId="4C27D7C2" w14:textId="77777777" w:rsidR="003A471E" w:rsidRPr="00F22774" w:rsidRDefault="003A471E" w:rsidP="00B632D2">
      <w:pPr>
        <w:spacing w:line="240" w:lineRule="auto"/>
        <w:jc w:val="both"/>
        <w:rPr>
          <w:lang w:val="en-US"/>
        </w:rPr>
      </w:pPr>
      <w:r>
        <w:rPr>
          <w:lang w:val="en-US"/>
        </w:rPr>
        <w:t>The findings that follow therefore concern a specific model, and the conditions that produce them — mediated observation of a component through a learned, input-dependent combination — are common to a substantial minority of the broader family, though not yet to most of it.</w:t>
      </w:r>
    </w:p>
    <w:p w14:paraId="2F8D1002" w14:textId="77777777" w:rsidR="00CE1755" w:rsidRPr="00F22774" w:rsidRDefault="00E64F55" w:rsidP="00B632D2">
      <w:pPr>
        <w:pStyle w:val="1"/>
        <w:numPr>
          <w:ilvl w:val="0"/>
          <w:numId w:val="1"/>
        </w:numPr>
        <w:spacing w:before="400" w:after="200"/>
        <w:jc w:val="both"/>
        <w:rPr>
          <w:lang w:val="en-US"/>
        </w:rPr>
      </w:pPr>
      <w:r>
        <w:rPr>
          <w:lang w:val="en-US"/>
        </w:rPr>
        <w:t>Experimental protocol</w:t>
      </w:r>
    </w:p>
    <w:p w14:paraId="51ABF11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Datasets and households</w:t>
      </w:r>
    </w:p>
    <w:p w14:paraId="4C4D13CA" w14:textId="77777777" w:rsidR="00223512" w:rsidRPr="00F22774" w:rsidRDefault="00223512" w:rsidP="00B632D2">
      <w:pPr>
        <w:spacing w:line="240" w:lineRule="auto"/>
        <w:jc w:val="both"/>
        <w:rPr>
          <w:lang w:val="en-US"/>
        </w:rPr>
      </w:pPr>
      <w:r>
        <w:rPr>
          <w:lang w:val="en-US"/>
        </w:rPr>
        <w:t xml:space="preserve">We use three publicly available collections of household electricity measurements from two countries: UK‑DALE </w:t>
      </w:r>
      <w:r>
        <w:rPr>
          <w:rFonts w:cs="Times New Roman"/>
          <w:lang w:val="en-US"/>
        </w:rPr>
        <w:t>(</w:t>
      </w:r>
      <w:hyperlink w:anchor="ref_kelly_2015">
        <w:r>
          <w:rPr>
            <w:rFonts w:cs="Times New Roman"/>
            <w:color w:val="0563C1"/>
            <w:lang w:val="en-US"/>
          </w:rPr>
          <w:t>Kelly and Knottenbelt 2015)</w:t>
        </w:r>
      </w:hyperlink>
      <w:r>
        <w:rPr>
          <w:rFonts w:cs="Times New Roman"/>
          <w:color w:val="0563C1"/>
          <w:lang w:val="en-US"/>
        </w:rPr>
        <w:t xml:space="preserve"> </w:t>
      </w:r>
      <w:r>
        <w:rPr>
          <w:lang w:val="en-US"/>
        </w:rPr>
        <w:t xml:space="preserve">and REFIT </w:t>
      </w:r>
      <w:r>
        <w:rPr>
          <w:rFonts w:cs="Times New Roman"/>
          <w:lang w:val="en-US"/>
        </w:rPr>
        <w:t>(</w:t>
      </w:r>
      <w:hyperlink w:anchor="ref_murray_2017">
        <w:r>
          <w:rPr>
            <w:rFonts w:cs="Times New Roman"/>
            <w:color w:val="0563C1"/>
            <w:lang w:val="en-US"/>
          </w:rPr>
          <w:t>Murray et al. 2017)</w:t>
        </w:r>
      </w:hyperlink>
      <w:r>
        <w:rPr>
          <w:rFonts w:cs="Times New Roman"/>
          <w:color w:val="0563C1"/>
          <w:lang w:val="en-US"/>
        </w:rPr>
        <w:t xml:space="preserve"> </w:t>
      </w:r>
      <w:r>
        <w:rPr>
          <w:lang w:val="en-US"/>
        </w:rPr>
        <w:t xml:space="preserve">from the United Kingdom, and SHEERM </w:t>
      </w:r>
      <w:r>
        <w:rPr>
          <w:rFonts w:cs="Times New Roman"/>
          <w:lang w:val="en-US"/>
        </w:rPr>
        <w:t>(</w:t>
      </w:r>
      <w:hyperlink w:anchor="ref_fernandes_2024">
        <w:r>
          <w:rPr>
            <w:rFonts w:cs="Times New Roman"/>
            <w:color w:val="0563C1"/>
            <w:lang w:val="en-US"/>
          </w:rPr>
          <w:t>Fernandes et al. 2024)</w:t>
        </w:r>
      </w:hyperlink>
      <w:r>
        <w:rPr>
          <w:rFonts w:cs="Times New Roman"/>
          <w:color w:val="0563C1"/>
          <w:lang w:val="en-US"/>
        </w:rPr>
        <w:t xml:space="preserve"> </w:t>
      </w:r>
      <w:r>
        <w:rPr>
          <w:lang w:val="en-US"/>
        </w:rPr>
        <w:t xml:space="preserve">from Portugal. One collection (UK‑DALE) contributes a single household and should be read as a supplementary check rather than an independent replication. </w:t>
      </w:r>
      <w:r>
        <w:rPr>
          <w:rFonts w:cs="Times New Roman"/>
          <w:lang w:val="en-US"/>
        </w:rPr>
        <w:t xml:space="preserve">REFIT has been used for household-level load forecasting by our group in earlier work on a different architecture </w:t>
      </w:r>
      <w:hyperlink w:anchor="ref_tokhmetov_2026">
        <w:r>
          <w:rPr>
            <w:rFonts w:cs="Times New Roman"/>
            <w:color w:val="0563C1"/>
            <w:lang w:val="en-US"/>
          </w:rPr>
          <w:t>(Tokhmetov et al., 2026)</w:t>
        </w:r>
      </w:hyperlink>
      <w:r>
        <w:rPr>
          <w:rFonts w:cs="Times New Roman"/>
          <w:lang w:val="en-US"/>
        </w:rPr>
        <w:t>. Only the aggregate household demand is used; appliance-level channels are not, and the task throughout is the forecasting of total household load rather than its disaggregation.</w:t>
      </w:r>
    </w:p>
    <w:p w14:paraId="43FCFFB4" w14:textId="77777777" w:rsidR="00E64F55" w:rsidRPr="00F22774" w:rsidRDefault="00E64F55" w:rsidP="00B632D2">
      <w:pPr>
        <w:spacing w:line="240" w:lineRule="auto"/>
        <w:jc w:val="both"/>
        <w:rPr>
          <w:lang w:val="en-US"/>
        </w:rPr>
      </w:pPr>
      <w:r>
        <w:rPr>
          <w:rFonts w:cs="Times New Roman"/>
          <w:lang w:val="en-US"/>
        </w:rPr>
        <w:t>Households enter the study if their series supports a chronological split with a test segment of at least 50 disjoint windows, that is at least fifty days of forecast. The rule is applied before any model is fitted. It removes two SHEERM households with approximately five months of record, and four UK-DALE households whose records or test segments fall below the threshold, the largest of them admitting 23 windows. Seventeen households remain.</w:t>
      </w:r>
    </w:p>
    <w:p w14:paraId="5BEA75A1" w14:textId="77777777" w:rsidR="00E64F55" w:rsidRPr="00F22774" w:rsidRDefault="00E64F55" w:rsidP="00B632D2">
      <w:pPr>
        <w:spacing w:line="240" w:lineRule="auto"/>
        <w:jc w:val="both"/>
        <w:rPr>
          <w:lang w:val="en-US"/>
        </w:rPr>
      </w:pPr>
      <w:r>
        <w:rPr>
          <w:rFonts w:cs="Times New Roman"/>
          <w:b/>
          <w:bCs/>
          <w:lang w:val="en-US"/>
        </w:rPr>
        <w:t xml:space="preserve">The threshold is not finely tuned. </w:t>
      </w:r>
      <w:r>
        <w:rPr>
          <w:rFonts w:cs="Times New Roman"/>
          <w:lang w:val="en-US"/>
        </w:rPr>
        <w:t xml:space="preserve">No household in any of the three collections has a test segment of between 24 and 77 windows, so every threshold in that range partitions the households identically; the </w:t>
      </w:r>
      <w:r>
        <w:rPr>
          <w:rFonts w:cs="Times New Roman"/>
          <w:lang w:val="en-US"/>
        </w:rPr>
        <w:lastRenderedPageBreak/>
        <w:t>figure of 50 is stated for definiteness rather than because the boundary matters. We note this because one of the excluded households, with 23 windows, is close to the cut in a way that the raw number does not convey.</w:t>
      </w:r>
    </w:p>
    <w:p w14:paraId="4CAF8824" w14:textId="77777777" w:rsidR="00E64F55" w:rsidRPr="00F22774" w:rsidRDefault="00E64F55" w:rsidP="00B632D2">
      <w:pPr>
        <w:spacing w:line="240" w:lineRule="auto"/>
        <w:jc w:val="both"/>
        <w:rPr>
          <w:rFonts w:cs="Times New Roman"/>
          <w:lang w:val="en-US"/>
        </w:rPr>
      </w:pPr>
      <w:r>
        <w:rPr>
          <w:rFonts w:cs="Times New Roman"/>
          <w:b/>
          <w:bCs/>
          <w:lang w:val="en-US"/>
        </w:rPr>
        <w:t xml:space="preserve">The household is the unit of observation throughout. </w:t>
      </w:r>
      <w:r>
        <w:rPr>
          <w:rFonts w:cs="Times New Roman"/>
          <w:lang w:val="en-US"/>
        </w:rPr>
        <w:t>Datasets enter as a source of households and as a check that the findings are not peculiar to one collection or one country, and no claim in this paper concerns differences between datasets. The three collections consequently contribute unequal numbers of households, one, five and eleven, and no weighting is applied to compensate: weighting by dataset would give a single household the influence of eleven, which is not warranted by anything we measure.</w:t>
      </w:r>
    </w:p>
    <w:p w14:paraId="0506A114" w14:textId="77777777" w:rsidR="00D5053E" w:rsidRPr="00F22774" w:rsidRDefault="00D5053E" w:rsidP="00B632D2">
      <w:pPr>
        <w:spacing w:line="240" w:lineRule="auto"/>
        <w:jc w:val="both"/>
        <w:rPr>
          <w:lang w:val="en-US"/>
        </w:rPr>
      </w:pPr>
      <w:r>
        <w:rPr>
          <w:rFonts w:cs="Times New Roman"/>
          <w:lang w:val="en-US"/>
        </w:rPr>
        <w:t>Table 2. Households included in the study. Entry requires at least 50 disjoint 24‑hour test windows, applied before model fitting. No household has 24–77 windows, so thresholds in that range yield the same partition. Excluded households: UK‑DALE 2, 3, 5 (short record) and 4 (small test segment).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1"/>
        <w:gridCol w:w="3306"/>
        <w:gridCol w:w="839"/>
        <w:gridCol w:w="1617"/>
        <w:gridCol w:w="1462"/>
      </w:tblGrid>
      <w:tr w:rsidR="00E64F55" w:rsidRPr="00F22774" w14:paraId="0CDCB927" w14:textId="77777777" w:rsidTr="00AE3E64">
        <w:trPr>
          <w:tblHeader/>
        </w:trPr>
        <w:tc>
          <w:tcPr>
            <w:tcW w:w="2400" w:type="dxa"/>
          </w:tcPr>
          <w:p w14:paraId="6A5E2121" w14:textId="77777777" w:rsidR="00E64F55" w:rsidRPr="00F22774" w:rsidRDefault="00E64F55" w:rsidP="00B632D2">
            <w:pPr>
              <w:spacing w:before="40" w:after="40" w:line="240" w:lineRule="auto"/>
            </w:pPr>
            <w:r>
              <w:rPr>
                <w:rFonts w:cs="Times New Roman"/>
                <w:b/>
                <w:bCs/>
                <w:sz w:val="20"/>
                <w:szCs w:val="20"/>
              </w:rPr>
              <w:t>Dataset</w:t>
            </w:r>
          </w:p>
        </w:tc>
        <w:tc>
          <w:tcPr>
            <w:tcW w:w="3800" w:type="dxa"/>
          </w:tcPr>
          <w:p w14:paraId="3829D6EA" w14:textId="77777777" w:rsidR="00E64F55" w:rsidRPr="00F22774" w:rsidRDefault="00E64F55" w:rsidP="00B632D2">
            <w:pPr>
              <w:spacing w:before="40" w:after="40" w:line="240" w:lineRule="auto"/>
              <w:jc w:val="center"/>
            </w:pPr>
            <w:r>
              <w:rPr>
                <w:rFonts w:cs="Times New Roman"/>
                <w:b/>
                <w:bCs/>
                <w:sz w:val="20"/>
                <w:szCs w:val="20"/>
              </w:rPr>
              <w:t>Households used</w:t>
            </w:r>
          </w:p>
        </w:tc>
        <w:tc>
          <w:tcPr>
            <w:tcW w:w="900" w:type="dxa"/>
          </w:tcPr>
          <w:p w14:paraId="3826A660" w14:textId="77777777" w:rsidR="00E64F55" w:rsidRPr="00F22774" w:rsidRDefault="00E64F55" w:rsidP="00B632D2">
            <w:pPr>
              <w:spacing w:before="40" w:after="40" w:line="240" w:lineRule="auto"/>
              <w:jc w:val="center"/>
            </w:pPr>
            <w:r>
              <w:rPr>
                <w:rFonts w:cs="Times New Roman"/>
                <w:b/>
                <w:bCs/>
                <w:sz w:val="20"/>
                <w:szCs w:val="20"/>
              </w:rPr>
              <w:t>Count</w:t>
            </w:r>
          </w:p>
        </w:tc>
        <w:tc>
          <w:tcPr>
            <w:tcW w:w="1800" w:type="dxa"/>
          </w:tcPr>
          <w:p w14:paraId="3DC982C6" w14:textId="77777777" w:rsidR="00E64F55" w:rsidRPr="00F22774" w:rsidRDefault="00E64F55" w:rsidP="00B632D2">
            <w:pPr>
              <w:spacing w:before="40" w:after="40" w:line="240" w:lineRule="auto"/>
              <w:jc w:val="center"/>
            </w:pPr>
            <w:r>
              <w:rPr>
                <w:rFonts w:cs="Times New Roman"/>
                <w:b/>
                <w:bCs/>
                <w:sz w:val="20"/>
                <w:szCs w:val="20"/>
              </w:rPr>
              <w:t>Test windows</w:t>
            </w:r>
          </w:p>
        </w:tc>
        <w:tc>
          <w:tcPr>
            <w:tcW w:w="1600" w:type="dxa"/>
          </w:tcPr>
          <w:p w14:paraId="76AAADDC" w14:textId="77777777" w:rsidR="00E64F55" w:rsidRPr="00F22774" w:rsidRDefault="00E64F55" w:rsidP="00B632D2">
            <w:pPr>
              <w:spacing w:before="40" w:after="40" w:line="240" w:lineRule="auto"/>
              <w:jc w:val="center"/>
            </w:pPr>
            <w:r>
              <w:rPr>
                <w:rFonts w:cs="Times New Roman"/>
                <w:b/>
                <w:bCs/>
                <w:sz w:val="20"/>
                <w:szCs w:val="20"/>
              </w:rPr>
              <w:t>Excluded</w:t>
            </w:r>
          </w:p>
        </w:tc>
      </w:tr>
      <w:tr w:rsidR="00E64F55" w:rsidRPr="00F22774" w14:paraId="6B6385D9" w14:textId="77777777" w:rsidTr="00AE3E64">
        <w:tc>
          <w:tcPr>
            <w:tcW w:w="2400" w:type="dxa"/>
          </w:tcPr>
          <w:p w14:paraId="0AB7B3C2" w14:textId="77777777" w:rsidR="00E64F55" w:rsidRPr="00F22774" w:rsidRDefault="00E64F55" w:rsidP="00B632D2">
            <w:pPr>
              <w:spacing w:before="40" w:after="40" w:line="240" w:lineRule="auto"/>
            </w:pPr>
            <w:r>
              <w:rPr>
                <w:rFonts w:cs="Times New Roman"/>
                <w:sz w:val="20"/>
                <w:szCs w:val="20"/>
              </w:rPr>
              <w:t>UK-DALE (UK)</w:t>
            </w:r>
          </w:p>
        </w:tc>
        <w:tc>
          <w:tcPr>
            <w:tcW w:w="3800" w:type="dxa"/>
          </w:tcPr>
          <w:p w14:paraId="4477E1DB" w14:textId="77777777" w:rsidR="00E64F55" w:rsidRPr="00F22774" w:rsidRDefault="00E64F55" w:rsidP="00B632D2">
            <w:pPr>
              <w:spacing w:before="40" w:after="40" w:line="240" w:lineRule="auto"/>
              <w:jc w:val="center"/>
            </w:pPr>
            <w:r>
              <w:rPr>
                <w:rFonts w:cs="Times New Roman"/>
                <w:sz w:val="20"/>
                <w:szCs w:val="20"/>
              </w:rPr>
              <w:t>1</w:t>
            </w:r>
          </w:p>
        </w:tc>
        <w:tc>
          <w:tcPr>
            <w:tcW w:w="900" w:type="dxa"/>
          </w:tcPr>
          <w:p w14:paraId="46207A3B" w14:textId="77777777" w:rsidR="00E64F55" w:rsidRPr="00F22774" w:rsidRDefault="00E64F55" w:rsidP="00B632D2">
            <w:pPr>
              <w:spacing w:before="40" w:after="40" w:line="240" w:lineRule="auto"/>
              <w:jc w:val="center"/>
            </w:pPr>
            <w:r>
              <w:rPr>
                <w:rFonts w:cs="Times New Roman"/>
                <w:sz w:val="20"/>
                <w:szCs w:val="20"/>
              </w:rPr>
              <w:t>1</w:t>
            </w:r>
          </w:p>
        </w:tc>
        <w:tc>
          <w:tcPr>
            <w:tcW w:w="1800" w:type="dxa"/>
          </w:tcPr>
          <w:p w14:paraId="66FE03F2" w14:textId="77777777" w:rsidR="00E64F55" w:rsidRPr="00F22774" w:rsidRDefault="00E64F55" w:rsidP="00B632D2">
            <w:pPr>
              <w:spacing w:before="40" w:after="40" w:line="240" w:lineRule="auto"/>
              <w:jc w:val="center"/>
            </w:pPr>
            <w:r>
              <w:rPr>
                <w:rFonts w:cs="Times New Roman"/>
                <w:sz w:val="20"/>
                <w:szCs w:val="20"/>
              </w:rPr>
              <w:t>218</w:t>
            </w:r>
          </w:p>
        </w:tc>
        <w:tc>
          <w:tcPr>
            <w:tcW w:w="1600" w:type="dxa"/>
          </w:tcPr>
          <w:p w14:paraId="39EA44F0" w14:textId="77777777" w:rsidR="00E64F55" w:rsidRPr="00F22774" w:rsidRDefault="00E64F55" w:rsidP="00B632D2">
            <w:pPr>
              <w:spacing w:before="40" w:after="40" w:line="240" w:lineRule="auto"/>
              <w:jc w:val="center"/>
            </w:pPr>
            <w:r>
              <w:rPr>
                <w:rFonts w:cs="Times New Roman"/>
                <w:sz w:val="20"/>
                <w:szCs w:val="20"/>
              </w:rPr>
              <w:t>2, 3, 4, 5</w:t>
            </w:r>
          </w:p>
        </w:tc>
      </w:tr>
      <w:tr w:rsidR="00E64F55" w:rsidRPr="00F22774" w14:paraId="05C8CF00" w14:textId="77777777" w:rsidTr="00AE3E64">
        <w:tc>
          <w:tcPr>
            <w:tcW w:w="2400" w:type="dxa"/>
          </w:tcPr>
          <w:p w14:paraId="6412CDCA" w14:textId="77777777" w:rsidR="00E64F55" w:rsidRPr="00F22774" w:rsidRDefault="00E64F55" w:rsidP="00B632D2">
            <w:pPr>
              <w:spacing w:before="40" w:after="40" w:line="240" w:lineRule="auto"/>
            </w:pPr>
            <w:r>
              <w:rPr>
                <w:rFonts w:cs="Times New Roman"/>
                <w:sz w:val="20"/>
                <w:szCs w:val="20"/>
              </w:rPr>
              <w:t>REFIT (UK)</w:t>
            </w:r>
          </w:p>
        </w:tc>
        <w:tc>
          <w:tcPr>
            <w:tcW w:w="3800" w:type="dxa"/>
          </w:tcPr>
          <w:p w14:paraId="406DB73E" w14:textId="77777777" w:rsidR="00E64F55" w:rsidRPr="00F22774" w:rsidRDefault="00E64F55" w:rsidP="00B632D2">
            <w:pPr>
              <w:spacing w:before="40" w:after="40" w:line="240" w:lineRule="auto"/>
              <w:jc w:val="center"/>
            </w:pPr>
            <w:r>
              <w:rPr>
                <w:rFonts w:cs="Times New Roman"/>
                <w:sz w:val="20"/>
                <w:szCs w:val="20"/>
              </w:rPr>
              <w:t>2, 4, 6, 9, 10</w:t>
            </w:r>
          </w:p>
        </w:tc>
        <w:tc>
          <w:tcPr>
            <w:tcW w:w="900" w:type="dxa"/>
          </w:tcPr>
          <w:p w14:paraId="4C1B9ED6" w14:textId="77777777" w:rsidR="00E64F55" w:rsidRPr="00F22774" w:rsidRDefault="00E64F55" w:rsidP="00B632D2">
            <w:pPr>
              <w:spacing w:before="40" w:after="40" w:line="240" w:lineRule="auto"/>
              <w:jc w:val="center"/>
            </w:pPr>
            <w:r>
              <w:rPr>
                <w:rFonts w:cs="Times New Roman"/>
                <w:sz w:val="20"/>
                <w:szCs w:val="20"/>
              </w:rPr>
              <w:t>5</w:t>
            </w:r>
          </w:p>
        </w:tc>
        <w:tc>
          <w:tcPr>
            <w:tcW w:w="1800" w:type="dxa"/>
          </w:tcPr>
          <w:p w14:paraId="5AA9655C" w14:textId="77777777" w:rsidR="00E64F55" w:rsidRPr="00F22774" w:rsidRDefault="00E64F55" w:rsidP="00B632D2">
            <w:pPr>
              <w:spacing w:before="40" w:after="40" w:line="240" w:lineRule="auto"/>
              <w:jc w:val="center"/>
            </w:pPr>
            <w:r>
              <w:rPr>
                <w:rFonts w:cs="Times New Roman"/>
                <w:sz w:val="20"/>
                <w:szCs w:val="20"/>
              </w:rPr>
              <w:t>78 to 88</w:t>
            </w:r>
          </w:p>
        </w:tc>
        <w:tc>
          <w:tcPr>
            <w:tcW w:w="1600" w:type="dxa"/>
          </w:tcPr>
          <w:p w14:paraId="2FA270A9" w14:textId="77777777" w:rsidR="00E64F55" w:rsidRPr="00F22774" w:rsidRDefault="00E64F55" w:rsidP="00B632D2">
            <w:pPr>
              <w:spacing w:before="40" w:after="40" w:line="240" w:lineRule="auto"/>
              <w:jc w:val="center"/>
            </w:pPr>
            <w:r>
              <w:rPr>
                <w:rFonts w:cs="Times New Roman"/>
                <w:sz w:val="20"/>
                <w:szCs w:val="20"/>
              </w:rPr>
              <w:t>none</w:t>
            </w:r>
          </w:p>
        </w:tc>
      </w:tr>
      <w:tr w:rsidR="00E64F55" w:rsidRPr="00F22774" w14:paraId="56F6C5C2" w14:textId="77777777" w:rsidTr="00AE3E64">
        <w:tc>
          <w:tcPr>
            <w:tcW w:w="2400" w:type="dxa"/>
          </w:tcPr>
          <w:p w14:paraId="03B9F10B" w14:textId="77777777" w:rsidR="00E64F55" w:rsidRPr="00F22774" w:rsidRDefault="00E64F55" w:rsidP="00B632D2">
            <w:pPr>
              <w:spacing w:before="40" w:after="40" w:line="240" w:lineRule="auto"/>
            </w:pPr>
            <w:r>
              <w:rPr>
                <w:rFonts w:cs="Times New Roman"/>
                <w:sz w:val="20"/>
                <w:szCs w:val="20"/>
              </w:rPr>
              <w:t>SHEERM (Portugal)</w:t>
            </w:r>
          </w:p>
        </w:tc>
        <w:tc>
          <w:tcPr>
            <w:tcW w:w="3800" w:type="dxa"/>
          </w:tcPr>
          <w:p w14:paraId="0F60F5C3" w14:textId="77777777" w:rsidR="00E64F55" w:rsidRPr="00F22774" w:rsidRDefault="00E64F55" w:rsidP="00B632D2">
            <w:pPr>
              <w:spacing w:before="40" w:after="40" w:line="240" w:lineRule="auto"/>
              <w:jc w:val="center"/>
            </w:pPr>
            <w:r>
              <w:rPr>
                <w:rFonts w:cs="Times New Roman"/>
                <w:sz w:val="20"/>
                <w:szCs w:val="20"/>
              </w:rPr>
              <w:t>1, 2, 3, 4, 5, 8, 9, 10, 11, 12, 13</w:t>
            </w:r>
          </w:p>
        </w:tc>
        <w:tc>
          <w:tcPr>
            <w:tcW w:w="900" w:type="dxa"/>
          </w:tcPr>
          <w:p w14:paraId="15C0E740" w14:textId="77777777" w:rsidR="00E64F55" w:rsidRPr="00F22774" w:rsidRDefault="00E64F55" w:rsidP="00B632D2">
            <w:pPr>
              <w:spacing w:before="40" w:after="40" w:line="240" w:lineRule="auto"/>
              <w:jc w:val="center"/>
            </w:pPr>
            <w:r>
              <w:rPr>
                <w:rFonts w:cs="Times New Roman"/>
                <w:sz w:val="20"/>
                <w:szCs w:val="20"/>
              </w:rPr>
              <w:t>11</w:t>
            </w:r>
          </w:p>
        </w:tc>
        <w:tc>
          <w:tcPr>
            <w:tcW w:w="1800" w:type="dxa"/>
          </w:tcPr>
          <w:p w14:paraId="24743893" w14:textId="77777777" w:rsidR="00E64F55" w:rsidRPr="00F22774" w:rsidRDefault="00E64F55" w:rsidP="00B632D2">
            <w:pPr>
              <w:spacing w:before="40" w:after="40" w:line="240" w:lineRule="auto"/>
              <w:jc w:val="center"/>
            </w:pPr>
            <w:r>
              <w:rPr>
                <w:rFonts w:cs="Times New Roman"/>
                <w:sz w:val="20"/>
                <w:szCs w:val="20"/>
              </w:rPr>
              <w:t>102 to 171</w:t>
            </w:r>
          </w:p>
        </w:tc>
        <w:tc>
          <w:tcPr>
            <w:tcW w:w="1600" w:type="dxa"/>
          </w:tcPr>
          <w:p w14:paraId="19AB2D55" w14:textId="77777777" w:rsidR="00E64F55" w:rsidRPr="00F22774" w:rsidRDefault="00E64F55" w:rsidP="00B632D2">
            <w:pPr>
              <w:spacing w:before="40" w:after="40" w:line="240" w:lineRule="auto"/>
              <w:jc w:val="center"/>
            </w:pPr>
            <w:r>
              <w:rPr>
                <w:rFonts w:cs="Times New Roman"/>
                <w:sz w:val="20"/>
                <w:szCs w:val="20"/>
              </w:rPr>
              <w:t>6, 7</w:t>
            </w:r>
          </w:p>
        </w:tc>
      </w:tr>
    </w:tbl>
    <w:p w14:paraId="540D7FF0"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Preprocessing</w:t>
      </w:r>
    </w:p>
    <w:p w14:paraId="24F1F993" w14:textId="77777777" w:rsidR="00E64F55" w:rsidRPr="00F22774" w:rsidRDefault="00E64F55" w:rsidP="00B632D2">
      <w:pPr>
        <w:spacing w:line="240" w:lineRule="auto"/>
        <w:jc w:val="both"/>
        <w:rPr>
          <w:lang w:val="en-US"/>
        </w:rPr>
      </w:pPr>
      <w:r>
        <w:rPr>
          <w:rFonts w:cs="Times New Roman"/>
          <w:lang w:val="en-US"/>
        </w:rPr>
        <w:t>All three datasets pass through one implementation. The dataset-specific code is confined to parsing the raw files; hourly resampling, gap filling, outlier handling, scaling, splitting and windowing are performed by the same functions in every case, so that any difference between datasets in the results is a property of the data and not of the code path.</w:t>
      </w:r>
    </w:p>
    <w:p w14:paraId="720038A4" w14:textId="77777777" w:rsidR="00E64F55" w:rsidRPr="00F22774" w:rsidRDefault="00E64F55" w:rsidP="00B632D2">
      <w:pPr>
        <w:spacing w:line="240" w:lineRule="auto"/>
        <w:jc w:val="both"/>
        <w:rPr>
          <w:lang w:val="en-US"/>
        </w:rPr>
      </w:pPr>
      <w:r>
        <w:rPr>
          <w:rFonts w:cs="Times New Roman"/>
          <w:lang w:val="en-US"/>
        </w:rPr>
        <w:t>Series are resampled to hourly resolution. Gaps of up to six hours are filled by linear interpolation; longer gaps are not filled. The series is then split chronologically into training, validation and test segments in the proportions 70, 15 and 15%. A three-sigma clipping threshold and a min-max scaler are fitted on the training segment only and applied to all three, so that no information from the validation or test period influences the transformation.</w:t>
      </w:r>
    </w:p>
    <w:p w14:paraId="0D89ED48" w14:textId="77777777" w:rsidR="00E64F55" w:rsidRPr="00F22774" w:rsidRDefault="00E64F55" w:rsidP="00B632D2">
      <w:pPr>
        <w:spacing w:line="240" w:lineRule="auto"/>
        <w:jc w:val="both"/>
        <w:rPr>
          <w:lang w:val="en-US"/>
        </w:rPr>
      </w:pPr>
      <w:r>
        <w:rPr>
          <w:rFonts w:cs="Times New Roman"/>
          <w:lang w:val="en-US"/>
        </w:rPr>
        <w:t>Inputs are windows of 168 consecutive hourly observations and targets are the following 24 hours. Training and validation windows are formed at unit stride; test windows are formed at a stride of 24, so that the test windows are disjoint and each corresponds to one day of forecast. Signal decomposition into six modes is applied within each window, so that no information from beyond the input window enters the decomposition.</w:t>
      </w:r>
    </w:p>
    <w:p w14:paraId="7F60A6D0"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4.2.1. Data-quality audit</w:t>
      </w:r>
    </w:p>
    <w:p w14:paraId="39EC7A97" w14:textId="77777777" w:rsidR="00FA1C3E" w:rsidRPr="00322B42" w:rsidRDefault="00DF00D8" w:rsidP="00B632D2">
      <w:pPr>
        <w:spacing w:line="240" w:lineRule="auto"/>
        <w:jc w:val="both"/>
        <w:rPr>
          <w:lang w:val="en-US"/>
        </w:rPr>
      </w:pPr>
      <w:r>
        <w:rPr>
          <w:lang w:val="en-US"/>
        </w:rPr>
        <w:t>The audit found no surviving missing values, but identified three households requiring explicit sensitivity checks: locally linear or constant stretches reached 29.2% of training data in one case, and one test segment contained 14.8% trivially predictable targets. These households are retained and flagged; full audit results are reported in Supplementary Section S1.</w:t>
      </w:r>
    </w:p>
    <w:p w14:paraId="4027C49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Model, training and configurations</w:t>
      </w:r>
    </w:p>
    <w:p w14:paraId="50AE284D" w14:textId="77777777" w:rsidR="00E64F55" w:rsidRPr="00F22774" w:rsidRDefault="00E64F55" w:rsidP="00B632D2">
      <w:pPr>
        <w:spacing w:line="240" w:lineRule="auto"/>
        <w:jc w:val="both"/>
        <w:rPr>
          <w:lang w:val="en-US"/>
        </w:rPr>
      </w:pPr>
      <w:r>
        <w:rPr>
          <w:rFonts w:cs="Times New Roman"/>
          <w:lang w:val="en-US"/>
        </w:rPr>
        <w:t>The architecture combines a decomposition branch and a direct path through a learned gate, as described in Section 3. The decomposition branch applies a weight-shared patch-based Transformer encoder to each mode, optionally supplying each mode with a learned identity embedding, and aggregates the per-mode forecasts by learned weights. The direct path forecasts from the undecomposed window. Both paths and the gate are trained jointly.</w:t>
      </w:r>
    </w:p>
    <w:p w14:paraId="444D0271" w14:textId="77777777" w:rsidR="00E64F55" w:rsidRPr="00F22774" w:rsidRDefault="00E64F55" w:rsidP="00B632D2">
      <w:pPr>
        <w:spacing w:line="240" w:lineRule="auto"/>
        <w:jc w:val="both"/>
        <w:rPr>
          <w:lang w:val="en-US"/>
        </w:rPr>
      </w:pPr>
      <w:r>
        <w:rPr>
          <w:rFonts w:cs="Times New Roman"/>
          <w:lang w:val="en-US"/>
        </w:rPr>
        <w:t>Training uses AdamW with a learning rate of 5 × 10⁻⁴ and weight decay 10⁻⁴, cosine annealing with warm restarts, gradient-norm clipping at 1.0, a batch size of 64 and 60 epochs. The reported model is the epoch with the lowest validation mean absolute error in watts. The loss is a Huber term on the fused forecast plus an auxiliary reconstruction term with weight 0.2. Architectural and training hyperparameters are collected in Table B1 of Appendix B.</w:t>
      </w:r>
    </w:p>
    <w:p w14:paraId="5963752D" w14:textId="77777777" w:rsidR="00E64F55" w:rsidRPr="00F22774" w:rsidRDefault="00E64F55" w:rsidP="00B632D2">
      <w:pPr>
        <w:spacing w:line="240" w:lineRule="auto"/>
        <w:jc w:val="both"/>
        <w:rPr>
          <w:lang w:val="en-US"/>
        </w:rPr>
      </w:pPr>
      <w:r>
        <w:rPr>
          <w:rFonts w:cs="Times New Roman"/>
          <w:lang w:val="en-US"/>
        </w:rPr>
        <w:t xml:space="preserve">Every configuration is trained with five independent seeds (42, 7, 13, 99, 2025). Unless stated otherwise, reported predictions are the average of the five seed predictions, and reported errors are computed from that </w:t>
      </w:r>
      <w:r>
        <w:rPr>
          <w:rFonts w:cs="Times New Roman"/>
          <w:lang w:val="en-US"/>
        </w:rPr>
        <w:lastRenderedPageBreak/>
        <w:t>average. Where the analysis requires per-seed quantities, they are computed from the same five runs; no configuration is trained more than once per seed.</w:t>
      </w:r>
    </w:p>
    <w:p w14:paraId="57932E2A"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4.3.1. Factorial design</w:t>
      </w:r>
    </w:p>
    <w:p w14:paraId="445EF3E6" w14:textId="77777777" w:rsidR="00FA1C3E" w:rsidRPr="00322B42" w:rsidRDefault="00DF00D8" w:rsidP="00B632D2">
      <w:pPr>
        <w:spacing w:line="240" w:lineRule="auto"/>
        <w:jc w:val="both"/>
        <w:rPr>
          <w:lang w:val="en-US"/>
        </w:rPr>
      </w:pPr>
      <w:r>
        <w:rPr>
          <w:lang w:val="en-US"/>
        </w:rPr>
        <w:t>Three binary factors—auxiliary objective, aggregation rule and identity embeddings—form an eight-cell factorial design. All cells were evaluated on six households and the focal ablation cells on all 17; an auxiliary-weight control separates objective consistency from effective loss strength (Supplementary Section S1).</w:t>
      </w:r>
    </w:p>
    <w:p w14:paraId="09BF94F3" w14:textId="77777777" w:rsidR="00C35672" w:rsidRDefault="00937145">
      <w:pPr>
        <w:spacing w:line="240" w:lineRule="auto"/>
        <w:jc w:val="both"/>
        <w:rPr>
          <w:lang w:val="en-US"/>
        </w:rPr>
      </w:pPr>
      <w:r>
        <w:rPr>
          <w:lang w:val="en-US"/>
        </w:rPr>
        <w:t>Table 3 sets out the eight cells. Two of the four objective–aggregation pairings a</w:t>
      </w:r>
      <w:r>
        <w:rPr>
          <w:lang w:val="en-US"/>
        </w:rPr>
        <w:t>re internally consistent and two are not, a contrast used in Section 5.1 to establish the compensation mechanism. Implementation details are in Supplementary Section S1.2.</w:t>
      </w:r>
    </w:p>
    <w:p w14:paraId="15C1F251" w14:textId="77777777" w:rsidR="00C35672" w:rsidRDefault="00937145">
      <w:pPr>
        <w:spacing w:line="240" w:lineRule="auto"/>
        <w:jc w:val="both"/>
        <w:rPr>
          <w:lang w:val="en-US"/>
        </w:rPr>
      </w:pPr>
      <w:r>
        <w:rPr>
          <w:lang w:val="en-US"/>
        </w:rPr>
        <w:t xml:space="preserve">Table 3. The eight-cell factorial design. The auxiliary objective either drives the </w:t>
      </w:r>
      <w:r>
        <w:rPr>
          <w:lang w:val="en-US"/>
        </w:rPr>
        <w:t>sum of the per-mode forecasts toward the target or requires each mode to predict the target individually; the aggregation either forms a convex combination of the per-mode forecasts or their sum. A pairing is consistent when the quantity the auxiliary term</w:t>
      </w:r>
      <w:r>
        <w:rPr>
          <w:lang w:val="en-US"/>
        </w:rPr>
        <w:t xml:space="preserve"> constrains is the quantity the aggregation forms, and misaligned otherwise. Row W is a control outside the factorial: it repeats C7 with auxiliary weight 0.2/K rather than 0.2, separating objective consistency from effective loss strength. Identity embedd</w:t>
      </w:r>
      <w:r>
        <w:rPr>
          <w:lang w:val="en-US"/>
        </w:rPr>
        <w:t>ings are the ablated component throughout, so the ablation effect is the C7–C8 contrast.</w:t>
      </w:r>
    </w:p>
    <w:tbl>
      <w:tblPr>
        <w:tblStyle w:val="a8"/>
        <w:tblW w:w="8700" w:type="dxa"/>
        <w:tblLayout w:type="fixed"/>
        <w:tblLook w:val="04A0" w:firstRow="1" w:lastRow="0" w:firstColumn="1" w:lastColumn="0" w:noHBand="0" w:noVBand="1"/>
      </w:tblPr>
      <w:tblGrid>
        <w:gridCol w:w="700"/>
        <w:gridCol w:w="1750"/>
        <w:gridCol w:w="1200"/>
        <w:gridCol w:w="1350"/>
        <w:gridCol w:w="2500"/>
        <w:gridCol w:w="1200"/>
      </w:tblGrid>
      <w:tr w:rsidR="00C35672" w14:paraId="10D6D973" w14:textId="77777777">
        <w:trPr>
          <w:tblHeader/>
        </w:trPr>
        <w:tc>
          <w:tcPr>
            <w:tcW w:w="700" w:type="dxa"/>
          </w:tcPr>
          <w:p w14:paraId="4C79BE34" w14:textId="77777777" w:rsidR="00C35672" w:rsidRDefault="00937145">
            <w:pPr>
              <w:rPr>
                <w:sz w:val="18"/>
                <w:szCs w:val="18"/>
                <w:lang w:val="en-US"/>
              </w:rPr>
            </w:pPr>
            <w:r>
              <w:rPr>
                <w:b/>
                <w:sz w:val="18"/>
                <w:szCs w:val="18"/>
                <w:lang w:val="en-US"/>
              </w:rPr>
              <w:t>Cell</w:t>
            </w:r>
          </w:p>
        </w:tc>
        <w:tc>
          <w:tcPr>
            <w:tcW w:w="1750" w:type="dxa"/>
          </w:tcPr>
          <w:p w14:paraId="7582B43E" w14:textId="77777777" w:rsidR="00C35672" w:rsidRDefault="00937145">
            <w:pPr>
              <w:rPr>
                <w:sz w:val="18"/>
                <w:szCs w:val="18"/>
                <w:lang w:val="en-US"/>
              </w:rPr>
            </w:pPr>
            <w:r>
              <w:rPr>
                <w:b/>
                <w:sz w:val="18"/>
                <w:szCs w:val="18"/>
                <w:lang w:val="en-US"/>
              </w:rPr>
              <w:t>Auxiliary objective</w:t>
            </w:r>
          </w:p>
        </w:tc>
        <w:tc>
          <w:tcPr>
            <w:tcW w:w="1200" w:type="dxa"/>
          </w:tcPr>
          <w:p w14:paraId="3249A92F" w14:textId="77777777" w:rsidR="00C35672" w:rsidRDefault="00937145">
            <w:pPr>
              <w:rPr>
                <w:sz w:val="18"/>
                <w:szCs w:val="18"/>
                <w:lang w:val="en-US"/>
              </w:rPr>
            </w:pPr>
            <w:r>
              <w:rPr>
                <w:b/>
                <w:sz w:val="18"/>
                <w:szCs w:val="18"/>
                <w:lang w:val="en-US"/>
              </w:rPr>
              <w:t>Aggregation</w:t>
            </w:r>
          </w:p>
        </w:tc>
        <w:tc>
          <w:tcPr>
            <w:tcW w:w="1350" w:type="dxa"/>
          </w:tcPr>
          <w:p w14:paraId="4EEC30E3" w14:textId="77777777" w:rsidR="00C35672" w:rsidRDefault="00937145">
            <w:pPr>
              <w:rPr>
                <w:sz w:val="18"/>
                <w:szCs w:val="18"/>
                <w:lang w:val="en-US"/>
              </w:rPr>
            </w:pPr>
            <w:r>
              <w:rPr>
                <w:b/>
                <w:sz w:val="18"/>
                <w:szCs w:val="18"/>
                <w:lang w:val="en-US"/>
              </w:rPr>
              <w:t>Identity embeddings</w:t>
            </w:r>
          </w:p>
        </w:tc>
        <w:tc>
          <w:tcPr>
            <w:tcW w:w="2500" w:type="dxa"/>
          </w:tcPr>
          <w:p w14:paraId="561C52E0" w14:textId="77777777" w:rsidR="00C35672" w:rsidRDefault="00937145">
            <w:pPr>
              <w:rPr>
                <w:sz w:val="18"/>
                <w:szCs w:val="18"/>
                <w:lang w:val="en-US"/>
              </w:rPr>
            </w:pPr>
            <w:r>
              <w:rPr>
                <w:b/>
                <w:sz w:val="18"/>
                <w:szCs w:val="18"/>
                <w:lang w:val="en-US"/>
              </w:rPr>
              <w:t>Objective–aggregation pairing</w:t>
            </w:r>
          </w:p>
        </w:tc>
        <w:tc>
          <w:tcPr>
            <w:tcW w:w="1200" w:type="dxa"/>
          </w:tcPr>
          <w:p w14:paraId="17A4301F" w14:textId="77777777" w:rsidR="00C35672" w:rsidRDefault="00937145">
            <w:pPr>
              <w:rPr>
                <w:sz w:val="18"/>
                <w:szCs w:val="18"/>
                <w:lang w:val="en-US"/>
              </w:rPr>
            </w:pPr>
            <w:r>
              <w:rPr>
                <w:b/>
                <w:sz w:val="18"/>
                <w:szCs w:val="18"/>
                <w:lang w:val="en-US"/>
              </w:rPr>
              <w:t>Households</w:t>
            </w:r>
          </w:p>
        </w:tc>
      </w:tr>
      <w:tr w:rsidR="00C35672" w14:paraId="09A899C4" w14:textId="77777777">
        <w:tc>
          <w:tcPr>
            <w:tcW w:w="700" w:type="dxa"/>
          </w:tcPr>
          <w:p w14:paraId="1D60CF7F" w14:textId="77777777" w:rsidR="00C35672" w:rsidRDefault="00937145">
            <w:pPr>
              <w:rPr>
                <w:sz w:val="18"/>
                <w:szCs w:val="18"/>
                <w:lang w:val="en-US"/>
              </w:rPr>
            </w:pPr>
            <w:r>
              <w:rPr>
                <w:sz w:val="18"/>
                <w:szCs w:val="18"/>
                <w:lang w:val="en-US"/>
              </w:rPr>
              <w:t>C1</w:t>
            </w:r>
          </w:p>
        </w:tc>
        <w:tc>
          <w:tcPr>
            <w:tcW w:w="1750" w:type="dxa"/>
          </w:tcPr>
          <w:p w14:paraId="2604EFE3" w14:textId="77777777" w:rsidR="00C35672" w:rsidRDefault="00937145">
            <w:pPr>
              <w:rPr>
                <w:sz w:val="18"/>
                <w:szCs w:val="18"/>
                <w:lang w:val="en-US"/>
              </w:rPr>
            </w:pPr>
            <w:r>
              <w:rPr>
                <w:sz w:val="18"/>
                <w:szCs w:val="18"/>
                <w:lang w:val="en-US"/>
              </w:rPr>
              <w:t>sum of per-mode forecasts → target</w:t>
            </w:r>
          </w:p>
        </w:tc>
        <w:tc>
          <w:tcPr>
            <w:tcW w:w="1200" w:type="dxa"/>
          </w:tcPr>
          <w:p w14:paraId="2673AC83" w14:textId="77777777" w:rsidR="00C35672" w:rsidRDefault="00937145">
            <w:pPr>
              <w:rPr>
                <w:sz w:val="18"/>
                <w:szCs w:val="18"/>
                <w:lang w:val="en-US"/>
              </w:rPr>
            </w:pPr>
            <w:r>
              <w:rPr>
                <w:sz w:val="18"/>
                <w:szCs w:val="18"/>
                <w:lang w:val="en-US"/>
              </w:rPr>
              <w:t>sum</w:t>
            </w:r>
          </w:p>
        </w:tc>
        <w:tc>
          <w:tcPr>
            <w:tcW w:w="1350" w:type="dxa"/>
          </w:tcPr>
          <w:p w14:paraId="3EADD749" w14:textId="77777777" w:rsidR="00C35672" w:rsidRDefault="00937145">
            <w:pPr>
              <w:rPr>
                <w:sz w:val="18"/>
                <w:szCs w:val="18"/>
                <w:lang w:val="en-US"/>
              </w:rPr>
            </w:pPr>
            <w:r>
              <w:rPr>
                <w:sz w:val="18"/>
                <w:szCs w:val="18"/>
                <w:lang w:val="en-US"/>
              </w:rPr>
              <w:t>present</w:t>
            </w:r>
          </w:p>
        </w:tc>
        <w:tc>
          <w:tcPr>
            <w:tcW w:w="2500" w:type="dxa"/>
          </w:tcPr>
          <w:p w14:paraId="2E28E01D" w14:textId="77777777" w:rsidR="00C35672" w:rsidRDefault="00937145">
            <w:pPr>
              <w:rPr>
                <w:sz w:val="18"/>
                <w:szCs w:val="18"/>
                <w:lang w:val="en-US"/>
              </w:rPr>
            </w:pPr>
            <w:r>
              <w:rPr>
                <w:sz w:val="18"/>
                <w:szCs w:val="18"/>
                <w:lang w:val="en-US"/>
              </w:rPr>
              <w:t>consistent</w:t>
            </w:r>
          </w:p>
        </w:tc>
        <w:tc>
          <w:tcPr>
            <w:tcW w:w="1200" w:type="dxa"/>
          </w:tcPr>
          <w:p w14:paraId="712A9525" w14:textId="77777777" w:rsidR="00C35672" w:rsidRDefault="00937145">
            <w:pPr>
              <w:rPr>
                <w:sz w:val="18"/>
                <w:szCs w:val="18"/>
                <w:lang w:val="en-US"/>
              </w:rPr>
            </w:pPr>
            <w:r>
              <w:rPr>
                <w:sz w:val="18"/>
                <w:szCs w:val="18"/>
                <w:lang w:val="en-US"/>
              </w:rPr>
              <w:t>6</w:t>
            </w:r>
          </w:p>
        </w:tc>
      </w:tr>
      <w:tr w:rsidR="00C35672" w14:paraId="0C8019AE" w14:textId="77777777">
        <w:tc>
          <w:tcPr>
            <w:tcW w:w="700" w:type="dxa"/>
          </w:tcPr>
          <w:p w14:paraId="241FA848" w14:textId="77777777" w:rsidR="00C35672" w:rsidRDefault="00937145">
            <w:pPr>
              <w:rPr>
                <w:sz w:val="18"/>
                <w:szCs w:val="18"/>
                <w:lang w:val="en-US"/>
              </w:rPr>
            </w:pPr>
            <w:r>
              <w:rPr>
                <w:sz w:val="18"/>
                <w:szCs w:val="18"/>
                <w:lang w:val="en-US"/>
              </w:rPr>
              <w:t>C2</w:t>
            </w:r>
          </w:p>
        </w:tc>
        <w:tc>
          <w:tcPr>
            <w:tcW w:w="1750" w:type="dxa"/>
          </w:tcPr>
          <w:p w14:paraId="6D878ED9" w14:textId="77777777" w:rsidR="00C35672" w:rsidRDefault="00937145">
            <w:pPr>
              <w:rPr>
                <w:sz w:val="18"/>
                <w:szCs w:val="18"/>
                <w:lang w:val="en-US"/>
              </w:rPr>
            </w:pPr>
            <w:r>
              <w:rPr>
                <w:sz w:val="18"/>
                <w:szCs w:val="18"/>
                <w:lang w:val="en-US"/>
              </w:rPr>
              <w:t>sum of per-mode forecasts → target</w:t>
            </w:r>
          </w:p>
        </w:tc>
        <w:tc>
          <w:tcPr>
            <w:tcW w:w="1200" w:type="dxa"/>
          </w:tcPr>
          <w:p w14:paraId="047FF99F" w14:textId="77777777" w:rsidR="00C35672" w:rsidRDefault="00937145">
            <w:pPr>
              <w:rPr>
                <w:sz w:val="18"/>
                <w:szCs w:val="18"/>
                <w:lang w:val="en-US"/>
              </w:rPr>
            </w:pPr>
            <w:r>
              <w:rPr>
                <w:sz w:val="18"/>
                <w:szCs w:val="18"/>
                <w:lang w:val="en-US"/>
              </w:rPr>
              <w:t>sum</w:t>
            </w:r>
          </w:p>
        </w:tc>
        <w:tc>
          <w:tcPr>
            <w:tcW w:w="1350" w:type="dxa"/>
          </w:tcPr>
          <w:p w14:paraId="3C97F3B2" w14:textId="77777777" w:rsidR="00C35672" w:rsidRDefault="00937145">
            <w:pPr>
              <w:rPr>
                <w:sz w:val="18"/>
                <w:szCs w:val="18"/>
                <w:lang w:val="en-US"/>
              </w:rPr>
            </w:pPr>
            <w:r>
              <w:rPr>
                <w:sz w:val="18"/>
                <w:szCs w:val="18"/>
                <w:lang w:val="en-US"/>
              </w:rPr>
              <w:t>absent</w:t>
            </w:r>
          </w:p>
        </w:tc>
        <w:tc>
          <w:tcPr>
            <w:tcW w:w="2500" w:type="dxa"/>
          </w:tcPr>
          <w:p w14:paraId="2C6CD094" w14:textId="77777777" w:rsidR="00C35672" w:rsidRDefault="00937145">
            <w:pPr>
              <w:rPr>
                <w:sz w:val="18"/>
                <w:szCs w:val="18"/>
                <w:lang w:val="en-US"/>
              </w:rPr>
            </w:pPr>
            <w:r>
              <w:rPr>
                <w:sz w:val="18"/>
                <w:szCs w:val="18"/>
                <w:lang w:val="en-US"/>
              </w:rPr>
              <w:t>consistent</w:t>
            </w:r>
          </w:p>
        </w:tc>
        <w:tc>
          <w:tcPr>
            <w:tcW w:w="1200" w:type="dxa"/>
          </w:tcPr>
          <w:p w14:paraId="658A7A3B" w14:textId="77777777" w:rsidR="00C35672" w:rsidRDefault="00937145">
            <w:pPr>
              <w:rPr>
                <w:sz w:val="18"/>
                <w:szCs w:val="18"/>
                <w:lang w:val="en-US"/>
              </w:rPr>
            </w:pPr>
            <w:r>
              <w:rPr>
                <w:sz w:val="18"/>
                <w:szCs w:val="18"/>
                <w:lang w:val="en-US"/>
              </w:rPr>
              <w:t>6</w:t>
            </w:r>
          </w:p>
        </w:tc>
      </w:tr>
      <w:tr w:rsidR="00C35672" w14:paraId="424ED7F0" w14:textId="77777777">
        <w:tc>
          <w:tcPr>
            <w:tcW w:w="700" w:type="dxa"/>
          </w:tcPr>
          <w:p w14:paraId="2965DF6F" w14:textId="77777777" w:rsidR="00C35672" w:rsidRDefault="00937145">
            <w:pPr>
              <w:rPr>
                <w:sz w:val="18"/>
                <w:szCs w:val="18"/>
                <w:lang w:val="en-US"/>
              </w:rPr>
            </w:pPr>
            <w:r>
              <w:rPr>
                <w:sz w:val="18"/>
                <w:szCs w:val="18"/>
                <w:lang w:val="en-US"/>
              </w:rPr>
              <w:t>C3</w:t>
            </w:r>
          </w:p>
        </w:tc>
        <w:tc>
          <w:tcPr>
            <w:tcW w:w="1750" w:type="dxa"/>
          </w:tcPr>
          <w:p w14:paraId="44397A25" w14:textId="77777777" w:rsidR="00C35672" w:rsidRDefault="00937145">
            <w:pPr>
              <w:rPr>
                <w:sz w:val="18"/>
                <w:szCs w:val="18"/>
                <w:lang w:val="en-US"/>
              </w:rPr>
            </w:pPr>
            <w:r>
              <w:rPr>
                <w:sz w:val="18"/>
                <w:szCs w:val="18"/>
                <w:lang w:val="en-US"/>
              </w:rPr>
              <w:t>sum of per-mode forecasts → target</w:t>
            </w:r>
          </w:p>
        </w:tc>
        <w:tc>
          <w:tcPr>
            <w:tcW w:w="1200" w:type="dxa"/>
          </w:tcPr>
          <w:p w14:paraId="6C0FA898" w14:textId="77777777" w:rsidR="00C35672" w:rsidRDefault="00937145">
            <w:pPr>
              <w:rPr>
                <w:sz w:val="18"/>
                <w:szCs w:val="18"/>
                <w:lang w:val="en-US"/>
              </w:rPr>
            </w:pPr>
            <w:r>
              <w:rPr>
                <w:sz w:val="18"/>
                <w:szCs w:val="18"/>
                <w:lang w:val="en-US"/>
              </w:rPr>
              <w:t>convex</w:t>
            </w:r>
          </w:p>
        </w:tc>
        <w:tc>
          <w:tcPr>
            <w:tcW w:w="1350" w:type="dxa"/>
          </w:tcPr>
          <w:p w14:paraId="2FC3B02D" w14:textId="77777777" w:rsidR="00C35672" w:rsidRDefault="00937145">
            <w:pPr>
              <w:rPr>
                <w:sz w:val="18"/>
                <w:szCs w:val="18"/>
                <w:lang w:val="en-US"/>
              </w:rPr>
            </w:pPr>
            <w:r>
              <w:rPr>
                <w:sz w:val="18"/>
                <w:szCs w:val="18"/>
                <w:lang w:val="en-US"/>
              </w:rPr>
              <w:t>present</w:t>
            </w:r>
          </w:p>
        </w:tc>
        <w:tc>
          <w:tcPr>
            <w:tcW w:w="2500" w:type="dxa"/>
          </w:tcPr>
          <w:p w14:paraId="014A89FD" w14:textId="77777777" w:rsidR="00C35672" w:rsidRDefault="00937145">
            <w:pPr>
              <w:rPr>
                <w:sz w:val="18"/>
                <w:szCs w:val="18"/>
                <w:lang w:val="en-US"/>
              </w:rPr>
            </w:pPr>
            <w:r>
              <w:rPr>
                <w:sz w:val="18"/>
                <w:szCs w:val="18"/>
                <w:lang w:val="en-US"/>
              </w:rPr>
              <w:t>misaligned — configuration of the earlier study</w:t>
            </w:r>
          </w:p>
        </w:tc>
        <w:tc>
          <w:tcPr>
            <w:tcW w:w="1200" w:type="dxa"/>
          </w:tcPr>
          <w:p w14:paraId="239C6802" w14:textId="77777777" w:rsidR="00C35672" w:rsidRDefault="00937145">
            <w:pPr>
              <w:rPr>
                <w:sz w:val="18"/>
                <w:szCs w:val="18"/>
                <w:lang w:val="en-US"/>
              </w:rPr>
            </w:pPr>
            <w:r>
              <w:rPr>
                <w:sz w:val="18"/>
                <w:szCs w:val="18"/>
                <w:lang w:val="en-US"/>
              </w:rPr>
              <w:t>6</w:t>
            </w:r>
          </w:p>
        </w:tc>
      </w:tr>
      <w:tr w:rsidR="00C35672" w14:paraId="43C895EE" w14:textId="77777777">
        <w:tc>
          <w:tcPr>
            <w:tcW w:w="700" w:type="dxa"/>
          </w:tcPr>
          <w:p w14:paraId="65BEF4E7" w14:textId="77777777" w:rsidR="00C35672" w:rsidRDefault="00937145">
            <w:pPr>
              <w:rPr>
                <w:sz w:val="18"/>
                <w:szCs w:val="18"/>
                <w:lang w:val="en-US"/>
              </w:rPr>
            </w:pPr>
            <w:r>
              <w:rPr>
                <w:sz w:val="18"/>
                <w:szCs w:val="18"/>
                <w:lang w:val="en-US"/>
              </w:rPr>
              <w:t>C4</w:t>
            </w:r>
          </w:p>
        </w:tc>
        <w:tc>
          <w:tcPr>
            <w:tcW w:w="1750" w:type="dxa"/>
          </w:tcPr>
          <w:p w14:paraId="69C63ADA" w14:textId="77777777" w:rsidR="00C35672" w:rsidRDefault="00937145">
            <w:pPr>
              <w:rPr>
                <w:sz w:val="18"/>
                <w:szCs w:val="18"/>
                <w:lang w:val="en-US"/>
              </w:rPr>
            </w:pPr>
            <w:r>
              <w:rPr>
                <w:sz w:val="18"/>
                <w:szCs w:val="18"/>
                <w:lang w:val="en-US"/>
              </w:rPr>
              <w:t>sum of per-mode forecasts → target</w:t>
            </w:r>
          </w:p>
        </w:tc>
        <w:tc>
          <w:tcPr>
            <w:tcW w:w="1200" w:type="dxa"/>
          </w:tcPr>
          <w:p w14:paraId="74CC9D7A" w14:textId="77777777" w:rsidR="00C35672" w:rsidRDefault="00937145">
            <w:pPr>
              <w:rPr>
                <w:sz w:val="18"/>
                <w:szCs w:val="18"/>
                <w:lang w:val="en-US"/>
              </w:rPr>
            </w:pPr>
            <w:r>
              <w:rPr>
                <w:sz w:val="18"/>
                <w:szCs w:val="18"/>
                <w:lang w:val="en-US"/>
              </w:rPr>
              <w:t>convex</w:t>
            </w:r>
          </w:p>
        </w:tc>
        <w:tc>
          <w:tcPr>
            <w:tcW w:w="1350" w:type="dxa"/>
          </w:tcPr>
          <w:p w14:paraId="68C23AD1" w14:textId="77777777" w:rsidR="00C35672" w:rsidRDefault="00937145">
            <w:pPr>
              <w:rPr>
                <w:sz w:val="18"/>
                <w:szCs w:val="18"/>
                <w:lang w:val="en-US"/>
              </w:rPr>
            </w:pPr>
            <w:r>
              <w:rPr>
                <w:sz w:val="18"/>
                <w:szCs w:val="18"/>
                <w:lang w:val="en-US"/>
              </w:rPr>
              <w:t>absent</w:t>
            </w:r>
          </w:p>
        </w:tc>
        <w:tc>
          <w:tcPr>
            <w:tcW w:w="2500" w:type="dxa"/>
          </w:tcPr>
          <w:p w14:paraId="7E575A89" w14:textId="77777777" w:rsidR="00C35672" w:rsidRDefault="00937145">
            <w:pPr>
              <w:rPr>
                <w:sz w:val="18"/>
                <w:szCs w:val="18"/>
                <w:lang w:val="en-US"/>
              </w:rPr>
            </w:pPr>
            <w:r>
              <w:rPr>
                <w:sz w:val="18"/>
                <w:szCs w:val="18"/>
                <w:lang w:val="en-US"/>
              </w:rPr>
              <w:t>misaligned</w:t>
            </w:r>
          </w:p>
        </w:tc>
        <w:tc>
          <w:tcPr>
            <w:tcW w:w="1200" w:type="dxa"/>
          </w:tcPr>
          <w:p w14:paraId="78392836" w14:textId="77777777" w:rsidR="00C35672" w:rsidRDefault="00937145">
            <w:pPr>
              <w:rPr>
                <w:sz w:val="18"/>
                <w:szCs w:val="18"/>
                <w:lang w:val="en-US"/>
              </w:rPr>
            </w:pPr>
            <w:r>
              <w:rPr>
                <w:sz w:val="18"/>
                <w:szCs w:val="18"/>
                <w:lang w:val="en-US"/>
              </w:rPr>
              <w:t>6</w:t>
            </w:r>
          </w:p>
        </w:tc>
      </w:tr>
      <w:tr w:rsidR="00C35672" w14:paraId="5EFA34FF" w14:textId="77777777">
        <w:tc>
          <w:tcPr>
            <w:tcW w:w="700" w:type="dxa"/>
          </w:tcPr>
          <w:p w14:paraId="012C9E1C" w14:textId="77777777" w:rsidR="00C35672" w:rsidRDefault="00937145">
            <w:pPr>
              <w:rPr>
                <w:sz w:val="18"/>
                <w:szCs w:val="18"/>
                <w:lang w:val="en-US"/>
              </w:rPr>
            </w:pPr>
            <w:r>
              <w:rPr>
                <w:sz w:val="18"/>
                <w:szCs w:val="18"/>
                <w:lang w:val="en-US"/>
              </w:rPr>
              <w:t>C5</w:t>
            </w:r>
          </w:p>
        </w:tc>
        <w:tc>
          <w:tcPr>
            <w:tcW w:w="1750" w:type="dxa"/>
          </w:tcPr>
          <w:p w14:paraId="27BA5910" w14:textId="77777777" w:rsidR="00C35672" w:rsidRDefault="00937145">
            <w:pPr>
              <w:rPr>
                <w:sz w:val="18"/>
                <w:szCs w:val="18"/>
                <w:lang w:val="en-US"/>
              </w:rPr>
            </w:pPr>
            <w:r>
              <w:rPr>
                <w:sz w:val="18"/>
                <w:szCs w:val="18"/>
                <w:lang w:val="en-US"/>
              </w:rPr>
              <w:t>each mode → target</w:t>
            </w:r>
          </w:p>
        </w:tc>
        <w:tc>
          <w:tcPr>
            <w:tcW w:w="1200" w:type="dxa"/>
          </w:tcPr>
          <w:p w14:paraId="32F779D4" w14:textId="77777777" w:rsidR="00C35672" w:rsidRDefault="00937145">
            <w:pPr>
              <w:rPr>
                <w:sz w:val="18"/>
                <w:szCs w:val="18"/>
                <w:lang w:val="en-US"/>
              </w:rPr>
            </w:pPr>
            <w:r>
              <w:rPr>
                <w:sz w:val="18"/>
                <w:szCs w:val="18"/>
                <w:lang w:val="en-US"/>
              </w:rPr>
              <w:t>sum</w:t>
            </w:r>
          </w:p>
        </w:tc>
        <w:tc>
          <w:tcPr>
            <w:tcW w:w="1350" w:type="dxa"/>
          </w:tcPr>
          <w:p w14:paraId="5B099623" w14:textId="77777777" w:rsidR="00C35672" w:rsidRDefault="00937145">
            <w:pPr>
              <w:rPr>
                <w:sz w:val="18"/>
                <w:szCs w:val="18"/>
                <w:lang w:val="en-US"/>
              </w:rPr>
            </w:pPr>
            <w:r>
              <w:rPr>
                <w:sz w:val="18"/>
                <w:szCs w:val="18"/>
                <w:lang w:val="en-US"/>
              </w:rPr>
              <w:t>present</w:t>
            </w:r>
          </w:p>
        </w:tc>
        <w:tc>
          <w:tcPr>
            <w:tcW w:w="2500" w:type="dxa"/>
          </w:tcPr>
          <w:p w14:paraId="19D1B64A" w14:textId="77777777" w:rsidR="00C35672" w:rsidRDefault="00937145">
            <w:pPr>
              <w:rPr>
                <w:sz w:val="18"/>
                <w:szCs w:val="18"/>
                <w:lang w:val="en-US"/>
              </w:rPr>
            </w:pPr>
            <w:r>
              <w:rPr>
                <w:sz w:val="18"/>
                <w:szCs w:val="18"/>
                <w:lang w:val="en-US"/>
              </w:rPr>
              <w:t>misaligned</w:t>
            </w:r>
          </w:p>
        </w:tc>
        <w:tc>
          <w:tcPr>
            <w:tcW w:w="1200" w:type="dxa"/>
          </w:tcPr>
          <w:p w14:paraId="1D4AF087" w14:textId="77777777" w:rsidR="00C35672" w:rsidRDefault="00937145">
            <w:pPr>
              <w:rPr>
                <w:sz w:val="18"/>
                <w:szCs w:val="18"/>
                <w:lang w:val="en-US"/>
              </w:rPr>
            </w:pPr>
            <w:r>
              <w:rPr>
                <w:sz w:val="18"/>
                <w:szCs w:val="18"/>
                <w:lang w:val="en-US"/>
              </w:rPr>
              <w:t>6</w:t>
            </w:r>
          </w:p>
        </w:tc>
      </w:tr>
      <w:tr w:rsidR="00C35672" w14:paraId="59BE5E3F" w14:textId="77777777">
        <w:tc>
          <w:tcPr>
            <w:tcW w:w="700" w:type="dxa"/>
          </w:tcPr>
          <w:p w14:paraId="3FCFFF31" w14:textId="77777777" w:rsidR="00C35672" w:rsidRDefault="00937145">
            <w:pPr>
              <w:rPr>
                <w:sz w:val="18"/>
                <w:szCs w:val="18"/>
                <w:lang w:val="en-US"/>
              </w:rPr>
            </w:pPr>
            <w:r>
              <w:rPr>
                <w:sz w:val="18"/>
                <w:szCs w:val="18"/>
                <w:lang w:val="en-US"/>
              </w:rPr>
              <w:t>C6</w:t>
            </w:r>
          </w:p>
        </w:tc>
        <w:tc>
          <w:tcPr>
            <w:tcW w:w="1750" w:type="dxa"/>
          </w:tcPr>
          <w:p w14:paraId="297DCB80" w14:textId="77777777" w:rsidR="00C35672" w:rsidRDefault="00937145">
            <w:pPr>
              <w:rPr>
                <w:sz w:val="18"/>
                <w:szCs w:val="18"/>
                <w:lang w:val="en-US"/>
              </w:rPr>
            </w:pPr>
            <w:r>
              <w:rPr>
                <w:sz w:val="18"/>
                <w:szCs w:val="18"/>
                <w:lang w:val="en-US"/>
              </w:rPr>
              <w:t>each mode → target</w:t>
            </w:r>
          </w:p>
        </w:tc>
        <w:tc>
          <w:tcPr>
            <w:tcW w:w="1200" w:type="dxa"/>
          </w:tcPr>
          <w:p w14:paraId="59F4B907" w14:textId="77777777" w:rsidR="00C35672" w:rsidRDefault="00937145">
            <w:pPr>
              <w:rPr>
                <w:sz w:val="18"/>
                <w:szCs w:val="18"/>
                <w:lang w:val="en-US"/>
              </w:rPr>
            </w:pPr>
            <w:r>
              <w:rPr>
                <w:sz w:val="18"/>
                <w:szCs w:val="18"/>
                <w:lang w:val="en-US"/>
              </w:rPr>
              <w:t>sum</w:t>
            </w:r>
          </w:p>
        </w:tc>
        <w:tc>
          <w:tcPr>
            <w:tcW w:w="1350" w:type="dxa"/>
          </w:tcPr>
          <w:p w14:paraId="1C6B1EFB" w14:textId="77777777" w:rsidR="00C35672" w:rsidRDefault="00937145">
            <w:pPr>
              <w:rPr>
                <w:sz w:val="18"/>
                <w:szCs w:val="18"/>
                <w:lang w:val="en-US"/>
              </w:rPr>
            </w:pPr>
            <w:r>
              <w:rPr>
                <w:sz w:val="18"/>
                <w:szCs w:val="18"/>
                <w:lang w:val="en-US"/>
              </w:rPr>
              <w:t>absent</w:t>
            </w:r>
          </w:p>
        </w:tc>
        <w:tc>
          <w:tcPr>
            <w:tcW w:w="2500" w:type="dxa"/>
          </w:tcPr>
          <w:p w14:paraId="54904A11" w14:textId="77777777" w:rsidR="00C35672" w:rsidRDefault="00937145">
            <w:pPr>
              <w:rPr>
                <w:sz w:val="18"/>
                <w:szCs w:val="18"/>
                <w:lang w:val="en-US"/>
              </w:rPr>
            </w:pPr>
            <w:r>
              <w:rPr>
                <w:sz w:val="18"/>
                <w:szCs w:val="18"/>
                <w:lang w:val="en-US"/>
              </w:rPr>
              <w:t>misaligned</w:t>
            </w:r>
          </w:p>
        </w:tc>
        <w:tc>
          <w:tcPr>
            <w:tcW w:w="1200" w:type="dxa"/>
          </w:tcPr>
          <w:p w14:paraId="3E764192" w14:textId="77777777" w:rsidR="00C35672" w:rsidRDefault="00937145">
            <w:pPr>
              <w:rPr>
                <w:sz w:val="18"/>
                <w:szCs w:val="18"/>
                <w:lang w:val="en-US"/>
              </w:rPr>
            </w:pPr>
            <w:r>
              <w:rPr>
                <w:sz w:val="18"/>
                <w:szCs w:val="18"/>
                <w:lang w:val="en-US"/>
              </w:rPr>
              <w:t>6</w:t>
            </w:r>
          </w:p>
        </w:tc>
      </w:tr>
      <w:tr w:rsidR="00C35672" w14:paraId="66A1EB10" w14:textId="77777777">
        <w:tc>
          <w:tcPr>
            <w:tcW w:w="700" w:type="dxa"/>
          </w:tcPr>
          <w:p w14:paraId="7732796A" w14:textId="77777777" w:rsidR="00C35672" w:rsidRDefault="00937145">
            <w:pPr>
              <w:rPr>
                <w:sz w:val="18"/>
                <w:szCs w:val="18"/>
                <w:lang w:val="en-US"/>
              </w:rPr>
            </w:pPr>
            <w:r>
              <w:rPr>
                <w:sz w:val="18"/>
                <w:szCs w:val="18"/>
                <w:lang w:val="en-US"/>
              </w:rPr>
              <w:t>C7</w:t>
            </w:r>
          </w:p>
        </w:tc>
        <w:tc>
          <w:tcPr>
            <w:tcW w:w="1750" w:type="dxa"/>
          </w:tcPr>
          <w:p w14:paraId="6668D23D" w14:textId="77777777" w:rsidR="00C35672" w:rsidRDefault="00937145">
            <w:pPr>
              <w:rPr>
                <w:sz w:val="18"/>
                <w:szCs w:val="18"/>
                <w:lang w:val="en-US"/>
              </w:rPr>
            </w:pPr>
            <w:r>
              <w:rPr>
                <w:sz w:val="18"/>
                <w:szCs w:val="18"/>
                <w:lang w:val="en-US"/>
              </w:rPr>
              <w:t>each mode → target</w:t>
            </w:r>
          </w:p>
        </w:tc>
        <w:tc>
          <w:tcPr>
            <w:tcW w:w="1200" w:type="dxa"/>
          </w:tcPr>
          <w:p w14:paraId="5E565C61" w14:textId="77777777" w:rsidR="00C35672" w:rsidRDefault="00937145">
            <w:pPr>
              <w:rPr>
                <w:sz w:val="18"/>
                <w:szCs w:val="18"/>
                <w:lang w:val="en-US"/>
              </w:rPr>
            </w:pPr>
            <w:r>
              <w:rPr>
                <w:sz w:val="18"/>
                <w:szCs w:val="18"/>
                <w:lang w:val="en-US"/>
              </w:rPr>
              <w:t>convex</w:t>
            </w:r>
          </w:p>
        </w:tc>
        <w:tc>
          <w:tcPr>
            <w:tcW w:w="1350" w:type="dxa"/>
          </w:tcPr>
          <w:p w14:paraId="3222D67F" w14:textId="77777777" w:rsidR="00C35672" w:rsidRDefault="00937145">
            <w:pPr>
              <w:rPr>
                <w:sz w:val="18"/>
                <w:szCs w:val="18"/>
                <w:lang w:val="en-US"/>
              </w:rPr>
            </w:pPr>
            <w:r>
              <w:rPr>
                <w:sz w:val="18"/>
                <w:szCs w:val="18"/>
                <w:lang w:val="en-US"/>
              </w:rPr>
              <w:t>present</w:t>
            </w:r>
          </w:p>
        </w:tc>
        <w:tc>
          <w:tcPr>
            <w:tcW w:w="2500" w:type="dxa"/>
          </w:tcPr>
          <w:p w14:paraId="7D8B9721" w14:textId="77777777" w:rsidR="00C35672" w:rsidRDefault="00937145">
            <w:pPr>
              <w:rPr>
                <w:sz w:val="18"/>
                <w:szCs w:val="18"/>
                <w:lang w:val="en-US"/>
              </w:rPr>
            </w:pPr>
            <w:r>
              <w:rPr>
                <w:sz w:val="18"/>
                <w:szCs w:val="18"/>
                <w:lang w:val="en-US"/>
              </w:rPr>
              <w:t>consistent — focal ablation pair</w:t>
            </w:r>
          </w:p>
        </w:tc>
        <w:tc>
          <w:tcPr>
            <w:tcW w:w="1200" w:type="dxa"/>
          </w:tcPr>
          <w:p w14:paraId="6F31DAC0" w14:textId="77777777" w:rsidR="00C35672" w:rsidRDefault="00937145">
            <w:pPr>
              <w:rPr>
                <w:sz w:val="18"/>
                <w:szCs w:val="18"/>
                <w:lang w:val="en-US"/>
              </w:rPr>
            </w:pPr>
            <w:r>
              <w:rPr>
                <w:sz w:val="18"/>
                <w:szCs w:val="18"/>
                <w:lang w:val="en-US"/>
              </w:rPr>
              <w:t>17</w:t>
            </w:r>
          </w:p>
        </w:tc>
      </w:tr>
      <w:tr w:rsidR="00C35672" w14:paraId="688EF069" w14:textId="77777777">
        <w:tc>
          <w:tcPr>
            <w:tcW w:w="700" w:type="dxa"/>
          </w:tcPr>
          <w:p w14:paraId="6CC3B3A1" w14:textId="77777777" w:rsidR="00C35672" w:rsidRDefault="00937145">
            <w:pPr>
              <w:rPr>
                <w:sz w:val="18"/>
                <w:szCs w:val="18"/>
                <w:lang w:val="en-US"/>
              </w:rPr>
            </w:pPr>
            <w:r>
              <w:rPr>
                <w:sz w:val="18"/>
                <w:szCs w:val="18"/>
                <w:lang w:val="en-US"/>
              </w:rPr>
              <w:t>C8</w:t>
            </w:r>
          </w:p>
        </w:tc>
        <w:tc>
          <w:tcPr>
            <w:tcW w:w="1750" w:type="dxa"/>
          </w:tcPr>
          <w:p w14:paraId="2ACF1A21" w14:textId="77777777" w:rsidR="00C35672" w:rsidRDefault="00937145">
            <w:pPr>
              <w:rPr>
                <w:sz w:val="18"/>
                <w:szCs w:val="18"/>
                <w:lang w:val="en-US"/>
              </w:rPr>
            </w:pPr>
            <w:r>
              <w:rPr>
                <w:sz w:val="18"/>
                <w:szCs w:val="18"/>
                <w:lang w:val="en-US"/>
              </w:rPr>
              <w:t>each mode → target</w:t>
            </w:r>
          </w:p>
        </w:tc>
        <w:tc>
          <w:tcPr>
            <w:tcW w:w="1200" w:type="dxa"/>
          </w:tcPr>
          <w:p w14:paraId="662A3A87" w14:textId="77777777" w:rsidR="00C35672" w:rsidRDefault="00937145">
            <w:pPr>
              <w:rPr>
                <w:sz w:val="18"/>
                <w:szCs w:val="18"/>
                <w:lang w:val="en-US"/>
              </w:rPr>
            </w:pPr>
            <w:r>
              <w:rPr>
                <w:sz w:val="18"/>
                <w:szCs w:val="18"/>
                <w:lang w:val="en-US"/>
              </w:rPr>
              <w:t>convex</w:t>
            </w:r>
          </w:p>
        </w:tc>
        <w:tc>
          <w:tcPr>
            <w:tcW w:w="1350" w:type="dxa"/>
          </w:tcPr>
          <w:p w14:paraId="7D144560" w14:textId="77777777" w:rsidR="00C35672" w:rsidRDefault="00937145">
            <w:pPr>
              <w:rPr>
                <w:sz w:val="18"/>
                <w:szCs w:val="18"/>
                <w:lang w:val="en-US"/>
              </w:rPr>
            </w:pPr>
            <w:r>
              <w:rPr>
                <w:sz w:val="18"/>
                <w:szCs w:val="18"/>
                <w:lang w:val="en-US"/>
              </w:rPr>
              <w:t>absent</w:t>
            </w:r>
          </w:p>
        </w:tc>
        <w:tc>
          <w:tcPr>
            <w:tcW w:w="2500" w:type="dxa"/>
          </w:tcPr>
          <w:p w14:paraId="0DB66924" w14:textId="77777777" w:rsidR="00C35672" w:rsidRDefault="00937145">
            <w:pPr>
              <w:rPr>
                <w:sz w:val="18"/>
                <w:szCs w:val="18"/>
                <w:lang w:val="en-US"/>
              </w:rPr>
            </w:pPr>
            <w:r>
              <w:rPr>
                <w:sz w:val="18"/>
                <w:szCs w:val="18"/>
                <w:lang w:val="en-US"/>
              </w:rPr>
              <w:t>consistent — focal ablation pair</w:t>
            </w:r>
          </w:p>
        </w:tc>
        <w:tc>
          <w:tcPr>
            <w:tcW w:w="1200" w:type="dxa"/>
          </w:tcPr>
          <w:p w14:paraId="29EC47E5" w14:textId="77777777" w:rsidR="00C35672" w:rsidRDefault="00937145">
            <w:pPr>
              <w:rPr>
                <w:sz w:val="18"/>
                <w:szCs w:val="18"/>
                <w:lang w:val="en-US"/>
              </w:rPr>
            </w:pPr>
            <w:r>
              <w:rPr>
                <w:sz w:val="18"/>
                <w:szCs w:val="18"/>
                <w:lang w:val="en-US"/>
              </w:rPr>
              <w:t>17</w:t>
            </w:r>
          </w:p>
        </w:tc>
      </w:tr>
      <w:tr w:rsidR="00C35672" w14:paraId="59FF2AD4" w14:textId="77777777">
        <w:tc>
          <w:tcPr>
            <w:tcW w:w="700" w:type="dxa"/>
          </w:tcPr>
          <w:p w14:paraId="4EA9CC47" w14:textId="77777777" w:rsidR="00C35672" w:rsidRDefault="00937145">
            <w:pPr>
              <w:rPr>
                <w:sz w:val="18"/>
                <w:szCs w:val="18"/>
                <w:lang w:val="en-US"/>
              </w:rPr>
            </w:pPr>
            <w:r>
              <w:rPr>
                <w:sz w:val="18"/>
                <w:szCs w:val="18"/>
                <w:lang w:val="en-US"/>
              </w:rPr>
              <w:t>W</w:t>
            </w:r>
          </w:p>
        </w:tc>
        <w:tc>
          <w:tcPr>
            <w:tcW w:w="1750" w:type="dxa"/>
          </w:tcPr>
          <w:p w14:paraId="630E9B5B" w14:textId="77777777" w:rsidR="00C35672" w:rsidRDefault="00937145">
            <w:pPr>
              <w:rPr>
                <w:sz w:val="18"/>
                <w:szCs w:val="18"/>
                <w:lang w:val="en-US"/>
              </w:rPr>
            </w:pPr>
            <w:r>
              <w:rPr>
                <w:sz w:val="18"/>
                <w:szCs w:val="18"/>
                <w:lang w:val="en-US"/>
              </w:rPr>
              <w:t>each mode → target, weight 0.2/K</w:t>
            </w:r>
          </w:p>
        </w:tc>
        <w:tc>
          <w:tcPr>
            <w:tcW w:w="1200" w:type="dxa"/>
          </w:tcPr>
          <w:p w14:paraId="426ACA8D" w14:textId="77777777" w:rsidR="00C35672" w:rsidRDefault="00937145">
            <w:pPr>
              <w:rPr>
                <w:sz w:val="18"/>
                <w:szCs w:val="18"/>
                <w:lang w:val="en-US"/>
              </w:rPr>
            </w:pPr>
            <w:r>
              <w:rPr>
                <w:sz w:val="18"/>
                <w:szCs w:val="18"/>
                <w:lang w:val="en-US"/>
              </w:rPr>
              <w:t>convex</w:t>
            </w:r>
          </w:p>
        </w:tc>
        <w:tc>
          <w:tcPr>
            <w:tcW w:w="1350" w:type="dxa"/>
          </w:tcPr>
          <w:p w14:paraId="15E94A8F" w14:textId="77777777" w:rsidR="00C35672" w:rsidRDefault="00937145">
            <w:pPr>
              <w:rPr>
                <w:sz w:val="18"/>
                <w:szCs w:val="18"/>
                <w:lang w:val="en-US"/>
              </w:rPr>
            </w:pPr>
            <w:r>
              <w:rPr>
                <w:sz w:val="18"/>
                <w:szCs w:val="18"/>
                <w:lang w:val="en-US"/>
              </w:rPr>
              <w:t>present</w:t>
            </w:r>
          </w:p>
        </w:tc>
        <w:tc>
          <w:tcPr>
            <w:tcW w:w="2500" w:type="dxa"/>
          </w:tcPr>
          <w:p w14:paraId="31DE006E" w14:textId="77777777" w:rsidR="00C35672" w:rsidRDefault="00937145">
            <w:pPr>
              <w:rPr>
                <w:sz w:val="18"/>
                <w:szCs w:val="18"/>
                <w:lang w:val="en-US"/>
              </w:rPr>
            </w:pPr>
            <w:r>
              <w:rPr>
                <w:sz w:val="18"/>
                <w:szCs w:val="18"/>
                <w:lang w:val="en-US"/>
              </w:rPr>
              <w:t>auxiliary-weight control (Section 5.1.3)</w:t>
            </w:r>
          </w:p>
        </w:tc>
        <w:tc>
          <w:tcPr>
            <w:tcW w:w="1200" w:type="dxa"/>
          </w:tcPr>
          <w:p w14:paraId="2CC34372" w14:textId="77777777" w:rsidR="00C35672" w:rsidRDefault="00937145">
            <w:pPr>
              <w:rPr>
                <w:sz w:val="18"/>
                <w:szCs w:val="18"/>
                <w:lang w:val="en-US"/>
              </w:rPr>
            </w:pPr>
            <w:r>
              <w:rPr>
                <w:sz w:val="18"/>
                <w:szCs w:val="18"/>
                <w:lang w:val="en-US"/>
              </w:rPr>
              <w:t>17</w:t>
            </w:r>
          </w:p>
        </w:tc>
      </w:tr>
    </w:tbl>
    <w:p w14:paraId="2D1AEC9F"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4.3.2. Interventions</w:t>
      </w:r>
    </w:p>
    <w:p w14:paraId="7CF44EEC" w14:textId="77777777" w:rsidR="00FA1C3E" w:rsidRPr="00322B42" w:rsidRDefault="00DF00D8" w:rsidP="00B632D2">
      <w:pPr>
        <w:spacing w:line="240" w:lineRule="auto"/>
        <w:jc w:val="both"/>
        <w:rPr>
          <w:lang w:val="en-US"/>
        </w:rPr>
      </w:pPr>
      <w:r>
        <w:rPr>
          <w:lang w:val="en-US"/>
        </w:rPr>
        <w:t>Inference-time interventions alter mode–identity correspondence, embedding content or aggregation weights without retraining; a consistent joint permutation serves as a numerical null control. Conditions and implementation details are given in Supplementary Sections S1 and S5.</w:t>
      </w:r>
    </w:p>
    <w:p w14:paraId="4384B8A8"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Metrics</w:t>
      </w:r>
    </w:p>
    <w:p w14:paraId="55ACE7DC" w14:textId="77777777" w:rsidR="00E64F55" w:rsidRPr="00F22774" w:rsidRDefault="00E64F55" w:rsidP="00B632D2">
      <w:pPr>
        <w:spacing w:line="240" w:lineRule="auto"/>
        <w:jc w:val="both"/>
        <w:rPr>
          <w:lang w:val="en-US"/>
        </w:rPr>
      </w:pPr>
      <w:r>
        <w:rPr>
          <w:rFonts w:cs="Times New Roman"/>
          <w:lang w:val="en-US"/>
        </w:rPr>
        <w:t>Errors are reported in watts as mean absolute error and root mean squared error, and additionally as a ratio to the error of a predictor that always returns the training mean. The ratio makes households of very different scale comparable and identifies configurations that are worse than a trivial forecast, which occurs frequently enough in this study to matter.</w:t>
      </w:r>
    </w:p>
    <w:p w14:paraId="6547D32A" w14:textId="77777777" w:rsidR="00E64F55" w:rsidRPr="00F22774" w:rsidRDefault="00E64F55" w:rsidP="00B632D2">
      <w:pPr>
        <w:spacing w:line="240" w:lineRule="auto"/>
        <w:jc w:val="both"/>
        <w:rPr>
          <w:lang w:val="en-US"/>
        </w:rPr>
      </w:pPr>
      <w:r>
        <w:rPr>
          <w:rFonts w:cs="Times New Roman"/>
          <w:lang w:val="en-US"/>
        </w:rPr>
        <w:t>For diagnosing the internal state of the model we also report, for each output, the ratio of its standard deviation to that of the target, its bias, and its correlation with the target. These separate a path that carries no signal from one that carries signal at the wrong scale or level, a distinction that mean absolute error alone does not make.</w:t>
      </w:r>
    </w:p>
    <w:p w14:paraId="0F7CCFD9" w14:textId="77777777" w:rsidR="00E64F55" w:rsidRPr="00F22774" w:rsidRDefault="00E64F55" w:rsidP="00B632D2">
      <w:pPr>
        <w:spacing w:line="240" w:lineRule="auto"/>
        <w:jc w:val="both"/>
        <w:rPr>
          <w:lang w:val="en-US"/>
        </w:rPr>
      </w:pPr>
      <w:r>
        <w:rPr>
          <w:b/>
          <w:bCs/>
          <w:lang w:val="en-US"/>
        </w:rPr>
        <w:t>Study-specific decision margin.</w:t>
      </w:r>
      <w:r>
        <w:rPr>
          <w:lang w:val="en-US"/>
        </w:rPr>
        <w:t xml:space="preserve"> For the household analysis, a change is treated as practically relevant when it reaches ±2% of that household's constant-predictor error. This margin was fixed before the present results and is not a universal economic threshold. Sensitivity is explicit: 7/17 households exceed 1%, 4/17 exceed 2%, and 0/17 exceed 5%; the pooled estimate and prediction interval are unchanged. The economic rationale and its dependence on storage, tariffs and decision setting are given in Supplementary Section S8.3.</w:t>
      </w:r>
    </w:p>
    <w:p w14:paraId="423E664A"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Statistical procedures</w:t>
      </w:r>
    </w:p>
    <w:p w14:paraId="6EE6F009" w14:textId="77777777" w:rsidR="00E64F55" w:rsidRPr="00F22774" w:rsidRDefault="00E64F55" w:rsidP="00B632D2">
      <w:pPr>
        <w:spacing w:line="240" w:lineRule="auto"/>
        <w:jc w:val="both"/>
        <w:rPr>
          <w:lang w:val="en-US"/>
        </w:rPr>
      </w:pPr>
      <w:r>
        <w:rPr>
          <w:lang w:val="en-US"/>
        </w:rPr>
        <w:t>The symbols used in this section and Section 5 are collected in Supplementary Appendix A. For each unit, the paired ablation effects form a crossed seed × evaluation-unit array. A two-way decomposition separates the training-seed component, the common evaluation-unit component and their interaction. Serial dependence is retained by jointly resampling the same moving blocks of window indices across all seed rows. The primary inferential contrast groups the latter two terms as finite-evaluation uncertainty because both vanish as the common evaluation sample grows.</w:t>
      </w:r>
    </w:p>
    <w:p w14:paraId="2C936A3A" w14:textId="77777777" w:rsidR="00E64F55" w:rsidRPr="00F22774" w:rsidRDefault="00E64F55" w:rsidP="00B632D2">
      <w:pPr>
        <w:spacing w:line="240" w:lineRule="auto"/>
        <w:jc w:val="both"/>
        <w:rPr>
          <w:lang w:val="en-US"/>
        </w:rPr>
      </w:pPr>
      <w:r>
        <w:rPr>
          <w:lang w:val="en-US"/>
        </w:rPr>
        <w:t>Uncertainty for the seed-to-evaluation variance ratio uses the conditional F pivot available under a balanced normal random-effects model. We call the resulting quantity an F-based model interval for the ratio, mapped to the estimated seed share; the mapped share is not exact because its evaluation component is estimated by a moving-block bootstrap. Assumptions, the full derivation and coverage simulations are in Supplementary Sections S2 and S4.</w:t>
      </w:r>
    </w:p>
    <w:p w14:paraId="2E5F0EB6" w14:textId="77777777" w:rsidR="00E64F55" w:rsidRPr="00F22774" w:rsidRDefault="00E64F55" w:rsidP="00B632D2">
      <w:pPr>
        <w:spacing w:line="240" w:lineRule="auto"/>
        <w:jc w:val="both"/>
        <w:rPr>
          <w:lang w:val="en-US"/>
        </w:rPr>
      </w:pPr>
      <w:r>
        <w:rPr>
          <w:lang w:val="en-US"/>
        </w:rPr>
        <w:t xml:space="preserve">Units are pooled by random-effects meta-analysis with between-unit variance estimated by restricted maximum likelihood (REML). The primary interval for the pooled mean uses the modified Hartung–Knapp adjustment and a t quantile with k−1 degrees of freedom; normal-quantile random-effects intervals are retained only as a sensitivity analysis. We report </w:t>
      </w:r>
      <w:r>
        <w:t>τ</w:t>
      </w:r>
      <w:r>
        <w:rPr>
          <w:lang w:val="en-US"/>
        </w:rPr>
        <w:t>, I², Cochran’s Q and a prediction interval for a new unit. A dataset-clustered/three-level sensitivity analysis checks the dependence induced by multiple units from the same collection. Exact sign tests are used when direction rather than magnitude is at issue, and Wilcoxon signed-rank tests compare paired unit-level quantities. Sample-size requirements are evaluated by simulation at 80% power and a two-sided level of 0.05 using the estimated variance components.</w:t>
      </w:r>
    </w:p>
    <w:p w14:paraId="0FC41537" w14:textId="77777777" w:rsidR="00E64F55" w:rsidRPr="00F22774" w:rsidRDefault="00B611D3" w:rsidP="00B632D2">
      <w:pPr>
        <w:pStyle w:val="3"/>
        <w:spacing w:line="240" w:lineRule="auto"/>
        <w:ind w:firstLine="426"/>
        <w:rPr>
          <w:lang w:val="en-US"/>
        </w:rPr>
      </w:pPr>
      <w:r>
        <w:rPr>
          <w:rFonts w:ascii="Times New Roman" w:eastAsia="Times New Roman" w:hAnsi="Times New Roman"/>
          <w:lang w:val="en-US"/>
        </w:rPr>
        <w:t>4.5.1. Pre-specified and post-hoc analyses</w:t>
      </w:r>
    </w:p>
    <w:p w14:paraId="706EA230" w14:textId="77777777" w:rsidR="00FA1C3E" w:rsidRDefault="00DF00D8" w:rsidP="00B632D2">
      <w:pPr>
        <w:spacing w:line="240" w:lineRule="auto"/>
        <w:jc w:val="both"/>
      </w:pPr>
      <w:r>
        <w:rPr>
          <w:lang w:val="en-US"/>
        </w:rPr>
        <w:t xml:space="preserve">The household study is exploratory, the ECL replication confirmatory, and the CC18 task set, seeds, metrics and success criterion were fixed before final outcomes; minimum-test-size and prediction-flip checks are post-hoc. </w:t>
      </w:r>
      <w:r>
        <w:t>The complete classification is in Supplementary Section S1.</w:t>
      </w:r>
    </w:p>
    <w:p w14:paraId="5F510904" w14:textId="77777777" w:rsidR="00E64F55" w:rsidRPr="00F22774" w:rsidRDefault="00E64F55" w:rsidP="00B632D2">
      <w:pPr>
        <w:pStyle w:val="2"/>
        <w:numPr>
          <w:ilvl w:val="1"/>
          <w:numId w:val="1"/>
        </w:numPr>
        <w:spacing w:line="240" w:lineRule="auto"/>
        <w:rPr>
          <w:lang w:val="en-US"/>
        </w:rPr>
      </w:pPr>
      <w:r>
        <w:rPr>
          <w:rFonts w:ascii="Times New Roman" w:eastAsia="Times New Roman" w:hAnsi="Times New Roman"/>
          <w:lang w:val="en-US"/>
        </w:rPr>
        <w:t xml:space="preserve"> Reproducibility</w:t>
      </w:r>
    </w:p>
    <w:p w14:paraId="42D3C8C7" w14:textId="77777777" w:rsidR="00E64F55" w:rsidRPr="00F22774" w:rsidRDefault="00E64F55" w:rsidP="00B632D2">
      <w:pPr>
        <w:spacing w:line="240" w:lineRule="auto"/>
        <w:jc w:val="both"/>
        <w:rPr>
          <w:lang w:val="en-US"/>
        </w:rPr>
      </w:pPr>
      <w:r>
        <w:rPr>
          <w:lang w:val="en-US"/>
        </w:rPr>
        <w:t>Code, configurations, registrations, compact results and per-example artifacts are maintained in the public reproducibility repository. A single results/results_manifest.csv records, for every experiment, domain, units, seed count, evaluation count, component, outcome, inferential status and source artifact. Tables and figures are generated from the corresponding released result files and archived at https://doi.org/10.5281/zenodo.21935720.</w:t>
      </w:r>
    </w:p>
    <w:p w14:paraId="51CA4A77" w14:textId="77777777" w:rsidR="00FA1C3E" w:rsidRPr="0081627F"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Non-energy feature-identity benchmark</w:t>
      </w:r>
    </w:p>
    <w:p w14:paraId="58979EB5" w14:textId="77777777" w:rsidR="00FA1C3E" w:rsidRPr="00322B42" w:rsidRDefault="00DF00D8" w:rsidP="00B632D2">
      <w:pPr>
        <w:spacing w:line="240" w:lineRule="auto"/>
        <w:jc w:val="both"/>
        <w:rPr>
          <w:lang w:val="en-US"/>
        </w:rPr>
      </w:pPr>
      <w:r>
        <w:rPr>
          <w:lang w:val="en-US"/>
        </w:rPr>
        <w:t>To assess whether the identity question extends beyond energy forecasting, we selected 17 classification tasks from OpenML-CC18 (suite 99). Energy, image-derived, anonymous-feature, windowed-sensor and near-duplicate datasets were excluded because they either overlap the primary domain or do not admit a meaningful feature-identity intervention. The task list and exclusions were frozen before the final outcomes were inspected. Each task used the official OpenML repeat-0, fold-0, sample-0 split; a fixed stratified 10% validation subset was carved from the training fold, and all preprocessing was fitted on the remaining training observations only (</w:t>
      </w:r>
      <w:hyperlink w:anchor="ref_vanschoren_2014">
        <w:r>
          <w:rPr>
            <w:rFonts w:cs="Times New Roman"/>
            <w:color w:val="0563C1"/>
            <w:lang w:val="en-US"/>
          </w:rPr>
          <w:t>Vanschoren et al., 2014</w:t>
        </w:r>
      </w:hyperlink>
      <w:r>
        <w:rPr>
          <w:lang w:val="en-US"/>
        </w:rPr>
        <w:t xml:space="preserve">; </w:t>
      </w:r>
      <w:hyperlink w:anchor="ref_bischl_2021">
        <w:r>
          <w:rPr>
            <w:rFonts w:cs="Times New Roman"/>
            <w:color w:val="0563C1"/>
            <w:lang w:val="en-US"/>
          </w:rPr>
          <w:t>Bischl et al., 2021</w:t>
        </w:r>
      </w:hyperlink>
      <w:r>
        <w:rPr>
          <w:lang w:val="en-US"/>
        </w:rPr>
        <w:t>). Each task is therefore evaluated on one fixed OpenML split: uncertainty arising from alternative train/test partitions is not estimated, and the task-level intervals reported below cover training-seed and finite-test-sample variation only. Task identifiers, dataset sizes, test-fold sizes, the inclusion criterion and the reason for every exclusion are listed in Supplementary Section S7.2.</w:t>
      </w:r>
    </w:p>
    <w:p w14:paraId="4BB059AC" w14:textId="77777777" w:rsidR="00FA1C3E" w:rsidRPr="00322B42" w:rsidRDefault="00DF00D8" w:rsidP="00B632D2">
      <w:pPr>
        <w:spacing w:line="240" w:lineRule="auto"/>
        <w:jc w:val="both"/>
        <w:rPr>
          <w:lang w:val="en-US"/>
        </w:rPr>
      </w:pPr>
      <w:r>
        <w:rPr>
          <w:lang w:val="en-US"/>
        </w:rPr>
        <w:t>We used a compact FT-Transformer (</w:t>
      </w:r>
      <w:hyperlink w:anchor="ref_gorishniy_2021">
        <w:r>
          <w:rPr>
            <w:rFonts w:cs="Times New Roman"/>
            <w:color w:val="0563C1"/>
            <w:lang w:val="en-US"/>
          </w:rPr>
          <w:t>Gorishniy et al., 2021</w:t>
        </w:r>
      </w:hyperlink>
      <w:r>
        <w:rPr>
          <w:lang w:val="en-US"/>
        </w:rPr>
        <w:t>). The intervention removes the per-feature bias b_j from the tokenizer T_j(x_j)=b_j+f_j(x_j), leaving the value-dependent transformation f_j and the Transformer encoder unchanged. Five paired seeds (42, 7, 13, 99 and 2025) and two configurations yield 170 fits. Models use class-weighted cross-entropy and early stopping on validation balanced accuracy. Balanced error in percentage points is primary; per-example cross-entropy is secondary because it responds continuously to probability changes that do not alter the predicted class. The intervention is not parameter-matched: deleting b_j simultaneously removes a feature-specific identity cue, one free parameter per feature, and a feature-specific calibration offset. Section 6.2.6 states the consequence for interpretation.</w:t>
      </w:r>
    </w:p>
    <w:p w14:paraId="476D061B" w14:textId="77777777" w:rsidR="00FA1C3E" w:rsidRPr="00322B42" w:rsidRDefault="00DF00D8" w:rsidP="00B632D2">
      <w:pPr>
        <w:spacing w:line="240" w:lineRule="auto"/>
        <w:jc w:val="both"/>
        <w:rPr>
          <w:lang w:val="en-US"/>
        </w:rPr>
      </w:pPr>
      <w:r>
        <w:rPr>
          <w:lang w:val="en-US"/>
        </w:rPr>
        <w:lastRenderedPageBreak/>
        <w:t>For each task, training-seed and finite-test-sample components are estimated from paired per-example effects. OpenML-CC18 excludes time series, so test examples are treated as exchangeable and an ordinary paired bootstrap is used. Per-task effect intervals use t₄. Task effects are pooled by REML with modified Hartung–Knapp inference. Restrictions to n_test≥150 and n_test≥250 assess the smaller-than-anticipated official test folds.</w:t>
      </w:r>
    </w:p>
    <w:p w14:paraId="3C9025DB" w14:textId="77777777" w:rsidR="000E7118" w:rsidRPr="00F22774" w:rsidRDefault="000E7118" w:rsidP="00B632D2">
      <w:pPr>
        <w:pStyle w:val="1"/>
        <w:numPr>
          <w:ilvl w:val="0"/>
          <w:numId w:val="1"/>
        </w:numPr>
        <w:spacing w:before="400" w:after="200"/>
        <w:jc w:val="both"/>
        <w:rPr>
          <w:lang w:val="en-US"/>
        </w:rPr>
      </w:pPr>
      <w:r>
        <w:rPr>
          <w:lang w:val="en-US"/>
        </w:rPr>
        <w:t>Results and discussion</w:t>
      </w:r>
    </w:p>
    <w:p w14:paraId="0109198E" w14:textId="77777777" w:rsidR="000E7118" w:rsidRPr="00F22774" w:rsidRDefault="000E7118" w:rsidP="00B632D2">
      <w:pPr>
        <w:pStyle w:val="2"/>
        <w:numPr>
          <w:ilvl w:val="1"/>
          <w:numId w:val="1"/>
        </w:numPr>
        <w:spacing w:line="240" w:lineRule="auto"/>
        <w:rPr>
          <w:lang w:val="en-US"/>
        </w:rPr>
      </w:pPr>
      <w:r>
        <w:rPr>
          <w:rFonts w:ascii="Times New Roman" w:eastAsia="Times New Roman" w:hAnsi="Times New Roman"/>
          <w:lang w:val="en-US"/>
        </w:rPr>
        <w:t xml:space="preserve"> Result 1: Adaptive fusion masks the component state</w:t>
      </w:r>
    </w:p>
    <w:p w14:paraId="55260BA4" w14:textId="77777777" w:rsidR="000E7118" w:rsidRPr="00F22774" w:rsidRDefault="000E7118" w:rsidP="00B632D2">
      <w:pPr>
        <w:spacing w:line="240" w:lineRule="auto"/>
        <w:jc w:val="both"/>
        <w:rPr>
          <w:lang w:val="en-US"/>
        </w:rPr>
      </w:pPr>
      <w:r>
        <w:rPr>
          <w:lang w:val="en-US"/>
        </w:rPr>
        <w:t>The studied component acts inside the decomposition branch and reaches the reported forecast only through a learned gate. We therefore compare branch and fused outputs under the original auxiliary objective and a dimensionally coherent correction; full diagnostics are in Supplementary Section S5.</w:t>
      </w:r>
    </w:p>
    <w:p w14:paraId="2F996F1E" w14:textId="77777777" w:rsidR="000E7118" w:rsidRPr="00F22774" w:rsidRDefault="000E7118" w:rsidP="00B632D2">
      <w:pPr>
        <w:pStyle w:val="3"/>
        <w:spacing w:line="240" w:lineRule="auto"/>
        <w:ind w:firstLine="426"/>
        <w:rPr>
          <w:lang w:val="en-US"/>
        </w:rPr>
      </w:pPr>
      <w:r>
        <w:rPr>
          <w:rFonts w:ascii="Times New Roman" w:eastAsia="Times New Roman" w:hAnsi="Times New Roman"/>
          <w:lang w:val="en-US"/>
        </w:rPr>
        <w:t xml:space="preserve"> 5.1.1. The internal state of the model</w:t>
      </w:r>
    </w:p>
    <w:p w14:paraId="2C489D5A" w14:textId="77777777" w:rsidR="00FA1C3E" w:rsidRPr="00322B42" w:rsidRDefault="00DF00D8" w:rsidP="00B632D2">
      <w:pPr>
        <w:spacing w:line="240" w:lineRule="auto"/>
        <w:jc w:val="both"/>
        <w:rPr>
          <w:lang w:val="en-US"/>
        </w:rPr>
      </w:pPr>
      <w:r>
        <w:rPr>
          <w:lang w:val="en-US"/>
        </w:rPr>
        <w:t>Branch-level diagnostics show that under the original objective neither path is usually a viable forecast: the decomposition branch is compressed and the direct branch is systematically over-dispersed and upward biased, while their gated combination remains accurate. Correlations show that both paths retain signal shape, so the gate primarily recalibrates scale and level. Full baselines and per-branch statistics appear in Supplementary Section S5.</w:t>
      </w:r>
    </w:p>
    <w:p w14:paraId="78C95C29"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5.1.2. The defect and its compensation</w:t>
      </w:r>
    </w:p>
    <w:p w14:paraId="5FE18242" w14:textId="77777777" w:rsidR="00FA1C3E" w:rsidRPr="00322B42" w:rsidRDefault="00DF00D8" w:rsidP="00B632D2">
      <w:pPr>
        <w:spacing w:line="240" w:lineRule="auto"/>
        <w:jc w:val="both"/>
        <w:rPr>
          <w:lang w:val="en-US"/>
        </w:rPr>
      </w:pPr>
      <w:r>
        <w:rPr>
          <w:lang w:val="en-US"/>
        </w:rPr>
        <w:t>The failure is a dimensional inconsistency: an objective trained toward a sum is evaluated through a nearly uniform convex aggregation, shrinking the decomposition branch by approximately the number of modes. Sum aggregation or the corresponding scale correction repairs the branch, while the direct branch simultaneously loses its compensatory bias (Supplementary Section S5).</w:t>
      </w:r>
    </w:p>
    <w:p w14:paraId="694F176F" w14:textId="77777777" w:rsidR="000E7118" w:rsidRPr="00F22774" w:rsidRDefault="00B611D3" w:rsidP="00B632D2">
      <w:pPr>
        <w:pStyle w:val="3"/>
        <w:spacing w:line="240" w:lineRule="auto"/>
        <w:ind w:firstLine="426"/>
        <w:rPr>
          <w:lang w:val="en-US"/>
        </w:rPr>
      </w:pPr>
      <w:r>
        <w:rPr>
          <w:rFonts w:ascii="Times New Roman" w:eastAsia="Times New Roman" w:hAnsi="Times New Roman"/>
          <w:lang w:val="en-US"/>
        </w:rPr>
        <w:t>5.1.3. The masking results</w:t>
      </w:r>
    </w:p>
    <w:p w14:paraId="1A42E806" w14:textId="77777777" w:rsidR="00FA1C3E" w:rsidRPr="00322B42" w:rsidRDefault="00DF00D8" w:rsidP="00B632D2">
      <w:pPr>
        <w:spacing w:line="240" w:lineRule="auto"/>
        <w:jc w:val="both"/>
        <w:rPr>
          <w:lang w:val="en-US"/>
        </w:rPr>
      </w:pPr>
      <w:r>
        <w:rPr>
          <w:lang w:val="en-US"/>
        </w:rPr>
        <w:t>Adaptive fusion largely conceals branch failure: correction reduces the number of decomposition branches worse than a constant predictor from 11/17 to 1/17, yet the fused error changes only slightly and favors the uncorrected configuration (median error ratio 0.726 versus 0.767; Wilcoxon p=0.017). Thus end-task accuracy alone does not reveal whether the component performs its intended function (Supplementary Section S5).</w:t>
      </w:r>
    </w:p>
    <w:p w14:paraId="13CBFAD6" w14:textId="77777777" w:rsidR="00FA1C3E" w:rsidRDefault="00DF00D8" w:rsidP="00B632D2">
      <w:pPr>
        <w:spacing w:line="240" w:lineRule="auto"/>
        <w:jc w:val="center"/>
      </w:pPr>
      <w:r>
        <w:rPr>
          <w:noProof/>
        </w:rPr>
        <w:drawing>
          <wp:inline distT="0" distB="0" distL="0" distR="0" wp14:anchorId="25362832" wp14:editId="29B0C5EE">
            <wp:extent cx="5669280" cy="354280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669280" cy="3542804"/>
                    </a:xfrm>
                    <a:prstGeom prst="rect">
                      <a:avLst/>
                    </a:prstGeom>
                  </pic:spPr>
                </pic:pic>
              </a:graphicData>
            </a:graphic>
          </wp:inline>
        </w:drawing>
      </w:r>
    </w:p>
    <w:p w14:paraId="13629041" w14:textId="77777777" w:rsidR="00FA1C3E" w:rsidRPr="00322B42" w:rsidRDefault="00DF00D8" w:rsidP="00B632D2">
      <w:pPr>
        <w:spacing w:line="240" w:lineRule="auto"/>
        <w:jc w:val="both"/>
        <w:rPr>
          <w:lang w:val="en-US"/>
        </w:rPr>
      </w:pPr>
      <w:r>
        <w:rPr>
          <w:b/>
          <w:lang w:val="en-US"/>
        </w:rPr>
        <w:lastRenderedPageBreak/>
        <w:t>Fig. 2</w:t>
      </w:r>
      <w:r>
        <w:rPr>
          <w:lang w:val="en-US"/>
        </w:rPr>
        <w:t xml:space="preserve"> Branch-versus-fused diagnostic across 17 households. Points are paired household error ratios for the original and corrected auxiliary objectives; values above 1 are worse than the constant-mean predictor. Correction repairs the decomposition branch (11/17 worse than constant to 1/17), whereas the fused output changes little. The plot reports the deployed-output masking that motivates direct component observation</w:t>
      </w:r>
    </w:p>
    <w:p w14:paraId="4744BD0B" w14:textId="77777777" w:rsidR="000E7118"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2: variance decomposition of the ablation effect</w:t>
      </w:r>
    </w:p>
    <w:p w14:paraId="3315280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5.2.1. Motivation and model</w:t>
      </w:r>
    </w:p>
    <w:p w14:paraId="4DACCCD6" w14:textId="77777777" w:rsidR="0033557E" w:rsidRPr="00F22774" w:rsidRDefault="0033557E" w:rsidP="00B632D2">
      <w:pPr>
        <w:spacing w:line="240" w:lineRule="auto"/>
        <w:jc w:val="both"/>
        <w:rPr>
          <w:lang w:val="en-US"/>
        </w:rPr>
      </w:pPr>
      <w:r>
        <w:rPr>
          <w:rFonts w:cs="Times New Roman"/>
          <w:lang w:val="en-US"/>
        </w:rPr>
        <w:t>Architectural ablations in deep forecasting are normally evaluated by training each configuration once, or a few times, and quantifying uncertainty by resampling test observations. This treats a stochastic training procedure as if it were deterministic. The comparison of interest, however, is between two independently trained models, so the estimate inherits the initialization variance of both, and that component is invisible to any resampling scheme applied to the test set alone.</w:t>
      </w:r>
    </w:p>
    <w:p w14:paraId="793B0E19" w14:textId="77777777" w:rsidR="0033557E" w:rsidRDefault="0033557E" w:rsidP="00B632D2">
      <w:pPr>
        <w:spacing w:line="240" w:lineRule="auto"/>
        <w:jc w:val="both"/>
        <w:rPr>
          <w:lang w:val="en-US"/>
        </w:rPr>
      </w:pPr>
      <w:r>
        <w:rPr>
          <w:lang w:val="en-US"/>
        </w:rPr>
        <w:t>We quantify the sources in a crossed design. For household h, d(h,s,w) is the per-window paired ablation effect: absolute error without the component minus absolute error with it, for training seed s and common test window w. Positive values indicate that the component helps. We model</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2D01EB06" w14:textId="77777777" w:rsidTr="00313D2A">
        <w:tc>
          <w:tcPr>
            <w:tcW w:w="8784" w:type="dxa"/>
          </w:tcPr>
          <w:p w14:paraId="6998C58C" w14:textId="77777777" w:rsidR="00313D2A" w:rsidRDefault="00313D2A" w:rsidP="00B632D2">
            <w:pPr>
              <w:jc w:val="center"/>
              <w:rPr>
                <w:rFonts w:cs="Times New Roman"/>
                <w:lang w:val="en-US"/>
              </w:rPr>
            </w:pPr>
            <w:r>
              <w:rPr>
                <w:lang w:val="en-US"/>
              </w:rPr>
              <w:t xml:space="preserve">d(h,s,w) = </w:t>
            </w:r>
            <w:r>
              <w:t>μ</w:t>
            </w:r>
            <w:r>
              <w:rPr>
                <w:lang w:val="en-US"/>
              </w:rPr>
              <w:t>(h) + a(h,s) + b(h,w) + c(h,s,w)</w:t>
            </w:r>
          </w:p>
        </w:tc>
        <w:tc>
          <w:tcPr>
            <w:tcW w:w="561" w:type="dxa"/>
          </w:tcPr>
          <w:p w14:paraId="24DF7E6D" w14:textId="77777777" w:rsidR="00313D2A" w:rsidRDefault="00313D2A" w:rsidP="00B632D2">
            <w:pPr>
              <w:jc w:val="right"/>
              <w:rPr>
                <w:rFonts w:cs="Times New Roman"/>
                <w:lang w:val="en-US"/>
              </w:rPr>
            </w:pPr>
            <w:r>
              <w:rPr>
                <w:rFonts w:cs="Times New Roman"/>
                <w:lang w:val="en-US"/>
              </w:rPr>
              <w:t>(2)</w:t>
            </w:r>
          </w:p>
        </w:tc>
      </w:tr>
    </w:tbl>
    <w:p w14:paraId="3DA20D56" w14:textId="77777777" w:rsidR="0033557E" w:rsidRDefault="0033557E" w:rsidP="00B632D2">
      <w:pPr>
        <w:spacing w:before="160" w:line="240" w:lineRule="auto"/>
        <w:jc w:val="both"/>
        <w:rPr>
          <w:lang w:val="en-US"/>
        </w:rPr>
      </w:pPr>
      <w:r>
        <w:rPr>
          <w:lang w:val="en-US"/>
        </w:rPr>
        <w:t xml:space="preserve">where a is the training-seed effect, b is the common-window effect shared by all seeds, and c is the seed × window interaction. In the balanced array, </w:t>
      </w:r>
      <w:r>
        <w:t>σ</w:t>
      </w:r>
      <w:r>
        <w:rPr>
          <w:lang w:val="en-US"/>
        </w:rPr>
        <w:t xml:space="preserve">²seed=(MSseed−MSinteraction)/W, </w:t>
      </w:r>
      <w:r>
        <w:t>σ</w:t>
      </w:r>
      <w:r>
        <w:rPr>
          <w:lang w:val="en-US"/>
        </w:rPr>
        <w:t xml:space="preserve">²window=(MSwindow−MSinteraction)/S and </w:t>
      </w:r>
      <w:r>
        <w:t>σ</w:t>
      </w:r>
      <w:r>
        <w:rPr>
          <w:lang w:val="en-US"/>
        </w:rPr>
        <w:t>²interaction=MSinteraction, truncated at zero only for reporting non-negative components. The variance of the grand mean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313D2A" w14:paraId="7558CED8" w14:textId="77777777" w:rsidTr="0024068F">
        <w:tc>
          <w:tcPr>
            <w:tcW w:w="8784" w:type="dxa"/>
          </w:tcPr>
          <w:p w14:paraId="0CE67303" w14:textId="77777777" w:rsidR="00313D2A" w:rsidRDefault="00313D2A" w:rsidP="00B632D2">
            <w:pPr>
              <w:jc w:val="center"/>
              <w:rPr>
                <w:rFonts w:cs="Times New Roman"/>
                <w:lang w:val="en-US"/>
              </w:rPr>
            </w:pPr>
            <w:r>
              <w:rPr>
                <w:lang w:val="en-US"/>
              </w:rPr>
              <w:t xml:space="preserve">Var[d̄(h,·,·)] = </w:t>
            </w:r>
            <w:r>
              <w:t>σ</w:t>
            </w:r>
            <w:r>
              <w:rPr>
                <w:lang w:val="en-US"/>
              </w:rPr>
              <w:t xml:space="preserve">²seed/S + </w:t>
            </w:r>
            <w:r>
              <w:t>σ</w:t>
            </w:r>
            <w:r>
              <w:rPr>
                <w:lang w:val="en-US"/>
              </w:rPr>
              <w:t xml:space="preserve">²window/W + </w:t>
            </w:r>
            <w:r>
              <w:t>σ</w:t>
            </w:r>
            <w:r>
              <w:rPr>
                <w:lang w:val="en-US"/>
              </w:rPr>
              <w:t>²interaction/(SW)</w:t>
            </w:r>
          </w:p>
        </w:tc>
        <w:tc>
          <w:tcPr>
            <w:tcW w:w="561" w:type="dxa"/>
          </w:tcPr>
          <w:p w14:paraId="7FD6FA99" w14:textId="77777777" w:rsidR="00313D2A" w:rsidRDefault="00313D2A" w:rsidP="00B632D2">
            <w:pPr>
              <w:jc w:val="right"/>
              <w:rPr>
                <w:rFonts w:cs="Times New Roman"/>
                <w:lang w:val="en-US"/>
              </w:rPr>
            </w:pPr>
            <w:r>
              <w:rPr>
                <w:rFonts w:cs="Times New Roman"/>
                <w:lang w:val="en-US"/>
              </w:rPr>
              <w:t>(3)</w:t>
            </w:r>
          </w:p>
        </w:tc>
      </w:tr>
    </w:tbl>
    <w:p w14:paraId="6B0419B2" w14:textId="77777777" w:rsidR="00313D2A" w:rsidRDefault="00313D2A" w:rsidP="00B632D2">
      <w:pPr>
        <w:spacing w:before="160" w:line="240" w:lineRule="auto"/>
        <w:jc w:val="both"/>
        <w:rPr>
          <w:rFonts w:cs="Times New Roman"/>
          <w:lang w:val="en-US"/>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042108" w14:paraId="5AD86060" w14:textId="77777777" w:rsidTr="0024068F">
        <w:tc>
          <w:tcPr>
            <w:tcW w:w="8784" w:type="dxa"/>
          </w:tcPr>
          <w:p w14:paraId="175AAACB" w14:textId="77777777" w:rsidR="00042108" w:rsidRPr="00322B42" w:rsidRDefault="00042108" w:rsidP="00B632D2">
            <w:pPr>
              <w:tabs>
                <w:tab w:val="center" w:pos="4677"/>
                <w:tab w:val="right" w:pos="9355"/>
              </w:tabs>
              <w:spacing w:before="160"/>
              <w:jc w:val="center"/>
              <w:rPr>
                <w:lang w:val="en-US"/>
              </w:rPr>
            </w:pPr>
            <w:r>
              <w:rPr>
                <w:lang w:val="en-US"/>
              </w:rPr>
              <w:t>shareseed = (</w:t>
            </w:r>
            <w:r>
              <w:t>σ</w:t>
            </w:r>
            <w:r>
              <w:rPr>
                <w:lang w:val="en-US"/>
              </w:rPr>
              <w:t>²seed/S) / [(</w:t>
            </w:r>
            <w:r>
              <w:t>σ</w:t>
            </w:r>
            <w:r>
              <w:rPr>
                <w:lang w:val="en-US"/>
              </w:rPr>
              <w:t>²seed/S) + Veval]</w:t>
            </w:r>
          </w:p>
          <w:p w14:paraId="0C56DB3B" w14:textId="77777777" w:rsidR="00042108" w:rsidRDefault="00042108" w:rsidP="00B632D2">
            <w:pPr>
              <w:jc w:val="center"/>
              <w:rPr>
                <w:rFonts w:cs="Times New Roman"/>
                <w:lang w:val="en-US"/>
              </w:rPr>
            </w:pPr>
          </w:p>
        </w:tc>
        <w:tc>
          <w:tcPr>
            <w:tcW w:w="561" w:type="dxa"/>
          </w:tcPr>
          <w:p w14:paraId="7B2523B9" w14:textId="77777777" w:rsidR="00042108" w:rsidRDefault="00042108" w:rsidP="00B632D2">
            <w:pPr>
              <w:jc w:val="right"/>
              <w:rPr>
                <w:rFonts w:cs="Times New Roman"/>
                <w:lang w:val="en-US"/>
              </w:rPr>
            </w:pPr>
            <w:r>
              <w:rPr>
                <w:rFonts w:cs="Times New Roman"/>
                <w:lang w:val="en-US"/>
              </w:rPr>
              <w:t>(4)</w:t>
            </w:r>
          </w:p>
        </w:tc>
      </w:tr>
    </w:tbl>
    <w:p w14:paraId="39F61991" w14:textId="77777777" w:rsidR="0033557E" w:rsidRPr="00F22774" w:rsidRDefault="0033557E" w:rsidP="00B632D2">
      <w:pPr>
        <w:spacing w:line="240" w:lineRule="auto"/>
        <w:jc w:val="both"/>
        <w:rPr>
          <w:lang w:val="en-US"/>
        </w:rPr>
      </w:pPr>
      <w:r>
        <w:rPr>
          <w:b/>
          <w:lang w:val="en-US"/>
        </w:rPr>
        <w:t>Primary seed share.</w:t>
      </w:r>
      <w:r>
        <w:rPr>
          <w:lang w:val="en-US"/>
        </w:rPr>
        <w:t xml:space="preserve"> The numerator is </w:t>
      </w:r>
      <w:r>
        <w:t>σ</w:t>
      </w:r>
      <w:r>
        <w:rPr>
          <w:lang w:val="en-US"/>
        </w:rPr>
        <w:t xml:space="preserve">²seed/S. The denominator adds Veval, the moving-block-bootstrap variance of the seed-averaged window mean; every bootstrap replicate jointly resamples identical window indices across all seed rows. Veval estimates the combined contribution </w:t>
      </w:r>
      <w:r>
        <w:t>σ</w:t>
      </w:r>
      <w:r>
        <w:rPr>
          <w:lang w:val="en-US"/>
        </w:rPr>
        <w:t xml:space="preserve">²window/W + </w:t>
      </w:r>
      <w:r>
        <w:t>σ</w:t>
      </w:r>
      <w:r>
        <w:rPr>
          <w:lang w:val="en-US"/>
        </w:rPr>
        <w:t>²interaction/(SW) while preserving serial dependence. The two-way ANOVA components are reported diagnostically, and the F interval is conditional on the balanced model rather than an exact interval for the mapped share.</w:t>
      </w:r>
    </w:p>
    <w:p w14:paraId="313FAF96"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5.2.2. Interval estimation at five seeds</w:t>
      </w:r>
    </w:p>
    <w:p w14:paraId="733FD426" w14:textId="77777777" w:rsidR="00FA1C3E" w:rsidRPr="00322B42" w:rsidRDefault="00DF00D8" w:rsidP="00B632D2">
      <w:pPr>
        <w:spacing w:line="240" w:lineRule="auto"/>
        <w:jc w:val="both"/>
        <w:rPr>
          <w:lang w:val="en-US"/>
        </w:rPr>
      </w:pPr>
      <w:r>
        <w:rPr>
          <w:lang w:val="en-US"/>
        </w:rPr>
        <w:t>Because only five seeds are available, unit-level uncertainty is substantial. We use an F-based model interval for the seed-to-evaluation variance ratio and map it to the share using the block-bootstrap estimate of evaluation variance. The conditional pivot, assumptions, bootstrap failure mode and coverage simulations are provided in Supplementary Sections S2 and S4.</w:t>
      </w:r>
    </w:p>
    <w:p w14:paraId="72BA9AA8" w14:textId="77777777" w:rsidR="001D5050" w:rsidRDefault="00A07E2F">
      <w:pPr>
        <w:spacing w:line="240" w:lineRule="auto"/>
        <w:jc w:val="both"/>
        <w:rPr>
          <w:lang w:val="en-US"/>
        </w:rPr>
      </w:pPr>
      <w:r>
        <w:rPr>
          <w:lang w:val="en-US"/>
        </w:rPr>
        <w:t>Household-level intervals use the same quantile convention as the OpenML analysis of Section 4.7. For household h, the interval for the mean paired effect is</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4"/>
        <w:gridCol w:w="561"/>
      </w:tblGrid>
      <w:tr w:rsidR="001D5050" w14:paraId="5CCC8CD0" w14:textId="77777777">
        <w:tc>
          <w:tcPr>
            <w:tcW w:w="8784" w:type="dxa"/>
          </w:tcPr>
          <w:p w14:paraId="7BCC0BC0" w14:textId="77777777" w:rsidR="001D5050" w:rsidRDefault="00A07E2F">
            <w:pPr>
              <w:spacing w:before="160"/>
              <w:jc w:val="center"/>
              <w:rPr>
                <w:lang w:val="en-US"/>
              </w:rPr>
            </w:pPr>
            <w:r>
              <w:rPr>
                <w:lang w:val="en-US"/>
              </w:rPr>
              <w:t>CI(h) = d̄(h) ± t</w:t>
            </w:r>
            <w:r>
              <w:rPr>
                <w:vertAlign w:val="subscript"/>
                <w:lang w:val="en-US"/>
              </w:rPr>
              <w:t>0.975, S−1</w:t>
            </w:r>
            <w:r>
              <w:rPr>
                <w:lang w:val="en-US"/>
              </w:rPr>
              <w:t xml:space="preserve"> · SE(h),   S = 5</w:t>
            </w:r>
          </w:p>
          <w:p w14:paraId="5DEBB42B" w14:textId="77777777" w:rsidR="001D5050" w:rsidRDefault="001D5050">
            <w:pPr>
              <w:jc w:val="center"/>
              <w:rPr>
                <w:rFonts w:cs="Times New Roman"/>
                <w:lang w:val="en-US"/>
              </w:rPr>
            </w:pPr>
          </w:p>
        </w:tc>
        <w:tc>
          <w:tcPr>
            <w:tcW w:w="561" w:type="dxa"/>
          </w:tcPr>
          <w:p w14:paraId="366BB35B" w14:textId="77777777" w:rsidR="001D5050" w:rsidRDefault="00A07E2F">
            <w:pPr>
              <w:jc w:val="right"/>
              <w:rPr>
                <w:rFonts w:cs="Times New Roman"/>
                <w:lang w:val="en-US"/>
              </w:rPr>
            </w:pPr>
            <w:r>
              <w:rPr>
                <w:rFonts w:cs="Times New Roman"/>
                <w:lang w:val="en-US"/>
              </w:rPr>
              <w:t>(5)</w:t>
            </w:r>
          </w:p>
        </w:tc>
      </w:tr>
    </w:tbl>
    <w:p w14:paraId="2E42F0D7" w14:textId="77777777" w:rsidR="001D5050" w:rsidRDefault="00A07E2F">
      <w:pPr>
        <w:spacing w:line="240" w:lineRule="auto"/>
        <w:jc w:val="both"/>
        <w:rPr>
          <w:lang w:val="en-US"/>
        </w:rPr>
      </w:pPr>
      <w:r>
        <w:rPr>
          <w:lang w:val="en-US"/>
        </w:rPr>
        <w:t>with SE(h) the square root of the fully propagated variance of Eq. (3) and S the number of seeds, so that the present study uses t₄ throughout. The window-only comparison uses the same quantile, so the reduction from 7/17 to 2/17 households whose interval excludes zero is attributable to the added variance component and not to a change of reference distribution.</w:t>
      </w:r>
    </w:p>
    <w:p w14:paraId="591E237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5.2.3. Training-seed contribution at the regime level</w:t>
      </w:r>
    </w:p>
    <w:p w14:paraId="7442C738" w14:textId="77777777" w:rsidR="00FA1C3E" w:rsidRPr="00322B42" w:rsidRDefault="00DF00D8" w:rsidP="00B632D2">
      <w:pPr>
        <w:spacing w:line="240" w:lineRule="auto"/>
        <w:jc w:val="both"/>
        <w:rPr>
          <w:lang w:val="en-US"/>
        </w:rPr>
      </w:pPr>
      <w:r>
        <w:rPr>
          <w:lang w:val="en-US"/>
        </w:rPr>
        <w:t>For the coherent configuration at the fused output, the median estimated training-seed contribution is 83% and the median seed-to-evaluation variance ratio is about 24. F-based model intervals support a majority contribution at the regime level, but remain wide for several individual households: a minority contribution is excluded for 10/17, while no household excludes a majority contribution. We therefore do not claim unit-by-unit dominance (Supplementary Section S2).</w:t>
      </w:r>
    </w:p>
    <w:p w14:paraId="40E1A462" w14:textId="77777777" w:rsidR="00FA1C3E" w:rsidRDefault="00DF00D8" w:rsidP="00B632D2">
      <w:pPr>
        <w:spacing w:line="240" w:lineRule="auto"/>
        <w:jc w:val="center"/>
      </w:pPr>
      <w:r>
        <w:rPr>
          <w:noProof/>
        </w:rPr>
        <w:lastRenderedPageBreak/>
        <w:drawing>
          <wp:inline distT="0" distB="0" distL="0" distR="0" wp14:anchorId="7DA60509" wp14:editId="651C38B5">
            <wp:extent cx="5577840" cy="39723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3972366"/>
                    </a:xfrm>
                    <a:prstGeom prst="rect">
                      <a:avLst/>
                    </a:prstGeom>
                  </pic:spPr>
                </pic:pic>
              </a:graphicData>
            </a:graphic>
          </wp:inline>
        </w:drawing>
      </w:r>
    </w:p>
    <w:p w14:paraId="2B6C12F4" w14:textId="77777777" w:rsidR="00FA1C3E" w:rsidRPr="00322B42" w:rsidRDefault="00DF00D8" w:rsidP="00B632D2">
      <w:pPr>
        <w:spacing w:line="240" w:lineRule="auto"/>
        <w:jc w:val="both"/>
        <w:rPr>
          <w:lang w:val="en-US"/>
        </w:rPr>
      </w:pPr>
      <w:r>
        <w:rPr>
          <w:b/>
          <w:lang w:val="en-US"/>
        </w:rPr>
        <w:t>Fig. 3</w:t>
      </w:r>
      <w:r>
        <w:rPr>
          <w:lang w:val="en-US"/>
        </w:rPr>
        <w:t xml:space="preserve"> Crossed seed × window variance decomposition for the primary household contrast. Each bar is one household; dark segments are the estimated training-seed contribution and light segments are finite-evaluation uncertainty. Orange intervals are F-based model intervals for the seed-to-evaluation variance ratio mapped to the estimated share. The dashed line marks 50%; intervals are wide at five seeds, so the aggregate result does not imply dominance for every household</w:t>
      </w:r>
    </w:p>
    <w:p w14:paraId="6C1FDBD3"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5.2.4. Consequences for inference</w:t>
      </w:r>
    </w:p>
    <w:p w14:paraId="1D412EE8" w14:textId="77777777" w:rsidR="00FA1C3E" w:rsidRPr="00322B42" w:rsidRDefault="00AB3BFB" w:rsidP="00B632D2">
      <w:pPr>
        <w:spacing w:line="240" w:lineRule="auto"/>
        <w:jc w:val="both"/>
        <w:rPr>
          <w:lang w:val="en-US"/>
        </w:rPr>
      </w:pPr>
      <w:r>
        <w:rPr>
          <w:lang w:val="en-US"/>
        </w:rPr>
        <w:t>Propagating training variance changes substantive conclusions: per‑household intervals excluding zero fall from 7/17 under window‑only uncertainty to 2/17, I² falls from 87% to 30%, and the estimated number of households required for 80% power at a 1%‑of‑error effect rises from 8 to 11 households (10%‑trimmed, primary), and to 41 under the untrimmed conservative estimate. Full calculations are in Supplementary Section S2.</w:t>
      </w:r>
    </w:p>
    <w:p w14:paraId="68B13A7E"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5.2.5. Reproducibility as an architectural property</w:t>
      </w:r>
    </w:p>
    <w:p w14:paraId="721DE729" w14:textId="77777777" w:rsidR="0033557E" w:rsidRPr="00F22774" w:rsidRDefault="00B0013C" w:rsidP="00B632D2">
      <w:pPr>
        <w:spacing w:line="240" w:lineRule="auto"/>
        <w:jc w:val="both"/>
        <w:rPr>
          <w:lang w:val="en-US"/>
        </w:rPr>
      </w:pPr>
      <w:r>
        <w:rPr>
          <w:lang w:val="en-US"/>
        </w:rPr>
        <w:t>At window level, the median seed intraclass correlation is 0.682 in the misaligned configuration and 0.155 in the coherent one. Misalignment therefore degrades run-to-run reproducibility even when the fused forecast conceals the branch failure (Supplementary Section S5).</w:t>
      </w:r>
    </w:p>
    <w:p w14:paraId="003A059C"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5.2.6. Does non-negligible training uncertainty extend to other architectures and components?</w:t>
      </w:r>
    </w:p>
    <w:p w14:paraId="4CF5F2EF" w14:textId="77777777" w:rsidR="00FA1C3E" w:rsidRPr="00322B42" w:rsidRDefault="00DF00D8" w:rsidP="00B632D2">
      <w:pPr>
        <w:spacing w:line="240" w:lineRule="auto"/>
        <w:jc w:val="both"/>
        <w:rPr>
          <w:lang w:val="en-US"/>
        </w:rPr>
      </w:pPr>
      <w:r>
        <w:rPr>
          <w:lang w:val="en-US"/>
        </w:rPr>
        <w:t>Five-seed checks give median seed shares of 34% for PatchTST and 69% for BiLSTM, with median seed-to-evaluation ratios of 3 and 11. Training uncertainty was non-negligible in these external checks, but it was not consistently the majority component; the estimated balance depended on architecture and ablated component (Supplementary Section S3).</w:t>
      </w:r>
    </w:p>
    <w:p w14:paraId="12759CAF" w14:textId="77777777" w:rsidR="0033557E" w:rsidRPr="00F22774" w:rsidRDefault="00B611D3" w:rsidP="00B632D2">
      <w:pPr>
        <w:pStyle w:val="3"/>
        <w:spacing w:line="240" w:lineRule="auto"/>
        <w:ind w:firstLine="426"/>
        <w:rPr>
          <w:lang w:val="en-US"/>
        </w:rPr>
      </w:pPr>
      <w:r>
        <w:rPr>
          <w:rFonts w:ascii="Times New Roman" w:eastAsia="Times New Roman" w:hAnsi="Times New Roman"/>
          <w:lang w:val="en-US"/>
        </w:rPr>
        <w:t>5.2.7. Is the fusion gate responsible?</w:t>
      </w:r>
    </w:p>
    <w:p w14:paraId="4508AFFA" w14:textId="77777777" w:rsidR="00FA1C3E" w:rsidRPr="00322B42" w:rsidRDefault="00DF00D8" w:rsidP="00B632D2">
      <w:pPr>
        <w:spacing w:line="240" w:lineRule="auto"/>
        <w:jc w:val="both"/>
        <w:rPr>
          <w:lang w:val="en-US"/>
        </w:rPr>
      </w:pPr>
      <w:r>
        <w:rPr>
          <w:lang w:val="en-US"/>
        </w:rPr>
        <w:t>Removing the fusion gate raises both training-seed and evaluation variance but leaves their ratio statistically unchanged (median 24.1 with the gate versus 12.8 without; Wilcoxon p=0.52). The gate suppresses absolute output variability rather than explaining the observed variance ordering (Supplementary Section S3).</w:t>
      </w:r>
    </w:p>
    <w:p w14:paraId="7953F1D1" w14:textId="77777777" w:rsidR="0033557E"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lastRenderedPageBreak/>
        <w:t xml:space="preserve"> Result 3: what the identity mechanism does, and what it is worth</w:t>
      </w:r>
    </w:p>
    <w:p w14:paraId="2470E3A0"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5.3.1. Intervention rather than retraining</w:t>
      </w:r>
    </w:p>
    <w:p w14:paraId="19D93EFA" w14:textId="77777777" w:rsidR="00FA1C3E" w:rsidRPr="00322B42" w:rsidRDefault="00DF00D8" w:rsidP="00B632D2">
      <w:pPr>
        <w:spacing w:line="240" w:lineRule="auto"/>
        <w:jc w:val="both"/>
        <w:rPr>
          <w:lang w:val="en-US"/>
        </w:rPr>
      </w:pPr>
      <w:r>
        <w:rPr>
          <w:lang w:val="en-US"/>
        </w:rPr>
        <w:t>Within-model interventions isolate what the trained head does with identity information while canceling between-training noise. At equal seed counts, intervention estimates are markedly more stable than retraining ablations, making them the preferred instrument when the scientific question permits a fixed-weight contrast (Supplementary Section S5).</w:t>
      </w:r>
    </w:p>
    <w:p w14:paraId="3E51CC18"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5.3.2. Conditions and controls</w:t>
      </w:r>
    </w:p>
    <w:p w14:paraId="630F954D" w14:textId="77777777" w:rsidR="00FA1C3E" w:rsidRPr="00322B42" w:rsidRDefault="00DF00D8" w:rsidP="00B632D2">
      <w:pPr>
        <w:spacing w:line="240" w:lineRule="auto"/>
        <w:jc w:val="both"/>
        <w:rPr>
          <w:lang w:val="en-US"/>
        </w:rPr>
      </w:pPr>
      <w:r>
        <w:rPr>
          <w:lang w:val="en-US"/>
        </w:rPr>
        <w:t>The intervention set independently destroys correspondence, identity information, vector norm or aggregation alignment. A joint relabeling control changes MAE only at numerical precision, validating the intervention machinery; complete definitions and controls are in Supplementary Section S5.</w:t>
      </w:r>
    </w:p>
    <w:p w14:paraId="67DF89FB"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5.3.3. The mechanism does what it was designed to do</w:t>
      </w:r>
    </w:p>
    <w:p w14:paraId="05BD4851" w14:textId="77777777" w:rsidR="00FA1C3E" w:rsidRPr="00322B42" w:rsidRDefault="00DF00D8" w:rsidP="00B632D2">
      <w:pPr>
        <w:spacing w:line="240" w:lineRule="auto"/>
        <w:jc w:val="both"/>
        <w:rPr>
          <w:lang w:val="en-US"/>
        </w:rPr>
      </w:pPr>
      <w:r>
        <w:rPr>
          <w:lang w:val="en-US"/>
        </w:rPr>
        <w:t>Mode identity is strongly decodable from the learned representations, and disrupting identity-to-mode correspondence reduces that decodability while the joint relabeling control is null at numerical precision. The mechanism therefore changes the internal representation in the intended direction (Supplementary Section S5).</w:t>
      </w:r>
    </w:p>
    <w:p w14:paraId="498BEEA4"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5.3.4. What the mechanism is worth</w:t>
      </w:r>
    </w:p>
    <w:p w14:paraId="184EF1A8" w14:textId="77777777" w:rsidR="00FA1C3E" w:rsidRPr="00322B42" w:rsidRDefault="00DF00D8" w:rsidP="00B632D2">
      <w:pPr>
        <w:spacing w:line="240" w:lineRule="auto"/>
        <w:jc w:val="both"/>
        <w:rPr>
          <w:lang w:val="en-US"/>
        </w:rPr>
      </w:pPr>
      <w:r>
        <w:rPr>
          <w:lang w:val="en-US"/>
        </w:rPr>
        <w:t>Despite the internal effect, median change is below 0.7% of household error; 5 of 17 households exceed this under zeroing, still within the prespecified ±2% practical‑equivalence band. The architecture represents identity, but the evaluated output makes little practical use of it (Supplementary Section S5).</w:t>
      </w:r>
    </w:p>
    <w:p w14:paraId="279978F9" w14:textId="77777777" w:rsidR="001A5677" w:rsidRPr="00F22774" w:rsidRDefault="00B611D3" w:rsidP="00B632D2">
      <w:pPr>
        <w:pStyle w:val="3"/>
        <w:spacing w:line="240" w:lineRule="auto"/>
        <w:ind w:firstLine="426"/>
        <w:rPr>
          <w:lang w:val="en-US"/>
        </w:rPr>
      </w:pPr>
      <w:r>
        <w:rPr>
          <w:rFonts w:ascii="Times New Roman" w:eastAsia="Times New Roman" w:hAnsi="Times New Roman"/>
          <w:lang w:val="en-US"/>
        </w:rPr>
        <w:t>5.3.5. An inversion of the representational account</w:t>
      </w:r>
    </w:p>
    <w:p w14:paraId="45C2B21D" w14:textId="77777777" w:rsidR="00FA1C3E" w:rsidRPr="00322B42" w:rsidRDefault="00DF00D8" w:rsidP="00B632D2">
      <w:pPr>
        <w:spacing w:line="240" w:lineRule="auto"/>
        <w:jc w:val="both"/>
        <w:rPr>
          <w:lang w:val="en-US"/>
        </w:rPr>
      </w:pPr>
      <w:r>
        <w:rPr>
          <w:lang w:val="en-US"/>
        </w:rPr>
        <w:t>Identity is encoded most sharply when the decomposition branch is least useful, and less sharply after the branch is repaired. This inverse association, together with the mechanism-absent control, shows why representational strength cannot by itself establish either causal attribution or end-task use (Supplementary Section S5).</w:t>
      </w:r>
    </w:p>
    <w:p w14:paraId="5937CB37" w14:textId="77777777" w:rsidR="001A5677" w:rsidRPr="00F22774" w:rsidRDefault="00CD2C2E" w:rsidP="00B632D2">
      <w:pPr>
        <w:pStyle w:val="2"/>
        <w:numPr>
          <w:ilvl w:val="1"/>
          <w:numId w:val="1"/>
        </w:numPr>
        <w:spacing w:line="240" w:lineRule="auto"/>
        <w:rPr>
          <w:lang w:val="en-US"/>
        </w:rPr>
      </w:pPr>
      <w:r>
        <w:rPr>
          <w:rFonts w:ascii="Times New Roman" w:eastAsia="Times New Roman" w:hAnsi="Times New Roman"/>
          <w:lang w:val="en-US"/>
        </w:rPr>
        <w:t xml:space="preserve"> Result 4: the pooled effect and the fate of the original finding</w:t>
      </w:r>
    </w:p>
    <w:p w14:paraId="4C7BDE29" w14:textId="77777777" w:rsidR="00147E50" w:rsidRPr="00F22774" w:rsidRDefault="00B611D3" w:rsidP="00B632D2">
      <w:pPr>
        <w:pStyle w:val="3"/>
        <w:spacing w:line="240" w:lineRule="auto"/>
        <w:ind w:firstLine="426"/>
        <w:rPr>
          <w:lang w:val="en-US"/>
        </w:rPr>
      </w:pPr>
      <w:r>
        <w:rPr>
          <w:rFonts w:ascii="Times New Roman" w:eastAsia="Times New Roman" w:hAnsi="Times New Roman"/>
          <w:lang w:val="en-US"/>
        </w:rPr>
        <w:t>5.4.1. Pooling across households</w:t>
      </w:r>
    </w:p>
    <w:p w14:paraId="4706BB49" w14:textId="77777777" w:rsidR="00147E50" w:rsidRPr="00F22774" w:rsidRDefault="00147E50" w:rsidP="00B632D2">
      <w:pPr>
        <w:spacing w:line="240" w:lineRule="auto"/>
        <w:jc w:val="both"/>
        <w:rPr>
          <w:lang w:val="en-US"/>
        </w:rPr>
      </w:pPr>
      <w:r>
        <w:rPr>
          <w:lang w:val="en-US"/>
        </w:rPr>
        <w:t>Each household yields one estimate of the ablation effect and one standard error. Households differ in occupancy, appliance stock, series length and measurement quality, so a fixed-effect summary would understate uncertainty about households in general. We therefore use a random-effects model with between-household variance estimated by REML and modified Hartung–Knapp inference for the pooled mean; a prediction interval describes the expected range for a new household.</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82"/>
        <w:gridCol w:w="473"/>
      </w:tblGrid>
      <w:tr w:rsidR="00220724" w14:paraId="61AFA04E" w14:textId="77777777" w:rsidTr="00647582">
        <w:tc>
          <w:tcPr>
            <w:tcW w:w="9067" w:type="dxa"/>
          </w:tcPr>
          <w:p w14:paraId="684BCB0A" w14:textId="77777777" w:rsidR="00220724" w:rsidRPr="00220724" w:rsidRDefault="00220724" w:rsidP="00B632D2">
            <w:pPr>
              <w:tabs>
                <w:tab w:val="center" w:pos="4677"/>
                <w:tab w:val="right" w:pos="9355"/>
              </w:tabs>
              <w:spacing w:before="80"/>
              <w:jc w:val="center"/>
              <w:rPr>
                <w:rFonts w:cs="Times New Roman"/>
                <w:lang w:val="en-US"/>
              </w:rPr>
            </w:pPr>
            <m:oMathPara>
              <m:oMath>
                <m:r>
                  <m:rPr>
                    <m:sty m:val="p"/>
                  </m:rPr>
                  <w:rPr>
                    <w:rFonts w:ascii="Cambria Math" w:hAnsi="Cambria Math" w:cs="Times New Roman"/>
                    <w:lang w:val="en-US"/>
                  </w:rPr>
                  <m:t>y</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=μ+u</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+e</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   u~N</m:t>
                </m:r>
                <m:d>
                  <m:dPr>
                    <m:ctrlPr>
                      <w:rPr>
                        <w:rFonts w:ascii="Cambria Math" w:hAnsi="Cambria Math" w:cs="Times New Roman"/>
                        <w:i/>
                        <w:lang w:val="en-US"/>
                      </w:rPr>
                    </m:ctrlPr>
                  </m:dPr>
                  <m:e>
                    <m:r>
                      <m:rPr>
                        <m:sty m:val="p"/>
                      </m:rPr>
                      <w:rPr>
                        <w:rFonts w:ascii="Cambria Math" w:hAnsi="Cambria Math" w:cs="Times New Roman"/>
                        <w:lang w:val="en-US"/>
                      </w:rPr>
                      <m:t xml:space="preserve">0, </m:t>
                    </m:r>
                    <m:sSup>
                      <m:sSupPr>
                        <m:ctrlPr>
                          <w:rPr>
                            <w:rFonts w:ascii="Cambria Math" w:hAnsi="Cambria Math" w:cs="Times New Roman"/>
                            <w:i/>
                            <w:lang w:val="en-US"/>
                          </w:rPr>
                        </m:ctrlPr>
                      </m:sSupPr>
                      <m:e>
                        <m:r>
                          <m:rPr>
                            <m:sty m:val="p"/>
                          </m:rPr>
                          <w:rPr>
                            <w:rFonts w:ascii="Cambria Math" w:hAnsi="Cambria Math" w:cs="Times New Roman"/>
                            <w:lang w:val="en-US"/>
                          </w:rPr>
                          <m:t>τ</m:t>
                        </m:r>
                      </m:e>
                      <m:sup>
                        <m:r>
                          <m:rPr>
                            <m:sty m:val="p"/>
                          </m:rPr>
                          <w:rPr>
                            <w:rFonts w:ascii="Cambria Math" w:hAnsi="Cambria Math" w:cs="Times New Roman"/>
                            <w:lang w:val="en-US"/>
                          </w:rPr>
                          <m:t>2</m:t>
                        </m:r>
                      </m:sup>
                    </m:sSup>
                  </m:e>
                </m:d>
                <m:r>
                  <m:rPr>
                    <m:sty m:val="p"/>
                  </m:rPr>
                  <w:rPr>
                    <w:rFonts w:ascii="Cambria Math" w:hAnsi="Cambria Math" w:cs="Times New Roman"/>
                    <w:lang w:val="en-US"/>
                  </w:rPr>
                  <m:t>,   e(h)~N(0,v</m:t>
                </m:r>
                <m:d>
                  <m:dPr>
                    <m:ctrlPr>
                      <w:rPr>
                        <w:rFonts w:ascii="Cambria Math" w:hAnsi="Cambria Math" w:cs="Times New Roman"/>
                        <w:i/>
                        <w:lang w:val="en-US"/>
                      </w:rPr>
                    </m:ctrlPr>
                  </m:dPr>
                  <m:e>
                    <m:r>
                      <m:rPr>
                        <m:sty m:val="p"/>
                      </m:rPr>
                      <w:rPr>
                        <w:rFonts w:ascii="Cambria Math" w:hAnsi="Cambria Math" w:cs="Times New Roman"/>
                        <w:lang w:val="en-US"/>
                      </w:rPr>
                      <m:t>h</m:t>
                    </m:r>
                  </m:e>
                </m:d>
                <m:r>
                  <m:rPr>
                    <m:sty m:val="p"/>
                  </m:rPr>
                  <w:rPr>
                    <w:rFonts w:ascii="Cambria Math" w:hAnsi="Cambria Math" w:cs="Times New Roman"/>
                    <w:lang w:val="en-US"/>
                  </w:rPr>
                  <m:t>)</m:t>
                </m:r>
              </m:oMath>
            </m:oMathPara>
          </w:p>
        </w:tc>
        <w:tc>
          <w:tcPr>
            <w:tcW w:w="278" w:type="dxa"/>
          </w:tcPr>
          <w:p w14:paraId="3EB93193" w14:textId="77777777" w:rsidR="00220724" w:rsidRPr="00220724" w:rsidRDefault="00220724" w:rsidP="00B632D2">
            <w:pPr>
              <w:tabs>
                <w:tab w:val="center" w:pos="4677"/>
                <w:tab w:val="right" w:pos="9355"/>
              </w:tabs>
              <w:spacing w:before="80"/>
              <w:jc w:val="right"/>
              <w:rPr>
                <w:rFonts w:cs="Times New Roman"/>
              </w:rPr>
            </w:pPr>
            <w:r>
              <w:rPr>
                <w:rFonts w:cs="Times New Roman"/>
              </w:rPr>
              <w:t>(6)</w:t>
            </w:r>
          </w:p>
        </w:tc>
      </w:tr>
    </w:tbl>
    <w:p w14:paraId="29A5AA40" w14:textId="77777777" w:rsidR="00147E50" w:rsidRPr="00F22774" w:rsidRDefault="00147E50" w:rsidP="00B632D2">
      <w:pPr>
        <w:spacing w:before="160" w:line="240" w:lineRule="auto"/>
        <w:jc w:val="both"/>
        <w:rPr>
          <w:lang w:val="en-US"/>
        </w:rPr>
      </w:pPr>
      <w:r>
        <w:rPr>
          <w:rFonts w:cs="Times New Roman"/>
          <w:lang w:val="en-US"/>
        </w:rPr>
        <w:t xml:space="preserve">where </w:t>
      </w:r>
      <m:oMath>
        <m:r>
          <m:rPr>
            <m:sty m:val="p"/>
          </m:rPr>
          <w:rPr>
            <w:rFonts w:ascii="Cambria Math" w:hAnsi="Cambria Math" w:cs="Times New Roman"/>
            <w:lang w:val="en-US"/>
          </w:rPr>
          <m:t>v</m:t>
        </m:r>
        <m:d>
          <m:dPr>
            <m:ctrlPr>
              <w:rPr>
                <w:rFonts w:ascii="Cambria Math" w:hAnsi="Cambria Math" w:cs="Times New Roman"/>
                <w:i/>
                <w:lang w:val="en-US"/>
              </w:rPr>
            </m:ctrlPr>
          </m:dPr>
          <m:e>
            <m:r>
              <m:rPr>
                <m:sty m:val="p"/>
              </m:rPr>
              <w:rPr>
                <w:rFonts w:ascii="Cambria Math" w:hAnsi="Cambria Math" w:cs="Times New Roman"/>
                <w:lang w:val="en-US"/>
              </w:rPr>
              <m:t>h</m:t>
            </m:r>
          </m:e>
        </m:d>
      </m:oMath>
      <w:r>
        <w:rPr>
          <w:rFonts w:cs="Times New Roman"/>
          <w:lang w:val="en-US"/>
        </w:rPr>
        <w:t xml:space="preserve"> is the squared standard error of household </w:t>
      </w:r>
      <m:oMath>
        <m:r>
          <m:rPr>
            <m:sty m:val="p"/>
          </m:rPr>
          <w:rPr>
            <w:rFonts w:ascii="Cambria Math" w:hAnsi="Cambria Math" w:cs="Times New Roman"/>
            <w:lang w:val="en-US"/>
          </w:rPr>
          <m:t>h</m:t>
        </m:r>
      </m:oMath>
      <w:r>
        <w:rPr>
          <w:rFonts w:cs="Times New Roman"/>
          <w:lang w:val="en-US"/>
        </w:rPr>
        <w:t>, containing both the window and the seed components. Alongside the summary effect we report the prediction interval, which is the interval within which the effect in a new household is expected to fall. For a practitioner deciding whether to adopt the component this is the relevant quantity, and it is wider than the confidence interval of the summary by construction.</w:t>
      </w:r>
    </w:p>
    <w:p w14:paraId="538131E4" w14:textId="77777777" w:rsidR="00147E50" w:rsidRPr="00F22774" w:rsidRDefault="00B611D3" w:rsidP="00B632D2">
      <w:pPr>
        <w:pStyle w:val="3"/>
        <w:spacing w:line="240" w:lineRule="auto"/>
        <w:ind w:firstLine="426"/>
        <w:rPr>
          <w:lang w:val="en-US"/>
        </w:rPr>
      </w:pPr>
      <w:bookmarkStart w:id="0" w:name="_Hlk236747813"/>
      <w:r>
        <w:rPr>
          <w:rFonts w:ascii="Times New Roman" w:eastAsia="Times New Roman" w:hAnsi="Times New Roman"/>
          <w:lang w:val="en-US"/>
        </w:rPr>
        <w:t>5.4.2. The pooled effect</w:t>
      </w:r>
    </w:p>
    <w:p w14:paraId="1E63CD19" w14:textId="77777777" w:rsidR="00147E50" w:rsidRPr="00F22774" w:rsidRDefault="007915AA" w:rsidP="00B632D2">
      <w:pPr>
        <w:spacing w:line="240" w:lineRule="auto"/>
        <w:jc w:val="both"/>
        <w:rPr>
          <w:rFonts w:cs="Times New Roman"/>
          <w:lang w:val="en-US"/>
        </w:rPr>
      </w:pPr>
      <w:r>
        <w:rPr>
          <w:rFonts w:cs="Times New Roman"/>
          <w:lang w:val="en-US"/>
        </w:rPr>
        <w:t>As reported in Table 3 and illustrated in Fig. 4, the pooled effect is small. Table 5 repeats the primary combination on the normalized scale, on which the practical threshold is a single line and the equivalence claim below is made.</w:t>
      </w:r>
    </w:p>
    <w:p w14:paraId="75C006AE" w14:textId="77777777" w:rsidR="00D5053E" w:rsidRPr="00F22774" w:rsidRDefault="00D5053E" w:rsidP="00B632D2">
      <w:pPr>
        <w:spacing w:line="240" w:lineRule="auto"/>
        <w:jc w:val="both"/>
        <w:rPr>
          <w:lang w:val="en-US"/>
        </w:rPr>
      </w:pPr>
      <w:r>
        <w:rPr>
          <w:rFonts w:cs="Times New Roman"/>
          <w:lang w:val="en-US"/>
        </w:rPr>
        <w:t xml:space="preserve">Table 4. Random‑effects pooling of per‑household ablation effects for four auxiliary‑objective/output combinations. Standard errors propagate training and evaluation variance; </w:t>
      </w:r>
      <w:r>
        <w:rPr>
          <w:rFonts w:cs="Times New Roman"/>
        </w:rPr>
        <w:t>τ</w:t>
      </w:r>
      <w:r>
        <w:rPr>
          <w:rFonts w:cs="Times New Roman"/>
          <w:lang w:val="en-US"/>
        </w:rPr>
        <w:t xml:space="preserve"> is between‑household SD and the prediction interval applies to a new household. Heterogeneity is absent only in the first row; in the other three it persists under full propagation, so the collapse is not general.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68"/>
        <w:gridCol w:w="1555"/>
        <w:gridCol w:w="860"/>
        <w:gridCol w:w="907"/>
        <w:gridCol w:w="1144"/>
        <w:gridCol w:w="1711"/>
      </w:tblGrid>
      <w:tr w:rsidR="00147E50" w:rsidRPr="00F22774" w14:paraId="15A88773" w14:textId="77777777" w:rsidTr="00D85B70">
        <w:trPr>
          <w:tblHeader/>
        </w:trPr>
        <w:tc>
          <w:tcPr>
            <w:tcW w:w="3168" w:type="dxa"/>
          </w:tcPr>
          <w:p w14:paraId="62CD2FCE" w14:textId="77777777" w:rsidR="00147E50" w:rsidRPr="00F22774" w:rsidRDefault="00147E50" w:rsidP="00B632D2">
            <w:pPr>
              <w:spacing w:before="40" w:after="40" w:line="240" w:lineRule="auto"/>
            </w:pPr>
            <w:r>
              <w:rPr>
                <w:rFonts w:cs="Times New Roman"/>
                <w:b/>
                <w:bCs/>
                <w:sz w:val="20"/>
                <w:szCs w:val="20"/>
              </w:rPr>
              <w:t>Combination</w:t>
            </w:r>
          </w:p>
        </w:tc>
        <w:tc>
          <w:tcPr>
            <w:tcW w:w="1555" w:type="dxa"/>
          </w:tcPr>
          <w:p w14:paraId="74AFCF91" w14:textId="77777777" w:rsidR="00147E50" w:rsidRPr="00F22774" w:rsidRDefault="00147E50" w:rsidP="00B632D2">
            <w:pPr>
              <w:spacing w:before="40" w:after="40" w:line="240" w:lineRule="auto"/>
              <w:jc w:val="center"/>
            </w:pPr>
            <w:r>
              <w:rPr>
                <w:rFonts w:cs="Times New Roman"/>
                <w:b/>
                <w:bCs/>
                <w:sz w:val="20"/>
                <w:szCs w:val="20"/>
              </w:rPr>
              <w:t>Pooled effect, W</w:t>
            </w:r>
          </w:p>
        </w:tc>
        <w:tc>
          <w:tcPr>
            <w:tcW w:w="860" w:type="dxa"/>
          </w:tcPr>
          <w:p w14:paraId="17BAF6CC" w14:textId="77777777" w:rsidR="00147E50" w:rsidRPr="00F22774" w:rsidRDefault="00147E50" w:rsidP="00B632D2">
            <w:pPr>
              <w:spacing w:before="40" w:after="40" w:line="240" w:lineRule="auto"/>
              <w:jc w:val="center"/>
            </w:pPr>
            <w:r>
              <w:rPr>
                <w:rFonts w:cs="Times New Roman"/>
                <w:b/>
                <w:bCs/>
                <w:sz w:val="20"/>
                <w:szCs w:val="20"/>
              </w:rPr>
              <w:t>p</w:t>
            </w:r>
          </w:p>
        </w:tc>
        <w:tc>
          <w:tcPr>
            <w:tcW w:w="907" w:type="dxa"/>
          </w:tcPr>
          <w:p w14:paraId="7A9AB32B" w14:textId="77777777" w:rsidR="00147E50" w:rsidRPr="00F22774" w:rsidRDefault="00147E50" w:rsidP="00B632D2">
            <w:pPr>
              <w:spacing w:before="40" w:after="40" w:line="240" w:lineRule="auto"/>
              <w:jc w:val="center"/>
            </w:pPr>
            <w:r>
              <w:rPr>
                <w:rFonts w:cs="Times New Roman"/>
                <w:b/>
                <w:bCs/>
                <w:sz w:val="20"/>
                <w:szCs w:val="20"/>
              </w:rPr>
              <w:t>τ, W</w:t>
            </w:r>
          </w:p>
        </w:tc>
        <w:tc>
          <w:tcPr>
            <w:tcW w:w="1144" w:type="dxa"/>
          </w:tcPr>
          <w:p w14:paraId="1BD86844" w14:textId="77777777" w:rsidR="00147E50" w:rsidRPr="00F22774" w:rsidRDefault="00147E50" w:rsidP="00B632D2">
            <w:pPr>
              <w:spacing w:before="40" w:after="40" w:line="240" w:lineRule="auto"/>
              <w:jc w:val="center"/>
            </w:pPr>
            <w:r>
              <w:rPr>
                <w:rFonts w:cs="Times New Roman"/>
                <w:b/>
                <w:bCs/>
                <w:sz w:val="20"/>
                <w:szCs w:val="20"/>
              </w:rPr>
              <w:t>I²</w:t>
            </w:r>
          </w:p>
        </w:tc>
        <w:tc>
          <w:tcPr>
            <w:tcW w:w="1711" w:type="dxa"/>
          </w:tcPr>
          <w:p w14:paraId="5824C50E" w14:textId="77777777" w:rsidR="00147E50" w:rsidRPr="00F22774" w:rsidRDefault="00147E50" w:rsidP="00B632D2">
            <w:pPr>
              <w:spacing w:before="40" w:after="40" w:line="240" w:lineRule="auto"/>
              <w:jc w:val="center"/>
            </w:pPr>
            <w:r>
              <w:rPr>
                <w:rFonts w:cs="Times New Roman"/>
                <w:b/>
                <w:bCs/>
                <w:sz w:val="20"/>
                <w:szCs w:val="20"/>
              </w:rPr>
              <w:t>Prediction interval, W</w:t>
            </w:r>
          </w:p>
        </w:tc>
      </w:tr>
      <w:tr w:rsidR="00147E50" w:rsidRPr="00F22774" w14:paraId="54DCC21A" w14:textId="77777777" w:rsidTr="00D85B70">
        <w:tc>
          <w:tcPr>
            <w:tcW w:w="3168" w:type="dxa"/>
          </w:tcPr>
          <w:p w14:paraId="7D6106B0" w14:textId="77777777" w:rsidR="00147E50" w:rsidRPr="00F22774" w:rsidRDefault="00147E50" w:rsidP="00B632D2">
            <w:pPr>
              <w:spacing w:before="40" w:after="40" w:line="240" w:lineRule="auto"/>
            </w:pPr>
            <w:r>
              <w:rPr>
                <w:rFonts w:cs="Times New Roman"/>
                <w:sz w:val="20"/>
                <w:szCs w:val="20"/>
              </w:rPr>
              <w:t>Corrected objective, fused forecast</w:t>
            </w:r>
          </w:p>
        </w:tc>
        <w:tc>
          <w:tcPr>
            <w:tcW w:w="1555" w:type="dxa"/>
          </w:tcPr>
          <w:p w14:paraId="0E4A8BD2" w14:textId="77777777" w:rsidR="00147E50" w:rsidRPr="00F22774" w:rsidRDefault="00147E50" w:rsidP="00B632D2">
            <w:pPr>
              <w:spacing w:before="40" w:after="40" w:line="240" w:lineRule="auto"/>
              <w:jc w:val="center"/>
            </w:pPr>
            <w:r>
              <w:rPr>
                <w:rFonts w:cs="Times New Roman"/>
                <w:sz w:val="20"/>
                <w:szCs w:val="20"/>
              </w:rPr>
              <w:t>−0.28 (0.19)</w:t>
            </w:r>
          </w:p>
        </w:tc>
        <w:tc>
          <w:tcPr>
            <w:tcW w:w="860" w:type="dxa"/>
          </w:tcPr>
          <w:p w14:paraId="5CE2B0C2" w14:textId="77777777" w:rsidR="00147E50" w:rsidRPr="00F22774" w:rsidRDefault="00147E50" w:rsidP="00B632D2">
            <w:pPr>
              <w:spacing w:before="40" w:after="40" w:line="240" w:lineRule="auto"/>
              <w:jc w:val="center"/>
            </w:pPr>
            <w:r>
              <w:rPr>
                <w:rFonts w:cs="Times New Roman"/>
                <w:sz w:val="20"/>
                <w:szCs w:val="20"/>
              </w:rPr>
              <w:t>0.141</w:t>
            </w:r>
          </w:p>
        </w:tc>
        <w:tc>
          <w:tcPr>
            <w:tcW w:w="907" w:type="dxa"/>
          </w:tcPr>
          <w:p w14:paraId="7FA3E886" w14:textId="77777777" w:rsidR="00147E50" w:rsidRPr="00F22774" w:rsidRDefault="00147E50" w:rsidP="00B632D2">
            <w:pPr>
              <w:spacing w:before="40" w:after="40" w:line="240" w:lineRule="auto"/>
              <w:jc w:val="center"/>
            </w:pPr>
            <w:r>
              <w:rPr>
                <w:rFonts w:cs="Times New Roman"/>
                <w:sz w:val="20"/>
                <w:szCs w:val="20"/>
              </w:rPr>
              <w:t>0.35</w:t>
            </w:r>
          </w:p>
        </w:tc>
        <w:tc>
          <w:tcPr>
            <w:tcW w:w="1144" w:type="dxa"/>
          </w:tcPr>
          <w:p w14:paraId="4E1C6C04" w14:textId="77777777" w:rsidR="00147E50" w:rsidRPr="00F22774" w:rsidRDefault="00147E50" w:rsidP="00B632D2">
            <w:pPr>
              <w:spacing w:before="40" w:after="40" w:line="240" w:lineRule="auto"/>
              <w:jc w:val="center"/>
            </w:pPr>
            <w:r>
              <w:rPr>
                <w:rFonts w:cs="Times New Roman"/>
                <w:sz w:val="20"/>
                <w:szCs w:val="20"/>
              </w:rPr>
              <w:t>26.9%</w:t>
            </w:r>
          </w:p>
        </w:tc>
        <w:tc>
          <w:tcPr>
            <w:tcW w:w="1711" w:type="dxa"/>
          </w:tcPr>
          <w:p w14:paraId="3368C1BA" w14:textId="77777777" w:rsidR="00147E50" w:rsidRPr="00F22774" w:rsidRDefault="00147E50" w:rsidP="00B632D2">
            <w:pPr>
              <w:spacing w:before="40" w:after="40" w:line="240" w:lineRule="auto"/>
              <w:jc w:val="center"/>
            </w:pPr>
            <w:r>
              <w:rPr>
                <w:rFonts w:cs="Times New Roman"/>
                <w:sz w:val="20"/>
                <w:szCs w:val="20"/>
              </w:rPr>
              <w:t>[−1.14, +0.57]</w:t>
            </w:r>
          </w:p>
        </w:tc>
      </w:tr>
      <w:tr w:rsidR="00147E50" w:rsidRPr="00F22774" w14:paraId="06201CDD" w14:textId="77777777" w:rsidTr="00D85B70">
        <w:tc>
          <w:tcPr>
            <w:tcW w:w="3168" w:type="dxa"/>
          </w:tcPr>
          <w:p w14:paraId="340F4EDD" w14:textId="77777777" w:rsidR="00147E50" w:rsidRPr="00F22774" w:rsidRDefault="00147E50" w:rsidP="00B632D2">
            <w:pPr>
              <w:spacing w:before="40" w:after="40" w:line="240" w:lineRule="auto"/>
            </w:pPr>
            <w:r>
              <w:rPr>
                <w:rFonts w:cs="Times New Roman"/>
                <w:sz w:val="20"/>
                <w:szCs w:val="20"/>
              </w:rPr>
              <w:lastRenderedPageBreak/>
              <w:t>Corrected objective, branch output</w:t>
            </w:r>
          </w:p>
        </w:tc>
        <w:tc>
          <w:tcPr>
            <w:tcW w:w="1555" w:type="dxa"/>
          </w:tcPr>
          <w:p w14:paraId="4A5151F2" w14:textId="77777777" w:rsidR="00147E50" w:rsidRPr="00F22774" w:rsidRDefault="00147E50" w:rsidP="00B632D2">
            <w:pPr>
              <w:spacing w:before="40" w:after="40" w:line="240" w:lineRule="auto"/>
              <w:jc w:val="center"/>
            </w:pPr>
            <w:r>
              <w:rPr>
                <w:rFonts w:cs="Times New Roman"/>
                <w:sz w:val="20"/>
                <w:szCs w:val="20"/>
              </w:rPr>
              <w:t>−0.73 (0.57)</w:t>
            </w:r>
          </w:p>
        </w:tc>
        <w:tc>
          <w:tcPr>
            <w:tcW w:w="860" w:type="dxa"/>
          </w:tcPr>
          <w:p w14:paraId="2CC18CB4" w14:textId="77777777" w:rsidR="00147E50" w:rsidRPr="00F22774" w:rsidRDefault="00147E50" w:rsidP="00B632D2">
            <w:pPr>
              <w:spacing w:before="40" w:after="40" w:line="240" w:lineRule="auto"/>
              <w:jc w:val="center"/>
            </w:pPr>
            <w:r>
              <w:rPr>
                <w:rFonts w:cs="Times New Roman"/>
                <w:sz w:val="20"/>
                <w:szCs w:val="20"/>
              </w:rPr>
              <w:t>0.201</w:t>
            </w:r>
          </w:p>
        </w:tc>
        <w:tc>
          <w:tcPr>
            <w:tcW w:w="907" w:type="dxa"/>
          </w:tcPr>
          <w:p w14:paraId="183F9C6D" w14:textId="77777777" w:rsidR="00147E50" w:rsidRPr="00F22774" w:rsidRDefault="00147E50" w:rsidP="00B632D2">
            <w:pPr>
              <w:spacing w:before="40" w:after="40" w:line="240" w:lineRule="auto"/>
              <w:jc w:val="center"/>
            </w:pPr>
            <w:r>
              <w:rPr>
                <w:rFonts w:cs="Times New Roman"/>
                <w:sz w:val="20"/>
                <w:szCs w:val="20"/>
              </w:rPr>
              <w:t>1.44</w:t>
            </w:r>
          </w:p>
        </w:tc>
        <w:tc>
          <w:tcPr>
            <w:tcW w:w="1144" w:type="dxa"/>
          </w:tcPr>
          <w:p w14:paraId="5B60BC91" w14:textId="77777777" w:rsidR="00147E50" w:rsidRPr="00F22774" w:rsidRDefault="00147E50" w:rsidP="00B632D2">
            <w:pPr>
              <w:spacing w:before="40" w:after="40" w:line="240" w:lineRule="auto"/>
              <w:jc w:val="center"/>
            </w:pPr>
            <w:r>
              <w:rPr>
                <w:rFonts w:cs="Times New Roman"/>
                <w:sz w:val="20"/>
                <w:szCs w:val="20"/>
              </w:rPr>
              <w:t>57.5%</w:t>
            </w:r>
          </w:p>
        </w:tc>
        <w:tc>
          <w:tcPr>
            <w:tcW w:w="1711" w:type="dxa"/>
          </w:tcPr>
          <w:p w14:paraId="292EDEA5" w14:textId="77777777" w:rsidR="00147E50" w:rsidRPr="00F22774" w:rsidRDefault="00147E50" w:rsidP="00B632D2">
            <w:pPr>
              <w:spacing w:before="40" w:after="40" w:line="240" w:lineRule="auto"/>
              <w:jc w:val="center"/>
            </w:pPr>
            <w:r>
              <w:rPr>
                <w:rFonts w:cs="Times New Roman"/>
                <w:sz w:val="20"/>
                <w:szCs w:val="20"/>
              </w:rPr>
              <w:t>[−4.03, +2.57]</w:t>
            </w:r>
          </w:p>
        </w:tc>
      </w:tr>
      <w:tr w:rsidR="00147E50" w:rsidRPr="00F22774" w14:paraId="0AC6E67F" w14:textId="77777777" w:rsidTr="00D85B70">
        <w:tc>
          <w:tcPr>
            <w:tcW w:w="3168" w:type="dxa"/>
          </w:tcPr>
          <w:p w14:paraId="18FFF140" w14:textId="77777777" w:rsidR="00147E50" w:rsidRPr="00F22774" w:rsidRDefault="00147E50" w:rsidP="00B632D2">
            <w:pPr>
              <w:spacing w:before="40" w:after="40" w:line="240" w:lineRule="auto"/>
            </w:pPr>
            <w:r>
              <w:rPr>
                <w:rFonts w:cs="Times New Roman"/>
                <w:sz w:val="20"/>
                <w:szCs w:val="20"/>
              </w:rPr>
              <w:t>Original objective, fused forecast</w:t>
            </w:r>
          </w:p>
        </w:tc>
        <w:tc>
          <w:tcPr>
            <w:tcW w:w="1555" w:type="dxa"/>
          </w:tcPr>
          <w:p w14:paraId="2DD6E91C" w14:textId="77777777" w:rsidR="00147E50" w:rsidRPr="00F22774" w:rsidRDefault="00147E50" w:rsidP="00B632D2">
            <w:pPr>
              <w:spacing w:before="40" w:after="40" w:line="240" w:lineRule="auto"/>
              <w:jc w:val="center"/>
            </w:pPr>
            <w:r>
              <w:rPr>
                <w:rFonts w:cs="Times New Roman"/>
                <w:sz w:val="20"/>
                <w:szCs w:val="20"/>
              </w:rPr>
              <w:t>−0.06 (0.33)</w:t>
            </w:r>
          </w:p>
        </w:tc>
        <w:tc>
          <w:tcPr>
            <w:tcW w:w="860" w:type="dxa"/>
          </w:tcPr>
          <w:p w14:paraId="28B9AE3E" w14:textId="77777777" w:rsidR="00147E50" w:rsidRPr="00F22774" w:rsidRDefault="00147E50" w:rsidP="00B632D2">
            <w:pPr>
              <w:spacing w:before="40" w:after="40" w:line="240" w:lineRule="auto"/>
              <w:jc w:val="center"/>
            </w:pPr>
            <w:r>
              <w:rPr>
                <w:rFonts w:cs="Times New Roman"/>
                <w:sz w:val="20"/>
                <w:szCs w:val="20"/>
              </w:rPr>
              <w:t>0.857</w:t>
            </w:r>
          </w:p>
        </w:tc>
        <w:tc>
          <w:tcPr>
            <w:tcW w:w="907" w:type="dxa"/>
          </w:tcPr>
          <w:p w14:paraId="765E368B" w14:textId="77777777" w:rsidR="00147E50" w:rsidRPr="00F22774" w:rsidRDefault="00147E50" w:rsidP="00B632D2">
            <w:pPr>
              <w:spacing w:before="40" w:after="40" w:line="240" w:lineRule="auto"/>
              <w:jc w:val="center"/>
            </w:pPr>
            <w:r>
              <w:rPr>
                <w:rFonts w:cs="Times New Roman"/>
                <w:sz w:val="20"/>
                <w:szCs w:val="20"/>
              </w:rPr>
              <w:t>0.83</w:t>
            </w:r>
          </w:p>
        </w:tc>
        <w:tc>
          <w:tcPr>
            <w:tcW w:w="1144" w:type="dxa"/>
          </w:tcPr>
          <w:p w14:paraId="175F7147" w14:textId="77777777" w:rsidR="00147E50" w:rsidRPr="00F22774" w:rsidRDefault="00147E50" w:rsidP="00B632D2">
            <w:pPr>
              <w:spacing w:before="40" w:after="40" w:line="240" w:lineRule="auto"/>
              <w:jc w:val="center"/>
            </w:pPr>
            <w:r>
              <w:rPr>
                <w:rFonts w:cs="Times New Roman"/>
                <w:sz w:val="20"/>
                <w:szCs w:val="20"/>
              </w:rPr>
              <w:t>55.0%</w:t>
            </w:r>
          </w:p>
        </w:tc>
        <w:tc>
          <w:tcPr>
            <w:tcW w:w="1711" w:type="dxa"/>
          </w:tcPr>
          <w:p w14:paraId="43897128" w14:textId="77777777" w:rsidR="00147E50" w:rsidRPr="00F22774" w:rsidRDefault="00147E50" w:rsidP="00B632D2">
            <w:pPr>
              <w:spacing w:before="40" w:after="40" w:line="240" w:lineRule="auto"/>
              <w:jc w:val="center"/>
            </w:pPr>
            <w:r>
              <w:rPr>
                <w:rFonts w:cs="Times New Roman"/>
                <w:sz w:val="20"/>
                <w:szCs w:val="20"/>
              </w:rPr>
              <w:t>[−1.96, +1.85]</w:t>
            </w:r>
          </w:p>
        </w:tc>
      </w:tr>
      <w:tr w:rsidR="00147E50" w:rsidRPr="00F22774" w14:paraId="6974710B" w14:textId="77777777" w:rsidTr="00D85B70">
        <w:tc>
          <w:tcPr>
            <w:tcW w:w="3168" w:type="dxa"/>
          </w:tcPr>
          <w:p w14:paraId="0B855D3F" w14:textId="77777777" w:rsidR="00147E50" w:rsidRPr="00F22774" w:rsidRDefault="00147E50" w:rsidP="00B632D2">
            <w:pPr>
              <w:spacing w:before="40" w:after="40" w:line="240" w:lineRule="auto"/>
            </w:pPr>
            <w:r>
              <w:rPr>
                <w:rFonts w:cs="Times New Roman"/>
                <w:sz w:val="20"/>
                <w:szCs w:val="20"/>
              </w:rPr>
              <w:t>Original objective, branch output</w:t>
            </w:r>
          </w:p>
        </w:tc>
        <w:tc>
          <w:tcPr>
            <w:tcW w:w="1555" w:type="dxa"/>
          </w:tcPr>
          <w:p w14:paraId="1656FBD4" w14:textId="77777777" w:rsidR="00147E50" w:rsidRPr="00F22774" w:rsidRDefault="00147E50" w:rsidP="00B632D2">
            <w:pPr>
              <w:spacing w:before="40" w:after="40" w:line="240" w:lineRule="auto"/>
              <w:jc w:val="center"/>
            </w:pPr>
            <w:r>
              <w:rPr>
                <w:rFonts w:cs="Times New Roman"/>
                <w:sz w:val="20"/>
                <w:szCs w:val="20"/>
              </w:rPr>
              <w:t>−0.74 (0.62)</w:t>
            </w:r>
          </w:p>
        </w:tc>
        <w:tc>
          <w:tcPr>
            <w:tcW w:w="860" w:type="dxa"/>
          </w:tcPr>
          <w:p w14:paraId="2207A180" w14:textId="77777777" w:rsidR="00147E50" w:rsidRPr="00F22774" w:rsidRDefault="00147E50" w:rsidP="00B632D2">
            <w:pPr>
              <w:spacing w:before="40" w:after="40" w:line="240" w:lineRule="auto"/>
              <w:jc w:val="center"/>
            </w:pPr>
            <w:r>
              <w:rPr>
                <w:rFonts w:cs="Times New Roman"/>
                <w:sz w:val="20"/>
                <w:szCs w:val="20"/>
              </w:rPr>
              <w:t>0.231</w:t>
            </w:r>
          </w:p>
        </w:tc>
        <w:tc>
          <w:tcPr>
            <w:tcW w:w="907" w:type="dxa"/>
          </w:tcPr>
          <w:p w14:paraId="19CB68CB" w14:textId="77777777" w:rsidR="00147E50" w:rsidRPr="00F22774" w:rsidRDefault="00147E50" w:rsidP="00B632D2">
            <w:pPr>
              <w:spacing w:before="40" w:after="40" w:line="240" w:lineRule="auto"/>
              <w:jc w:val="center"/>
            </w:pPr>
            <w:r>
              <w:rPr>
                <w:rFonts w:cs="Times New Roman"/>
                <w:sz w:val="20"/>
                <w:szCs w:val="20"/>
              </w:rPr>
              <w:t>1.68</w:t>
            </w:r>
          </w:p>
        </w:tc>
        <w:tc>
          <w:tcPr>
            <w:tcW w:w="1144" w:type="dxa"/>
          </w:tcPr>
          <w:p w14:paraId="2B7FFD8D" w14:textId="77777777" w:rsidR="00147E50" w:rsidRPr="00F22774" w:rsidRDefault="00147E50" w:rsidP="00B632D2">
            <w:pPr>
              <w:spacing w:before="40" w:after="40" w:line="240" w:lineRule="auto"/>
              <w:jc w:val="center"/>
            </w:pPr>
            <w:r>
              <w:rPr>
                <w:rFonts w:cs="Times New Roman"/>
                <w:sz w:val="20"/>
                <w:szCs w:val="20"/>
              </w:rPr>
              <w:t>62.4%</w:t>
            </w:r>
          </w:p>
        </w:tc>
        <w:tc>
          <w:tcPr>
            <w:tcW w:w="1711" w:type="dxa"/>
          </w:tcPr>
          <w:p w14:paraId="682EE0D6" w14:textId="77777777" w:rsidR="00147E50" w:rsidRPr="00F22774" w:rsidRDefault="00147E50" w:rsidP="00B632D2">
            <w:pPr>
              <w:spacing w:before="40" w:after="40" w:line="240" w:lineRule="auto"/>
              <w:jc w:val="center"/>
            </w:pPr>
            <w:r>
              <w:rPr>
                <w:rFonts w:cs="Times New Roman"/>
                <w:sz w:val="20"/>
                <w:szCs w:val="20"/>
              </w:rPr>
              <w:t>[−4.56, +3.07]</w:t>
            </w:r>
          </w:p>
        </w:tc>
      </w:tr>
    </w:tbl>
    <w:p w14:paraId="3321A424" w14:textId="77777777" w:rsidR="003926C4" w:rsidRPr="00F22774" w:rsidRDefault="003926C4" w:rsidP="00B632D2">
      <w:pPr>
        <w:spacing w:before="160" w:line="240" w:lineRule="auto"/>
        <w:jc w:val="center"/>
        <w:rPr>
          <w:rFonts w:cs="Times New Roman"/>
          <w:lang w:val="en-US"/>
        </w:rPr>
      </w:pPr>
    </w:p>
    <w:p w14:paraId="2CA2B732" w14:textId="77777777" w:rsidR="003926C4" w:rsidRPr="00F22774" w:rsidRDefault="005746E9" w:rsidP="00B632D2">
      <w:pPr>
        <w:spacing w:after="0" w:line="240" w:lineRule="auto"/>
        <w:jc w:val="center"/>
        <w:rPr>
          <w:rFonts w:cs="Times New Roman"/>
          <w:lang w:val="en-US"/>
        </w:rPr>
      </w:pPr>
      <w:r>
        <w:rPr>
          <w:rFonts w:cs="Times New Roman"/>
          <w:noProof/>
          <w:lang w:val="en-US"/>
        </w:rPr>
        <w:drawing>
          <wp:inline distT="0" distB="0" distL="0" distR="0" wp14:anchorId="06B85D23" wp14:editId="69D9B1F9">
            <wp:extent cx="5940425" cy="5449694"/>
            <wp:effectExtent l="0" t="0" r="3175" b="8255"/>
            <wp:docPr id="8" name="Рисунок 8" descr="Household-level ablation effects with full uncertainty intervals and practical-significance band." title="Household-level ablation effects with full uncertainty intervals and practical-significance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5449694"/>
                    </a:xfrm>
                    <a:prstGeom prst="rect">
                      <a:avLst/>
                    </a:prstGeom>
                  </pic:spPr>
                </pic:pic>
              </a:graphicData>
            </a:graphic>
          </wp:inline>
        </w:drawing>
      </w:r>
    </w:p>
    <w:p w14:paraId="795AC2E4" w14:textId="77777777" w:rsidR="00D85B70" w:rsidRPr="00F22774" w:rsidRDefault="00D85B70" w:rsidP="00B632D2">
      <w:pPr>
        <w:spacing w:after="0" w:line="240" w:lineRule="auto"/>
        <w:jc w:val="both"/>
        <w:rPr>
          <w:rFonts w:cs="Times New Roman"/>
          <w:lang w:val="en-US"/>
        </w:rPr>
      </w:pPr>
      <w:r>
        <w:rPr>
          <w:rFonts w:cs="Times New Roman"/>
          <w:b/>
          <w:lang w:val="en-US"/>
        </w:rPr>
        <w:t>Fig. 4</w:t>
      </w:r>
      <w:r>
        <w:rPr>
          <w:lang w:val="en-US"/>
        </w:rPr>
        <w:t xml:space="preserve"> </w:t>
      </w:r>
      <w:r>
        <w:rPr>
          <w:rFonts w:cs="Times New Roman"/>
          <w:lang w:val="en-US"/>
        </w:rPr>
        <w:t>Effect of removing the identity mechanism, by household, with and without training‑variance propagation. Each row is one household; points are estimated effects (positive = mechanism helps). Thick intervals use evaluation‑only resampling; thin intervals add seed variance. The pale band marks ±2% of each household’s MAE (practical‑significance threshold, Section 4.4). The diamond is the random‑effects summary; the bar beneath is the prediction interval. Seven households are significant under the customary interval, two under the full; the summary effect (−0.28 W) and prediction interval [−1.14, +0.57] W lie within the practical‑significance band for all households. Intervals extending beyond the axis are marked with arrows</w:t>
      </w:r>
    </w:p>
    <w:p w14:paraId="29F39AD8" w14:textId="77777777" w:rsidR="00147E50" w:rsidRPr="00F22774" w:rsidRDefault="00C96B8A" w:rsidP="00B632D2">
      <w:pPr>
        <w:spacing w:before="160" w:line="240" w:lineRule="auto"/>
        <w:jc w:val="both"/>
        <w:rPr>
          <w:lang w:val="en-US"/>
        </w:rPr>
      </w:pPr>
      <w:r>
        <w:rPr>
          <w:rFonts w:cs="Times New Roman"/>
          <w:lang w:val="en-US"/>
        </w:rPr>
        <w:t xml:space="preserve">The primary combination is the first. It is the configuration in which the decomposition branch is a working forecaster, evaluated on the output the model actually produces. On the normalized scale the pooled effect is −0.26% of household error with a standard error of 0.15 (p = 0.085), the sign is negative on 13 of 17 households, and the prediction interval for a new household is [−0.98, +0.46]%. Both limits lie inside the pre-specified threshold of ±2%, on every household in the study and by a factor of two. In watts the same analysis gives −0.28 W (SE 0.19, p = 0.141) with a prediction interval of [−1.14, +0.57] W; that form is </w:t>
      </w:r>
      <w:r>
        <w:rPr>
          <w:rFonts w:cs="Times New Roman"/>
          <w:lang w:val="en-US"/>
        </w:rPr>
        <w:lastRenderedPageBreak/>
        <w:t>retained in Table 4 and Fig. 4 for comparability with the earlier study, but it cannot carry the equivalence claim, because a threshold of 2% of household error corresponds to between 0.8 and 9.8 W across the sample and the interval exceeds the lower end of that range.</w:t>
      </w:r>
    </w:p>
    <w:p w14:paraId="0188073F" w14:textId="77777777" w:rsidR="007F05BC" w:rsidRPr="00DD392A" w:rsidRDefault="00DD392A" w:rsidP="00B632D2">
      <w:pPr>
        <w:spacing w:line="240" w:lineRule="auto"/>
        <w:jc w:val="both"/>
        <w:rPr>
          <w:lang w:val="en-US"/>
        </w:rPr>
      </w:pPr>
      <w:r>
        <w:rPr>
          <w:lang w:val="en-US"/>
        </w:rPr>
        <w:t>Table 5. Primary combination on the normalized scale. The study-specific decision margin is ±2%. Window-only standard errors omit training randomness; full propagation includes it. Planning sample sizes are reported as the primary 10%-trimmed estimate followed by the conservative untrimmed estimate.</w:t>
      </w:r>
    </w:p>
    <w:tbl>
      <w:tblPr>
        <w:tblStyle w:val="a8"/>
        <w:tblW w:w="0" w:type="auto"/>
        <w:tblLook w:val="04A0" w:firstRow="1" w:lastRow="0" w:firstColumn="1" w:lastColumn="0" w:noHBand="0" w:noVBand="1"/>
      </w:tblPr>
      <w:tblGrid>
        <w:gridCol w:w="3115"/>
        <w:gridCol w:w="3115"/>
        <w:gridCol w:w="3115"/>
      </w:tblGrid>
      <w:tr w:rsidR="007F05BC" w14:paraId="6692B5B7" w14:textId="77777777">
        <w:trPr>
          <w:tblHeader/>
        </w:trPr>
        <w:tc>
          <w:tcPr>
            <w:tcW w:w="3118" w:type="dxa"/>
          </w:tcPr>
          <w:p w14:paraId="5A8AA6E5" w14:textId="77777777" w:rsidR="007F05BC" w:rsidRDefault="00DD392A" w:rsidP="00B632D2">
            <w:r>
              <w:rPr>
                <w:b/>
              </w:rPr>
              <w:t>Quantity</w:t>
            </w:r>
          </w:p>
        </w:tc>
        <w:tc>
          <w:tcPr>
            <w:tcW w:w="3118" w:type="dxa"/>
          </w:tcPr>
          <w:p w14:paraId="14318313" w14:textId="77777777" w:rsidR="00FA1C3E" w:rsidRDefault="00DF00D8" w:rsidP="00B632D2">
            <w:r>
              <w:t>Window-only SE</w:t>
            </w:r>
          </w:p>
        </w:tc>
        <w:tc>
          <w:tcPr>
            <w:tcW w:w="3118" w:type="dxa"/>
          </w:tcPr>
          <w:p w14:paraId="4A7E33B6" w14:textId="77777777" w:rsidR="00FA1C3E" w:rsidRDefault="00DF00D8" w:rsidP="00B632D2">
            <w:r>
              <w:t>Full propagation</w:t>
            </w:r>
          </w:p>
        </w:tc>
      </w:tr>
      <w:tr w:rsidR="007F05BC" w14:paraId="4A20EB69" w14:textId="77777777">
        <w:tc>
          <w:tcPr>
            <w:tcW w:w="3118" w:type="dxa"/>
          </w:tcPr>
          <w:p w14:paraId="25521D33" w14:textId="77777777" w:rsidR="007F05BC" w:rsidRDefault="00DD392A" w:rsidP="00B632D2">
            <w:r>
              <w:t>Pooled effect</w:t>
            </w:r>
          </w:p>
        </w:tc>
        <w:tc>
          <w:tcPr>
            <w:tcW w:w="3118" w:type="dxa"/>
          </w:tcPr>
          <w:p w14:paraId="5A3700B2" w14:textId="77777777" w:rsidR="007F05BC" w:rsidRDefault="00DD392A" w:rsidP="00B632D2">
            <w:r>
              <w:t>−0.40 %</w:t>
            </w:r>
          </w:p>
        </w:tc>
        <w:tc>
          <w:tcPr>
            <w:tcW w:w="3118" w:type="dxa"/>
          </w:tcPr>
          <w:p w14:paraId="0B229E55" w14:textId="77777777" w:rsidR="007F05BC" w:rsidRDefault="00DD392A" w:rsidP="00B632D2">
            <w:r>
              <w:t>−0.26 %</w:t>
            </w:r>
          </w:p>
        </w:tc>
      </w:tr>
      <w:tr w:rsidR="007F05BC" w14:paraId="22D4126C" w14:textId="77777777">
        <w:tc>
          <w:tcPr>
            <w:tcW w:w="3118" w:type="dxa"/>
          </w:tcPr>
          <w:p w14:paraId="6BF3EE63" w14:textId="77777777" w:rsidR="007F05BC" w:rsidRDefault="00DD392A" w:rsidP="00B632D2">
            <w:r>
              <w:t>p</w:t>
            </w:r>
          </w:p>
        </w:tc>
        <w:tc>
          <w:tcPr>
            <w:tcW w:w="3118" w:type="dxa"/>
          </w:tcPr>
          <w:p w14:paraId="080D449A" w14:textId="77777777" w:rsidR="007F05BC" w:rsidRDefault="00DD392A" w:rsidP="00B632D2">
            <w:r>
              <w:t>0.036</w:t>
            </w:r>
          </w:p>
        </w:tc>
        <w:tc>
          <w:tcPr>
            <w:tcW w:w="3118" w:type="dxa"/>
          </w:tcPr>
          <w:p w14:paraId="000D8C82" w14:textId="77777777" w:rsidR="007F05BC" w:rsidRDefault="00DD392A" w:rsidP="00B632D2">
            <w:r>
              <w:t>0.085</w:t>
            </w:r>
          </w:p>
        </w:tc>
      </w:tr>
      <w:tr w:rsidR="007F05BC" w14:paraId="010566C3" w14:textId="77777777">
        <w:tc>
          <w:tcPr>
            <w:tcW w:w="3118" w:type="dxa"/>
          </w:tcPr>
          <w:p w14:paraId="3CD37FBE" w14:textId="77777777" w:rsidR="007F05BC" w:rsidRDefault="00DD392A" w:rsidP="00B632D2">
            <w:r>
              <w:t>τ</w:t>
            </w:r>
          </w:p>
        </w:tc>
        <w:tc>
          <w:tcPr>
            <w:tcW w:w="3118" w:type="dxa"/>
          </w:tcPr>
          <w:p w14:paraId="18D88094" w14:textId="77777777" w:rsidR="007F05BC" w:rsidRDefault="00DD392A" w:rsidP="00B632D2">
            <w:r>
              <w:t>0.66 %</w:t>
            </w:r>
          </w:p>
        </w:tc>
        <w:tc>
          <w:tcPr>
            <w:tcW w:w="3118" w:type="dxa"/>
          </w:tcPr>
          <w:p w14:paraId="44C97E77" w14:textId="77777777" w:rsidR="007F05BC" w:rsidRDefault="00DD392A" w:rsidP="00B632D2">
            <w:r>
              <w:t>0.30 %</w:t>
            </w:r>
          </w:p>
        </w:tc>
      </w:tr>
      <w:tr w:rsidR="007F05BC" w14:paraId="12DA3D22" w14:textId="77777777">
        <w:tc>
          <w:tcPr>
            <w:tcW w:w="3118" w:type="dxa"/>
          </w:tcPr>
          <w:p w14:paraId="4743FDE9" w14:textId="77777777" w:rsidR="007F05BC" w:rsidRDefault="00DD392A" w:rsidP="00B632D2">
            <w:r>
              <w:t>I²; Q(16)</w:t>
            </w:r>
          </w:p>
        </w:tc>
        <w:tc>
          <w:tcPr>
            <w:tcW w:w="3118" w:type="dxa"/>
          </w:tcPr>
          <w:p w14:paraId="1670C0E5" w14:textId="77777777" w:rsidR="007F05BC" w:rsidRDefault="00DD392A" w:rsidP="00B632D2">
            <w:r>
              <w:t>86.7 %; 120.6</w:t>
            </w:r>
          </w:p>
        </w:tc>
        <w:tc>
          <w:tcPr>
            <w:tcW w:w="3118" w:type="dxa"/>
          </w:tcPr>
          <w:p w14:paraId="7EA4C9AF" w14:textId="77777777" w:rsidR="007F05BC" w:rsidRDefault="00DD392A" w:rsidP="00B632D2">
            <w:r>
              <w:t>30.4 %; 23.0</w:t>
            </w:r>
          </w:p>
        </w:tc>
      </w:tr>
      <w:tr w:rsidR="007F05BC" w14:paraId="299D6E40" w14:textId="77777777">
        <w:tc>
          <w:tcPr>
            <w:tcW w:w="3118" w:type="dxa"/>
          </w:tcPr>
          <w:p w14:paraId="5967ECE2" w14:textId="77777777" w:rsidR="007F05BC" w:rsidRDefault="00DD392A" w:rsidP="00B632D2">
            <w:r>
              <w:t>Prediction interval</w:t>
            </w:r>
          </w:p>
        </w:tc>
        <w:tc>
          <w:tcPr>
            <w:tcW w:w="3118" w:type="dxa"/>
          </w:tcPr>
          <w:p w14:paraId="02F78866" w14:textId="77777777" w:rsidR="007F05BC" w:rsidRDefault="00DD392A" w:rsidP="00B632D2">
            <w:r>
              <w:t>[−1.85, +1.06] %</w:t>
            </w:r>
          </w:p>
        </w:tc>
        <w:tc>
          <w:tcPr>
            <w:tcW w:w="3118" w:type="dxa"/>
          </w:tcPr>
          <w:p w14:paraId="6D3872EA" w14:textId="77777777" w:rsidR="007F05BC" w:rsidRDefault="00DD392A" w:rsidP="00B632D2">
            <w:r>
              <w:t>[−0.98, +0.46] %</w:t>
            </w:r>
          </w:p>
        </w:tc>
      </w:tr>
      <w:tr w:rsidR="007F05BC" w14:paraId="05579367" w14:textId="77777777">
        <w:tc>
          <w:tcPr>
            <w:tcW w:w="3118" w:type="dxa"/>
          </w:tcPr>
          <w:p w14:paraId="179B65BE" w14:textId="77777777" w:rsidR="007F05BC" w:rsidRDefault="00DD392A" w:rsidP="00B632D2">
            <w:r>
              <w:t>Households significant individually</w:t>
            </w:r>
          </w:p>
        </w:tc>
        <w:tc>
          <w:tcPr>
            <w:tcW w:w="3118" w:type="dxa"/>
          </w:tcPr>
          <w:p w14:paraId="3F9AF15B" w14:textId="77777777" w:rsidR="007F05BC" w:rsidRDefault="00DD392A" w:rsidP="00B632D2">
            <w:r>
              <w:t>7 of 17</w:t>
            </w:r>
          </w:p>
        </w:tc>
        <w:tc>
          <w:tcPr>
            <w:tcW w:w="3118" w:type="dxa"/>
          </w:tcPr>
          <w:p w14:paraId="362A06E7" w14:textId="77777777" w:rsidR="007F05BC" w:rsidRDefault="00DD392A" w:rsidP="00B632D2">
            <w:r>
              <w:t>2 of 17</w:t>
            </w:r>
          </w:p>
        </w:tc>
      </w:tr>
      <w:tr w:rsidR="007F05BC" w14:paraId="31E592AE" w14:textId="77777777">
        <w:tc>
          <w:tcPr>
            <w:tcW w:w="3118" w:type="dxa"/>
          </w:tcPr>
          <w:p w14:paraId="0BBE94D6" w14:textId="77777777" w:rsidR="007F05BC" w:rsidRDefault="00DD392A" w:rsidP="00B632D2">
            <w:r>
              <w:t>Households required at 1 %</w:t>
            </w:r>
          </w:p>
        </w:tc>
        <w:tc>
          <w:tcPr>
            <w:tcW w:w="3118" w:type="dxa"/>
          </w:tcPr>
          <w:p w14:paraId="296094FC" w14:textId="77777777" w:rsidR="00FA1C3E" w:rsidRDefault="00DF00D8" w:rsidP="00B632D2">
            <w:r>
              <w:t>6 / 8</w:t>
            </w:r>
          </w:p>
        </w:tc>
        <w:tc>
          <w:tcPr>
            <w:tcW w:w="3118" w:type="dxa"/>
          </w:tcPr>
          <w:p w14:paraId="794046B5" w14:textId="77777777" w:rsidR="00FA1C3E" w:rsidRDefault="00DF00D8" w:rsidP="00B632D2">
            <w:r>
              <w:t>11 / 41</w:t>
            </w:r>
          </w:p>
        </w:tc>
      </w:tr>
      <w:tr w:rsidR="007F05BC" w14:paraId="1228675F" w14:textId="77777777">
        <w:tc>
          <w:tcPr>
            <w:tcW w:w="3118" w:type="dxa"/>
          </w:tcPr>
          <w:p w14:paraId="4F38D9AD" w14:textId="77777777" w:rsidR="007F05BC" w:rsidRDefault="00DD392A" w:rsidP="00B632D2">
            <w:r>
              <w:t>Households required at 2 %</w:t>
            </w:r>
          </w:p>
        </w:tc>
        <w:tc>
          <w:tcPr>
            <w:tcW w:w="3118" w:type="dxa"/>
          </w:tcPr>
          <w:p w14:paraId="5303B217" w14:textId="77777777" w:rsidR="00FA1C3E" w:rsidRDefault="00DF00D8" w:rsidP="00B632D2">
            <w:r>
              <w:t>2 / 2</w:t>
            </w:r>
          </w:p>
        </w:tc>
        <w:tc>
          <w:tcPr>
            <w:tcW w:w="3118" w:type="dxa"/>
          </w:tcPr>
          <w:p w14:paraId="4FD3F9F1" w14:textId="77777777" w:rsidR="00FA1C3E" w:rsidRDefault="00DF00D8" w:rsidP="00B632D2">
            <w:r>
              <w:t>3 / 11</w:t>
            </w:r>
          </w:p>
        </w:tc>
      </w:tr>
    </w:tbl>
    <w:bookmarkEnd w:id="0"/>
    <w:p w14:paraId="331272AA" w14:textId="77777777" w:rsidR="00FA1C3E" w:rsidRDefault="00DF00D8" w:rsidP="00B632D2">
      <w:pPr>
        <w:pStyle w:val="3"/>
        <w:spacing w:line="240" w:lineRule="auto"/>
      </w:pPr>
      <w:r>
        <w:rPr>
          <w:rFonts w:ascii="Times New Roman" w:eastAsia="Times New Roman" w:hAnsi="Times New Roman"/>
        </w:rPr>
        <w:t>5.4.3. Equivalence estimand and exploratory TOST</w:t>
      </w:r>
    </w:p>
    <w:p w14:paraId="65C5C4B7" w14:textId="77777777" w:rsidR="00FA1C3E" w:rsidRPr="00322B42" w:rsidRDefault="00DF00D8" w:rsidP="00B632D2">
      <w:pPr>
        <w:spacing w:line="240" w:lineRule="auto"/>
        <w:jc w:val="both"/>
        <w:rPr>
          <w:lang w:val="en-US"/>
        </w:rPr>
      </w:pPr>
      <w:r>
        <w:rPr>
          <w:lang w:val="en-US"/>
        </w:rPr>
        <w:t xml:space="preserve">Equivalence is defined on the normalized population-average effect </w:t>
      </w:r>
      <w:r>
        <w:t>μ</w:t>
      </w:r>
      <w:r>
        <w:rPr>
          <w:lang w:val="en-US"/>
        </w:rPr>
        <w:t>: |</w:t>
      </w:r>
      <w:r>
        <w:t>μ</w:t>
      </w:r>
      <w:r>
        <w:rPr>
          <w:lang w:val="en-US"/>
        </w:rPr>
        <w:t xml:space="preserve">|&lt;2%, using the study-specific decision margin of Section 4.4. The exploratory TOST was not preregistered and is secondary to interval containment; it rejects effects at either boundary at </w:t>
      </w:r>
      <w:r>
        <w:t>α</w:t>
      </w:r>
      <w:r>
        <w:rPr>
          <w:lang w:val="en-US"/>
        </w:rPr>
        <w:t>=0.05. Three conclusions remain distinct: the pooled 90% interval addresses average equivalence, the prediction interval [−0.98%, +0.46%] addresses a future household, and containment of both within ±2% supports lack of practical benefit only in the evaluated regime.</w:t>
      </w:r>
    </w:p>
    <w:p w14:paraId="6F187BF7"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5.4.4. Why the original finding appeared</w:t>
      </w:r>
    </w:p>
    <w:p w14:paraId="1958AA9E" w14:textId="77777777" w:rsidR="00FA1C3E" w:rsidRPr="00322B42" w:rsidRDefault="00DF00D8" w:rsidP="00B632D2">
      <w:pPr>
        <w:spacing w:line="240" w:lineRule="auto"/>
        <w:jc w:val="both"/>
        <w:rPr>
          <w:lang w:val="en-US"/>
        </w:rPr>
      </w:pPr>
      <w:r>
        <w:rPr>
          <w:lang w:val="en-US"/>
        </w:rPr>
        <w:t>The earlier five-household result combined window-only uncertainty with a sample too small for the observed effect. Under the robust 10%-trimmed planning scenario, about 11 households are required for 80% power at a 1%-of-error effect; the untrimmed estimate, driven by one degenerate household, gives a conservative upper scenario of 41. The reconstruction explains how the standard procedure can yield a nominally significant claim when the pooled effect is negligible (Supplementary Section S6).</w:t>
      </w:r>
    </w:p>
    <w:p w14:paraId="79963AD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5.4.5. Robustness</w:t>
      </w:r>
    </w:p>
    <w:p w14:paraId="135C93AA" w14:textId="77777777" w:rsidR="00FA1C3E" w:rsidRPr="00322B42" w:rsidRDefault="00DF00D8" w:rsidP="00B632D2">
      <w:pPr>
        <w:spacing w:line="240" w:lineRule="auto"/>
        <w:jc w:val="both"/>
        <w:rPr>
          <w:lang w:val="en-US"/>
        </w:rPr>
      </w:pPr>
      <w:r>
        <w:rPr>
          <w:lang w:val="en-US"/>
        </w:rPr>
        <w:t>Leave-one-out and flagged-household exclusions keep the normalized pooled estimate between −0.15% and −0.35%, with every prediction interval inside the study-specific decision margin. The 10%-trimmed planning estimate is primary; the untrimmed 41-household result is a conservative upper scenario. Full influence diagnostics are reported in Supplementary Section S6.</w:t>
      </w:r>
    </w:p>
    <w:p w14:paraId="6199ABE9" w14:textId="77777777" w:rsidR="00147E50" w:rsidRPr="00F22774" w:rsidRDefault="005A00E2" w:rsidP="00B632D2">
      <w:pPr>
        <w:pStyle w:val="3"/>
        <w:spacing w:line="240" w:lineRule="auto"/>
        <w:ind w:firstLine="426"/>
        <w:rPr>
          <w:lang w:val="en-US"/>
        </w:rPr>
      </w:pPr>
      <w:r>
        <w:rPr>
          <w:rFonts w:ascii="Times New Roman" w:eastAsia="Times New Roman" w:hAnsi="Times New Roman"/>
          <w:lang w:val="en-US"/>
        </w:rPr>
        <w:t>5.4.6. What the analysis supports</w:t>
      </w:r>
    </w:p>
    <w:p w14:paraId="5F64EA9A" w14:textId="77777777" w:rsidR="00147E50" w:rsidRPr="00F22774" w:rsidRDefault="00147E50" w:rsidP="00B632D2">
      <w:pPr>
        <w:spacing w:line="240" w:lineRule="auto"/>
        <w:jc w:val="both"/>
        <w:rPr>
          <w:lang w:val="en-US"/>
        </w:rPr>
      </w:pPr>
      <w:r>
        <w:rPr>
          <w:rFonts w:cs="Times New Roman"/>
          <w:lang w:val="en-US"/>
        </w:rPr>
        <w:t>Three statements are supported by the pooling, in decreasing order of strength. The identity mechanism has no practically meaningful average effect on forecast accuracy under the conditions evaluated, and the prediction interval is narrow enough to say so rather than merely to fail to detect one. The apparent variation of the effect between households, which motivated the cross-dataset framing of the original study, is largely an artifact of attributing training variance to the wrong level of the hierarchy. And the number of households required to establish an architectural effect of the size typically claimed in this literature is one to two orders of magnitude larger than what is customarily used.</w:t>
      </w:r>
    </w:p>
    <w:p w14:paraId="3D88F16F" w14:textId="77777777" w:rsidR="007F05BC" w:rsidRPr="0001795F" w:rsidRDefault="00DD392A"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5: a preregistered replication on a second domain</w:t>
      </w:r>
    </w:p>
    <w:p w14:paraId="49A300D9" w14:textId="77777777" w:rsidR="007F05BC" w:rsidRPr="00DD392A" w:rsidRDefault="00DD392A" w:rsidP="00B632D2">
      <w:pPr>
        <w:pStyle w:val="3"/>
        <w:spacing w:line="240" w:lineRule="auto"/>
        <w:rPr>
          <w:lang w:val="en-US"/>
        </w:rPr>
      </w:pPr>
      <w:r>
        <w:rPr>
          <w:rFonts w:ascii="Times New Roman" w:eastAsia="Times New Roman" w:hAnsi="Times New Roman"/>
          <w:lang w:val="en-US"/>
        </w:rPr>
        <w:t>5.5.1. Design and registration</w:t>
      </w:r>
    </w:p>
    <w:p w14:paraId="0D64504A" w14:textId="77777777" w:rsidR="007F05BC" w:rsidRPr="00DD392A" w:rsidRDefault="00DD392A" w:rsidP="00B632D2">
      <w:pPr>
        <w:spacing w:line="240" w:lineRule="auto"/>
        <w:jc w:val="both"/>
        <w:rPr>
          <w:rFonts w:cs="Times New Roman"/>
          <w:lang w:val="en-US"/>
        </w:rPr>
      </w:pPr>
      <w:r>
        <w:rPr>
          <w:lang w:val="en-US"/>
        </w:rPr>
        <w:t>Everything reported so far was obtained on residential load. The preregistered ECL study tests whether the regime-level ordering of training and evaluation uncertainty transfers to more regular commercial and industrial series under a design fixed before the first training run. It does not test a universal magnitude.</w:t>
      </w:r>
    </w:p>
    <w:p w14:paraId="5C68D6FC" w14:textId="77777777" w:rsidR="007F05BC" w:rsidRPr="00DD392A" w:rsidRDefault="00DD392A" w:rsidP="00B632D2">
      <w:pPr>
        <w:spacing w:line="240" w:lineRule="auto"/>
        <w:jc w:val="both"/>
        <w:rPr>
          <w:rFonts w:cs="Times New Roman"/>
          <w:lang w:val="en-US"/>
        </w:rPr>
      </w:pPr>
      <w:r>
        <w:rPr>
          <w:lang w:val="en-US"/>
        </w:rPr>
        <w:t>ECL contains 321 predominantly commercial and industrial hourly series. Seventeen eligible clients were selected with a fixed seed; preprocessing and hyperparameters were frozen from the household study. Eligibility, sampling, deviations and complete configuration details are reported in Supplementary Section S6 and the registration archive.</w:t>
      </w:r>
    </w:p>
    <w:p w14:paraId="3D0C72EA" w14:textId="77777777" w:rsidR="007F05BC" w:rsidRPr="00DD392A" w:rsidRDefault="00DD392A" w:rsidP="00B632D2">
      <w:pPr>
        <w:spacing w:line="240" w:lineRule="auto"/>
        <w:jc w:val="both"/>
        <w:rPr>
          <w:rFonts w:cs="Times New Roman"/>
          <w:lang w:val="en-US"/>
        </w:rPr>
      </w:pPr>
      <w:r>
        <w:rPr>
          <w:lang w:val="en-US"/>
        </w:rPr>
        <w:lastRenderedPageBreak/>
        <w:t>The primary design uses 120 disjoint windows per client, with all available 157 windows as a registered sensitivity analysis. Effects are normalized by each client’s persistence error because mean consumption spans three orders of magnitude.</w:t>
      </w:r>
    </w:p>
    <w:p w14:paraId="21A14E08" w14:textId="77777777" w:rsidR="007F05BC" w:rsidRPr="00DD392A" w:rsidRDefault="00DD392A" w:rsidP="00B632D2">
      <w:pPr>
        <w:pStyle w:val="3"/>
        <w:spacing w:line="240" w:lineRule="auto"/>
        <w:rPr>
          <w:lang w:val="en-US"/>
        </w:rPr>
      </w:pPr>
      <w:r>
        <w:rPr>
          <w:rFonts w:ascii="Times New Roman" w:eastAsia="Times New Roman" w:hAnsi="Times New Roman"/>
          <w:lang w:val="en-US"/>
        </w:rPr>
        <w:t>5.5.2. What replicated</w:t>
      </w:r>
    </w:p>
    <w:p w14:paraId="443B4646" w14:textId="77777777" w:rsidR="00FA1C3E" w:rsidRPr="00322B42" w:rsidRDefault="00DF00D8" w:rsidP="00B632D2">
      <w:pPr>
        <w:spacing w:line="240" w:lineRule="auto"/>
        <w:jc w:val="both"/>
        <w:rPr>
          <w:lang w:val="en-US"/>
        </w:rPr>
      </w:pPr>
      <w:r>
        <w:rPr>
          <w:lang w:val="en-US"/>
        </w:rPr>
        <w:t>Both preregistered criteria were met: at 120 windows the median estimated seed share was 83%, the median seed-to-evaluation ratio was 4.9, and a minority contribution was excluded for 10/17 clients. Unit-level intervals remain wide, so confirmation applies to the registered aggregate criteria rather than every client. Branch masking also reappeared (Supplementary Section S6).</w:t>
      </w:r>
    </w:p>
    <w:p w14:paraId="3103BC34" w14:textId="77777777" w:rsidR="007F05BC" w:rsidRPr="00DD392A" w:rsidRDefault="00DD392A" w:rsidP="00B632D2">
      <w:pPr>
        <w:pStyle w:val="3"/>
        <w:spacing w:line="240" w:lineRule="auto"/>
        <w:rPr>
          <w:lang w:val="en-US"/>
        </w:rPr>
      </w:pPr>
      <w:r>
        <w:rPr>
          <w:rFonts w:ascii="Times New Roman" w:eastAsia="Times New Roman" w:hAnsi="Times New Roman"/>
          <w:lang w:val="en-US"/>
        </w:rPr>
        <w:t>5.5.3. What did not replicate</w:t>
      </w:r>
    </w:p>
    <w:p w14:paraId="7757E962" w14:textId="77777777" w:rsidR="00FA1C3E" w:rsidRPr="00322B42" w:rsidRDefault="00DF00D8" w:rsidP="00B632D2">
      <w:pPr>
        <w:spacing w:line="240" w:lineRule="auto"/>
        <w:jc w:val="both"/>
        <w:rPr>
          <w:lang w:val="en-US"/>
        </w:rPr>
      </w:pPr>
      <w:r>
        <w:rPr>
          <w:lang w:val="en-US"/>
        </w:rPr>
        <w:t>Magnitude and secondary patterns were domain-dependent: the ratio was smaller than in households, branch-level heterogeneity disappeared, and the embedding-effect sign split reversed. We retain the confirmatory claim that the registered aggregate variance criteria were met, but not a universal magnitude, sign or branch-level heterogeneity claim (Supplementary Section S6).</w:t>
      </w:r>
    </w:p>
    <w:p w14:paraId="02A15449" w14:textId="77777777" w:rsidR="007F05BC" w:rsidRPr="00DD392A" w:rsidRDefault="00DD392A" w:rsidP="00B632D2">
      <w:pPr>
        <w:pStyle w:val="3"/>
        <w:spacing w:line="240" w:lineRule="auto"/>
        <w:rPr>
          <w:lang w:val="en-US"/>
        </w:rPr>
      </w:pPr>
      <w:r>
        <w:rPr>
          <w:rFonts w:ascii="Times New Roman" w:eastAsia="Times New Roman" w:hAnsi="Times New Roman"/>
          <w:lang w:val="en-US"/>
        </w:rPr>
        <w:t>5.5.4. Sensitivity to the evaluation design</w:t>
      </w:r>
    </w:p>
    <w:p w14:paraId="022B156B" w14:textId="77777777" w:rsidR="00FA1C3E" w:rsidRPr="00322B42" w:rsidRDefault="00DF00D8" w:rsidP="00B632D2">
      <w:pPr>
        <w:spacing w:line="240" w:lineRule="auto"/>
        <w:jc w:val="both"/>
        <w:rPr>
          <w:lang w:val="en-US"/>
        </w:rPr>
      </w:pPr>
      <w:r>
        <w:rPr>
          <w:lang w:val="en-US"/>
        </w:rPr>
        <w:t>Both preregistered success criteria hold under the 120-window primary design and the full 157-window check; the median seed share is 83% and 81%, respectively, and the sign split is unchanged. The slight decline in share reflects a harder later test segment rather than invariance to evaluation composition (Supplementary Section S6).</w:t>
      </w:r>
    </w:p>
    <w:p w14:paraId="49E15362" w14:textId="77777777" w:rsidR="00FA1C3E" w:rsidRPr="00322B42" w:rsidRDefault="00DF00D8" w:rsidP="00B632D2">
      <w:pPr>
        <w:spacing w:line="240" w:lineRule="auto"/>
        <w:jc w:val="both"/>
        <w:rPr>
          <w:lang w:val="en-US"/>
        </w:rPr>
      </w:pPr>
      <w:r>
        <w:rPr>
          <w:lang w:val="en-US"/>
        </w:rPr>
        <w:t>Table 6. Cross-domain summary of the central variance result. Shares depend on S and W; the ratio is less design-dependent but remains imprecise with five seeds.</w:t>
      </w:r>
    </w:p>
    <w:tbl>
      <w:tblPr>
        <w:tblStyle w:val="a8"/>
        <w:tblW w:w="0" w:type="auto"/>
        <w:tblLayout w:type="fixed"/>
        <w:tblLook w:val="04A0" w:firstRow="1" w:lastRow="0" w:firstColumn="1" w:lastColumn="0" w:noHBand="0" w:noVBand="1"/>
      </w:tblPr>
      <w:tblGrid>
        <w:gridCol w:w="1440"/>
        <w:gridCol w:w="648"/>
        <w:gridCol w:w="1152"/>
        <w:gridCol w:w="1584"/>
        <w:gridCol w:w="1152"/>
        <w:gridCol w:w="2232"/>
      </w:tblGrid>
      <w:tr w:rsidR="00FA1C3E" w14:paraId="467AD6B0" w14:textId="77777777">
        <w:tc>
          <w:tcPr>
            <w:tcW w:w="1440" w:type="dxa"/>
            <w:vAlign w:val="center"/>
          </w:tcPr>
          <w:p w14:paraId="6448B933" w14:textId="77777777" w:rsidR="00FA1C3E" w:rsidRPr="00983CC2" w:rsidRDefault="00DF00D8" w:rsidP="00B632D2">
            <w:pPr>
              <w:rPr>
                <w:sz w:val="18"/>
                <w:szCs w:val="18"/>
              </w:rPr>
            </w:pPr>
            <w:r>
              <w:rPr>
                <w:b/>
                <w:sz w:val="18"/>
                <w:szCs w:val="18"/>
              </w:rPr>
              <w:t>Domain</w:t>
            </w:r>
          </w:p>
        </w:tc>
        <w:tc>
          <w:tcPr>
            <w:tcW w:w="648" w:type="dxa"/>
            <w:vAlign w:val="center"/>
          </w:tcPr>
          <w:p w14:paraId="54F5D396" w14:textId="77777777" w:rsidR="00FA1C3E" w:rsidRPr="00983CC2" w:rsidRDefault="00DF00D8" w:rsidP="00B632D2">
            <w:pPr>
              <w:rPr>
                <w:sz w:val="18"/>
                <w:szCs w:val="18"/>
              </w:rPr>
            </w:pPr>
            <w:r>
              <w:rPr>
                <w:b/>
                <w:sz w:val="18"/>
                <w:szCs w:val="18"/>
              </w:rPr>
              <w:t>Units</w:t>
            </w:r>
          </w:p>
        </w:tc>
        <w:tc>
          <w:tcPr>
            <w:tcW w:w="1152" w:type="dxa"/>
            <w:vAlign w:val="center"/>
          </w:tcPr>
          <w:p w14:paraId="75C2F735" w14:textId="77777777" w:rsidR="00FA1C3E" w:rsidRPr="00983CC2" w:rsidRDefault="00DF00D8" w:rsidP="00B632D2">
            <w:pPr>
              <w:rPr>
                <w:sz w:val="18"/>
                <w:szCs w:val="18"/>
              </w:rPr>
            </w:pPr>
            <w:r>
              <w:rPr>
                <w:b/>
                <w:sz w:val="18"/>
                <w:szCs w:val="18"/>
              </w:rPr>
              <w:t>S / W</w:t>
            </w:r>
          </w:p>
        </w:tc>
        <w:tc>
          <w:tcPr>
            <w:tcW w:w="1584" w:type="dxa"/>
            <w:vAlign w:val="center"/>
          </w:tcPr>
          <w:p w14:paraId="5392A4AA" w14:textId="77777777" w:rsidR="00FA1C3E" w:rsidRPr="00983CC2" w:rsidRDefault="00DF00D8" w:rsidP="00B632D2">
            <w:pPr>
              <w:rPr>
                <w:sz w:val="18"/>
                <w:szCs w:val="18"/>
              </w:rPr>
            </w:pPr>
            <w:r>
              <w:rPr>
                <w:b/>
                <w:sz w:val="18"/>
                <w:szCs w:val="18"/>
              </w:rPr>
              <w:t>Median seed share</w:t>
            </w:r>
          </w:p>
        </w:tc>
        <w:tc>
          <w:tcPr>
            <w:tcW w:w="1152" w:type="dxa"/>
            <w:vAlign w:val="center"/>
          </w:tcPr>
          <w:p w14:paraId="3BC3E3B3" w14:textId="77777777" w:rsidR="00FA1C3E" w:rsidRPr="00983CC2" w:rsidRDefault="00DF00D8" w:rsidP="00B632D2">
            <w:pPr>
              <w:rPr>
                <w:sz w:val="18"/>
                <w:szCs w:val="18"/>
              </w:rPr>
            </w:pPr>
            <w:r>
              <w:rPr>
                <w:b/>
                <w:sz w:val="18"/>
                <w:szCs w:val="18"/>
              </w:rPr>
              <w:t>Median ratio</w:t>
            </w:r>
          </w:p>
        </w:tc>
        <w:tc>
          <w:tcPr>
            <w:tcW w:w="2232" w:type="dxa"/>
            <w:vAlign w:val="center"/>
          </w:tcPr>
          <w:p w14:paraId="650330FA" w14:textId="77777777" w:rsidR="00FA1C3E" w:rsidRPr="00983CC2" w:rsidRDefault="00DF00D8" w:rsidP="00B632D2">
            <w:pPr>
              <w:rPr>
                <w:sz w:val="18"/>
                <w:szCs w:val="18"/>
              </w:rPr>
            </w:pPr>
            <w:r>
              <w:rPr>
                <w:b/>
                <w:sz w:val="18"/>
                <w:szCs w:val="18"/>
              </w:rPr>
              <w:t>Inferential status</w:t>
            </w:r>
          </w:p>
        </w:tc>
      </w:tr>
      <w:tr w:rsidR="00FA1C3E" w14:paraId="26E9A0FA" w14:textId="77777777">
        <w:tc>
          <w:tcPr>
            <w:tcW w:w="1440" w:type="dxa"/>
            <w:vAlign w:val="center"/>
          </w:tcPr>
          <w:p w14:paraId="718AFF0B" w14:textId="77777777" w:rsidR="00FA1C3E" w:rsidRPr="00983CC2" w:rsidRDefault="00DF00D8" w:rsidP="00B632D2">
            <w:pPr>
              <w:rPr>
                <w:sz w:val="18"/>
                <w:szCs w:val="18"/>
              </w:rPr>
            </w:pPr>
            <w:r>
              <w:rPr>
                <w:sz w:val="18"/>
                <w:szCs w:val="18"/>
              </w:rPr>
              <w:t>Households</w:t>
            </w:r>
          </w:p>
        </w:tc>
        <w:tc>
          <w:tcPr>
            <w:tcW w:w="648" w:type="dxa"/>
            <w:vAlign w:val="center"/>
          </w:tcPr>
          <w:p w14:paraId="7C67326B" w14:textId="77777777" w:rsidR="00FA1C3E" w:rsidRPr="00983CC2" w:rsidRDefault="00DF00D8" w:rsidP="00B632D2">
            <w:pPr>
              <w:rPr>
                <w:sz w:val="18"/>
                <w:szCs w:val="18"/>
              </w:rPr>
            </w:pPr>
            <w:r>
              <w:rPr>
                <w:sz w:val="18"/>
                <w:szCs w:val="18"/>
              </w:rPr>
              <w:t>17</w:t>
            </w:r>
          </w:p>
        </w:tc>
        <w:tc>
          <w:tcPr>
            <w:tcW w:w="1152" w:type="dxa"/>
            <w:vAlign w:val="center"/>
          </w:tcPr>
          <w:p w14:paraId="1E062297" w14:textId="77777777" w:rsidR="00FA1C3E" w:rsidRPr="00983CC2" w:rsidRDefault="00DF00D8" w:rsidP="00B632D2">
            <w:pPr>
              <w:rPr>
                <w:sz w:val="18"/>
                <w:szCs w:val="18"/>
              </w:rPr>
            </w:pPr>
            <w:r>
              <w:rPr>
                <w:sz w:val="18"/>
                <w:szCs w:val="18"/>
              </w:rPr>
              <w:t>5 / 78–218</w:t>
            </w:r>
          </w:p>
        </w:tc>
        <w:tc>
          <w:tcPr>
            <w:tcW w:w="1584" w:type="dxa"/>
            <w:vAlign w:val="center"/>
          </w:tcPr>
          <w:p w14:paraId="6C69CE19" w14:textId="77777777" w:rsidR="00FA1C3E" w:rsidRPr="00983CC2" w:rsidRDefault="00DF00D8" w:rsidP="00B632D2">
            <w:pPr>
              <w:rPr>
                <w:sz w:val="18"/>
                <w:szCs w:val="18"/>
              </w:rPr>
            </w:pPr>
            <w:r>
              <w:rPr>
                <w:sz w:val="18"/>
                <w:szCs w:val="18"/>
              </w:rPr>
              <w:t>83%</w:t>
            </w:r>
          </w:p>
        </w:tc>
        <w:tc>
          <w:tcPr>
            <w:tcW w:w="1152" w:type="dxa"/>
            <w:vAlign w:val="center"/>
          </w:tcPr>
          <w:p w14:paraId="32148DB8" w14:textId="77777777" w:rsidR="00FA1C3E" w:rsidRPr="00983CC2" w:rsidRDefault="00DF00D8" w:rsidP="00B632D2">
            <w:pPr>
              <w:rPr>
                <w:sz w:val="18"/>
                <w:szCs w:val="18"/>
              </w:rPr>
            </w:pPr>
            <w:r>
              <w:rPr>
                <w:sz w:val="18"/>
                <w:szCs w:val="18"/>
              </w:rPr>
              <w:t>24</w:t>
            </w:r>
          </w:p>
        </w:tc>
        <w:tc>
          <w:tcPr>
            <w:tcW w:w="2232" w:type="dxa"/>
            <w:vAlign w:val="center"/>
          </w:tcPr>
          <w:p w14:paraId="598D9067" w14:textId="77777777" w:rsidR="00FA1C3E" w:rsidRPr="00983CC2" w:rsidRDefault="00DF00D8" w:rsidP="00B632D2">
            <w:pPr>
              <w:rPr>
                <w:sz w:val="18"/>
                <w:szCs w:val="18"/>
              </w:rPr>
            </w:pPr>
            <w:r>
              <w:rPr>
                <w:sz w:val="18"/>
                <w:szCs w:val="18"/>
              </w:rPr>
              <w:t>Exploratory</w:t>
            </w:r>
          </w:p>
        </w:tc>
      </w:tr>
      <w:tr w:rsidR="00FA1C3E" w14:paraId="07B3B0E7" w14:textId="77777777">
        <w:tc>
          <w:tcPr>
            <w:tcW w:w="1440" w:type="dxa"/>
            <w:vAlign w:val="center"/>
          </w:tcPr>
          <w:p w14:paraId="6BD15D53" w14:textId="77777777" w:rsidR="00FA1C3E" w:rsidRPr="00983CC2" w:rsidRDefault="00DF00D8" w:rsidP="00B632D2">
            <w:pPr>
              <w:rPr>
                <w:sz w:val="18"/>
                <w:szCs w:val="18"/>
              </w:rPr>
            </w:pPr>
            <w:r>
              <w:rPr>
                <w:sz w:val="18"/>
                <w:szCs w:val="18"/>
              </w:rPr>
              <w:t>ECL primary</w:t>
            </w:r>
          </w:p>
        </w:tc>
        <w:tc>
          <w:tcPr>
            <w:tcW w:w="648" w:type="dxa"/>
            <w:vAlign w:val="center"/>
          </w:tcPr>
          <w:p w14:paraId="59F6366E" w14:textId="77777777" w:rsidR="00FA1C3E" w:rsidRPr="00983CC2" w:rsidRDefault="00DF00D8" w:rsidP="00B632D2">
            <w:pPr>
              <w:rPr>
                <w:sz w:val="18"/>
                <w:szCs w:val="18"/>
              </w:rPr>
            </w:pPr>
            <w:r>
              <w:rPr>
                <w:sz w:val="18"/>
                <w:szCs w:val="18"/>
              </w:rPr>
              <w:t>17</w:t>
            </w:r>
          </w:p>
        </w:tc>
        <w:tc>
          <w:tcPr>
            <w:tcW w:w="1152" w:type="dxa"/>
            <w:vAlign w:val="center"/>
          </w:tcPr>
          <w:p w14:paraId="55930EC6" w14:textId="77777777" w:rsidR="00FA1C3E" w:rsidRPr="00983CC2" w:rsidRDefault="00DF00D8" w:rsidP="00B632D2">
            <w:pPr>
              <w:rPr>
                <w:sz w:val="18"/>
                <w:szCs w:val="18"/>
              </w:rPr>
            </w:pPr>
            <w:r>
              <w:rPr>
                <w:sz w:val="18"/>
                <w:szCs w:val="18"/>
              </w:rPr>
              <w:t>5 / 120</w:t>
            </w:r>
          </w:p>
        </w:tc>
        <w:tc>
          <w:tcPr>
            <w:tcW w:w="1584" w:type="dxa"/>
            <w:vAlign w:val="center"/>
          </w:tcPr>
          <w:p w14:paraId="05AAA297" w14:textId="77777777" w:rsidR="00FA1C3E" w:rsidRPr="00983CC2" w:rsidRDefault="00DF00D8" w:rsidP="00B632D2">
            <w:pPr>
              <w:rPr>
                <w:sz w:val="18"/>
                <w:szCs w:val="18"/>
              </w:rPr>
            </w:pPr>
            <w:r>
              <w:rPr>
                <w:sz w:val="18"/>
                <w:szCs w:val="18"/>
              </w:rPr>
              <w:t>83%</w:t>
            </w:r>
          </w:p>
        </w:tc>
        <w:tc>
          <w:tcPr>
            <w:tcW w:w="1152" w:type="dxa"/>
            <w:vAlign w:val="center"/>
          </w:tcPr>
          <w:p w14:paraId="7E2C3A77" w14:textId="77777777" w:rsidR="00FA1C3E" w:rsidRPr="00983CC2" w:rsidRDefault="00DF00D8" w:rsidP="00B632D2">
            <w:pPr>
              <w:rPr>
                <w:sz w:val="18"/>
                <w:szCs w:val="18"/>
              </w:rPr>
            </w:pPr>
            <w:r>
              <w:rPr>
                <w:sz w:val="18"/>
                <w:szCs w:val="18"/>
              </w:rPr>
              <w:t>4.9</w:t>
            </w:r>
          </w:p>
        </w:tc>
        <w:tc>
          <w:tcPr>
            <w:tcW w:w="2232" w:type="dxa"/>
            <w:vAlign w:val="center"/>
          </w:tcPr>
          <w:p w14:paraId="01CBEF9B" w14:textId="77777777" w:rsidR="00FA1C3E" w:rsidRPr="00983CC2" w:rsidRDefault="00DF00D8" w:rsidP="00B632D2">
            <w:pPr>
              <w:rPr>
                <w:sz w:val="18"/>
                <w:szCs w:val="18"/>
              </w:rPr>
            </w:pPr>
            <w:r>
              <w:rPr>
                <w:sz w:val="18"/>
                <w:szCs w:val="18"/>
              </w:rPr>
              <w:t>Preregistered</w:t>
            </w:r>
          </w:p>
        </w:tc>
      </w:tr>
      <w:tr w:rsidR="00FA1C3E" w14:paraId="6B19F018" w14:textId="77777777">
        <w:tc>
          <w:tcPr>
            <w:tcW w:w="1440" w:type="dxa"/>
            <w:vAlign w:val="center"/>
          </w:tcPr>
          <w:p w14:paraId="13964C1D" w14:textId="77777777" w:rsidR="00FA1C3E" w:rsidRPr="00983CC2" w:rsidRDefault="00DF00D8" w:rsidP="00B632D2">
            <w:pPr>
              <w:rPr>
                <w:sz w:val="18"/>
                <w:szCs w:val="18"/>
              </w:rPr>
            </w:pPr>
            <w:r>
              <w:rPr>
                <w:sz w:val="18"/>
                <w:szCs w:val="18"/>
              </w:rPr>
              <w:t>ECL sensitivity</w:t>
            </w:r>
          </w:p>
        </w:tc>
        <w:tc>
          <w:tcPr>
            <w:tcW w:w="648" w:type="dxa"/>
            <w:vAlign w:val="center"/>
          </w:tcPr>
          <w:p w14:paraId="07F2B5DE" w14:textId="77777777" w:rsidR="00FA1C3E" w:rsidRPr="00983CC2" w:rsidRDefault="00DF00D8" w:rsidP="00B632D2">
            <w:pPr>
              <w:rPr>
                <w:sz w:val="18"/>
                <w:szCs w:val="18"/>
              </w:rPr>
            </w:pPr>
            <w:r>
              <w:rPr>
                <w:sz w:val="18"/>
                <w:szCs w:val="18"/>
              </w:rPr>
              <w:t>17</w:t>
            </w:r>
          </w:p>
        </w:tc>
        <w:tc>
          <w:tcPr>
            <w:tcW w:w="1152" w:type="dxa"/>
            <w:vAlign w:val="center"/>
          </w:tcPr>
          <w:p w14:paraId="0537B8DE" w14:textId="77777777" w:rsidR="00FA1C3E" w:rsidRPr="00983CC2" w:rsidRDefault="00DF00D8" w:rsidP="00B632D2">
            <w:pPr>
              <w:rPr>
                <w:sz w:val="18"/>
                <w:szCs w:val="18"/>
              </w:rPr>
            </w:pPr>
            <w:r>
              <w:rPr>
                <w:sz w:val="18"/>
                <w:szCs w:val="18"/>
              </w:rPr>
              <w:t>5 / 157</w:t>
            </w:r>
          </w:p>
        </w:tc>
        <w:tc>
          <w:tcPr>
            <w:tcW w:w="1584" w:type="dxa"/>
            <w:vAlign w:val="center"/>
          </w:tcPr>
          <w:p w14:paraId="45BBC2C0" w14:textId="77777777" w:rsidR="00FA1C3E" w:rsidRPr="00983CC2" w:rsidRDefault="00DF00D8" w:rsidP="00B632D2">
            <w:pPr>
              <w:rPr>
                <w:sz w:val="18"/>
                <w:szCs w:val="18"/>
              </w:rPr>
            </w:pPr>
            <w:r>
              <w:rPr>
                <w:sz w:val="18"/>
                <w:szCs w:val="18"/>
              </w:rPr>
              <w:t>81%</w:t>
            </w:r>
          </w:p>
        </w:tc>
        <w:tc>
          <w:tcPr>
            <w:tcW w:w="1152" w:type="dxa"/>
            <w:vAlign w:val="center"/>
          </w:tcPr>
          <w:p w14:paraId="4F2B1462" w14:textId="77777777" w:rsidR="00FA1C3E" w:rsidRPr="00983CC2" w:rsidRDefault="00DF00D8" w:rsidP="00B632D2">
            <w:pPr>
              <w:rPr>
                <w:sz w:val="18"/>
                <w:szCs w:val="18"/>
              </w:rPr>
            </w:pPr>
            <w:r>
              <w:rPr>
                <w:sz w:val="18"/>
                <w:szCs w:val="18"/>
              </w:rPr>
              <w:t>4.1</w:t>
            </w:r>
          </w:p>
        </w:tc>
        <w:tc>
          <w:tcPr>
            <w:tcW w:w="2232" w:type="dxa"/>
            <w:vAlign w:val="center"/>
          </w:tcPr>
          <w:p w14:paraId="42B9C07A" w14:textId="77777777" w:rsidR="00FA1C3E" w:rsidRPr="00983CC2" w:rsidRDefault="00DF00D8" w:rsidP="00B632D2">
            <w:pPr>
              <w:rPr>
                <w:sz w:val="18"/>
                <w:szCs w:val="18"/>
              </w:rPr>
            </w:pPr>
            <w:r>
              <w:rPr>
                <w:sz w:val="18"/>
                <w:szCs w:val="18"/>
              </w:rPr>
              <w:t>Registered sensitivity</w:t>
            </w:r>
          </w:p>
        </w:tc>
      </w:tr>
    </w:tbl>
    <w:p w14:paraId="5D1CB883" w14:textId="77777777" w:rsidR="00FA1C3E" w:rsidRPr="00E823F0" w:rsidRDefault="00DF00D8" w:rsidP="00B632D2">
      <w:pPr>
        <w:pStyle w:val="2"/>
        <w:numPr>
          <w:ilvl w:val="1"/>
          <w:numId w:val="1"/>
        </w:numPr>
        <w:spacing w:line="240" w:lineRule="auto"/>
        <w:rPr>
          <w:rFonts w:ascii="Times New Roman" w:eastAsia="Times New Roman" w:hAnsi="Times New Roman"/>
          <w:lang w:val="en-US"/>
        </w:rPr>
      </w:pPr>
      <w:r>
        <w:rPr>
          <w:rFonts w:ascii="Times New Roman" w:eastAsia="Times New Roman" w:hAnsi="Times New Roman"/>
          <w:lang w:val="en-US"/>
        </w:rPr>
        <w:t>Result 6: feature identity beyond energy forecasting</w:t>
      </w:r>
    </w:p>
    <w:p w14:paraId="31DF53BB" w14:textId="77777777" w:rsidR="00FA1C3E" w:rsidRPr="00322B42" w:rsidRDefault="00DF00D8" w:rsidP="00B632D2">
      <w:pPr>
        <w:pStyle w:val="3"/>
        <w:spacing w:line="240" w:lineRule="auto"/>
        <w:rPr>
          <w:lang w:val="en-US"/>
        </w:rPr>
      </w:pPr>
      <w:r>
        <w:rPr>
          <w:rFonts w:ascii="Times New Roman" w:eastAsia="Times New Roman" w:hAnsi="Times New Roman"/>
          <w:lang w:val="en-US"/>
        </w:rPr>
        <w:t>5.6.1. Pooled effects across OpenML-CC18</w:t>
      </w:r>
    </w:p>
    <w:p w14:paraId="5F9BF41D" w14:textId="77777777" w:rsidR="00FA1C3E" w:rsidRPr="00322B42" w:rsidRDefault="00DF00D8" w:rsidP="00B632D2">
      <w:pPr>
        <w:spacing w:line="240" w:lineRule="auto"/>
        <w:jc w:val="both"/>
        <w:rPr>
          <w:lang w:val="en-US"/>
        </w:rPr>
      </w:pPr>
      <w:r>
        <w:rPr>
          <w:lang w:val="en-US"/>
        </w:rPr>
        <w:t>Across OpenML-CC18, the apparent feature-identity conclusion depends on task and metric. Balanced error increases on 14/17 tasks, but the REML–modified-Hartung–Knapp pooled increase of 0.930 percentage points remains uncertain (95% CI [−0.039, 1.898], p=0.059; I²=71.6%). Cross-entropy changes on 13 tasks and gives a nominally non-zero pooled effect, but that conclusion is not robust to minimum-test-size restrictions. The scope probe therefore supports heterogeneity and observation-scale dependence, not a universal feature-identity benefit.</w:t>
      </w:r>
    </w:p>
    <w:p w14:paraId="7CF0EBCD" w14:textId="77777777" w:rsidR="00FA1C3E" w:rsidRPr="00322B42" w:rsidRDefault="00DF00D8" w:rsidP="00B632D2">
      <w:pPr>
        <w:spacing w:line="240" w:lineRule="auto"/>
        <w:jc w:val="both"/>
        <w:rPr>
          <w:lang w:val="en-US"/>
        </w:rPr>
      </w:pPr>
      <w:r>
        <w:rPr>
          <w:lang w:val="en-US"/>
        </w:rPr>
        <w:t>Table 7. Pooled OpenML-CC18 scope-probe results. Positive effects indicate worse performance after removal of the tokenizer identity term. REML with modified Hartung–Knapp inference is used; no household decision margin is transferred to this domain.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1133"/>
        <w:gridCol w:w="1700"/>
        <w:gridCol w:w="2324"/>
        <w:gridCol w:w="1133"/>
      </w:tblGrid>
      <w:tr w:rsidR="00FA1C3E" w14:paraId="6E94A3CB" w14:textId="77777777" w:rsidTr="007B08A9">
        <w:trPr>
          <w:tblHeader/>
        </w:trPr>
        <w:tc>
          <w:tcPr>
            <w:tcW w:w="1700" w:type="dxa"/>
          </w:tcPr>
          <w:p w14:paraId="41930D8F" w14:textId="77777777" w:rsidR="00FA1C3E" w:rsidRPr="00983CC2" w:rsidRDefault="00DF00D8" w:rsidP="00B632D2">
            <w:pPr>
              <w:spacing w:after="0" w:line="240" w:lineRule="auto"/>
              <w:rPr>
                <w:sz w:val="18"/>
                <w:szCs w:val="18"/>
              </w:rPr>
            </w:pPr>
            <w:r>
              <w:rPr>
                <w:b/>
                <w:sz w:val="18"/>
                <w:szCs w:val="18"/>
              </w:rPr>
              <w:t>Metric</w:t>
            </w:r>
          </w:p>
        </w:tc>
        <w:tc>
          <w:tcPr>
            <w:tcW w:w="1133" w:type="dxa"/>
          </w:tcPr>
          <w:p w14:paraId="417C0AFB" w14:textId="77777777" w:rsidR="00FA1C3E" w:rsidRPr="00983CC2" w:rsidRDefault="00DF00D8" w:rsidP="00B632D2">
            <w:pPr>
              <w:spacing w:after="0" w:line="240" w:lineRule="auto"/>
              <w:jc w:val="center"/>
              <w:rPr>
                <w:sz w:val="18"/>
                <w:szCs w:val="18"/>
              </w:rPr>
            </w:pPr>
            <w:r>
              <w:rPr>
                <w:b/>
                <w:sz w:val="18"/>
                <w:szCs w:val="18"/>
              </w:rPr>
              <w:t>Positive tasks</w:t>
            </w:r>
          </w:p>
        </w:tc>
        <w:tc>
          <w:tcPr>
            <w:tcW w:w="1700" w:type="dxa"/>
          </w:tcPr>
          <w:p w14:paraId="4EBE0577" w14:textId="77777777" w:rsidR="00FA1C3E" w:rsidRPr="00983CC2" w:rsidRDefault="00DF00D8" w:rsidP="00B632D2">
            <w:pPr>
              <w:spacing w:after="0" w:line="240" w:lineRule="auto"/>
              <w:jc w:val="center"/>
              <w:rPr>
                <w:sz w:val="18"/>
                <w:szCs w:val="18"/>
              </w:rPr>
            </w:pPr>
            <w:r>
              <w:rPr>
                <w:b/>
                <w:sz w:val="18"/>
                <w:szCs w:val="18"/>
              </w:rPr>
              <w:t>Pooled effect</w:t>
            </w:r>
          </w:p>
        </w:tc>
        <w:tc>
          <w:tcPr>
            <w:tcW w:w="2324" w:type="dxa"/>
          </w:tcPr>
          <w:p w14:paraId="6AE48E9A" w14:textId="77777777" w:rsidR="00FA1C3E" w:rsidRPr="00983CC2" w:rsidRDefault="00DF00D8" w:rsidP="00B632D2">
            <w:pPr>
              <w:spacing w:after="0" w:line="240" w:lineRule="auto"/>
              <w:jc w:val="center"/>
              <w:rPr>
                <w:sz w:val="18"/>
                <w:szCs w:val="18"/>
              </w:rPr>
            </w:pPr>
            <w:r>
              <w:rPr>
                <w:b/>
                <w:sz w:val="18"/>
                <w:szCs w:val="18"/>
              </w:rPr>
              <w:t>95% HK CI</w:t>
            </w:r>
          </w:p>
        </w:tc>
        <w:tc>
          <w:tcPr>
            <w:tcW w:w="1133" w:type="dxa"/>
          </w:tcPr>
          <w:p w14:paraId="5D3FAB1F" w14:textId="77777777" w:rsidR="00FA1C3E" w:rsidRPr="00983CC2" w:rsidRDefault="00DF00D8" w:rsidP="00B632D2">
            <w:pPr>
              <w:spacing w:after="0" w:line="240" w:lineRule="auto"/>
              <w:jc w:val="center"/>
              <w:rPr>
                <w:sz w:val="18"/>
                <w:szCs w:val="18"/>
              </w:rPr>
            </w:pPr>
            <w:r>
              <w:rPr>
                <w:b/>
                <w:sz w:val="18"/>
                <w:szCs w:val="18"/>
              </w:rPr>
              <w:t>I²</w:t>
            </w:r>
          </w:p>
        </w:tc>
      </w:tr>
      <w:tr w:rsidR="00FA1C3E" w14:paraId="2BB85343" w14:textId="77777777" w:rsidTr="007B08A9">
        <w:tc>
          <w:tcPr>
            <w:tcW w:w="1700" w:type="dxa"/>
          </w:tcPr>
          <w:p w14:paraId="575C934A" w14:textId="77777777" w:rsidR="00FA1C3E" w:rsidRPr="00983CC2" w:rsidRDefault="00DF00D8" w:rsidP="00B632D2">
            <w:pPr>
              <w:spacing w:after="0" w:line="240" w:lineRule="auto"/>
              <w:rPr>
                <w:sz w:val="18"/>
                <w:szCs w:val="18"/>
              </w:rPr>
            </w:pPr>
            <w:r>
              <w:rPr>
                <w:sz w:val="18"/>
                <w:szCs w:val="18"/>
              </w:rPr>
              <w:t>Balanced error, pp</w:t>
            </w:r>
          </w:p>
        </w:tc>
        <w:tc>
          <w:tcPr>
            <w:tcW w:w="1133" w:type="dxa"/>
          </w:tcPr>
          <w:p w14:paraId="158B5122" w14:textId="77777777" w:rsidR="00FA1C3E" w:rsidRPr="00983CC2" w:rsidRDefault="00DF00D8" w:rsidP="00B632D2">
            <w:pPr>
              <w:spacing w:after="0" w:line="240" w:lineRule="auto"/>
              <w:jc w:val="center"/>
              <w:rPr>
                <w:sz w:val="18"/>
                <w:szCs w:val="18"/>
              </w:rPr>
            </w:pPr>
            <w:r>
              <w:rPr>
                <w:sz w:val="18"/>
                <w:szCs w:val="18"/>
              </w:rPr>
              <w:t>14/17</w:t>
            </w:r>
          </w:p>
        </w:tc>
        <w:tc>
          <w:tcPr>
            <w:tcW w:w="1700" w:type="dxa"/>
          </w:tcPr>
          <w:p w14:paraId="1CB43143" w14:textId="77777777" w:rsidR="00FA1C3E" w:rsidRPr="00983CC2" w:rsidRDefault="00DF00D8" w:rsidP="00B632D2">
            <w:pPr>
              <w:spacing w:after="0" w:line="240" w:lineRule="auto"/>
              <w:jc w:val="center"/>
              <w:rPr>
                <w:sz w:val="18"/>
                <w:szCs w:val="18"/>
              </w:rPr>
            </w:pPr>
            <w:r>
              <w:rPr>
                <w:sz w:val="18"/>
                <w:szCs w:val="18"/>
              </w:rPr>
              <w:t>+0.930</w:t>
            </w:r>
          </w:p>
        </w:tc>
        <w:tc>
          <w:tcPr>
            <w:tcW w:w="2324" w:type="dxa"/>
          </w:tcPr>
          <w:p w14:paraId="47D29BC0" w14:textId="77777777" w:rsidR="00FA1C3E" w:rsidRPr="00983CC2" w:rsidRDefault="00DF00D8" w:rsidP="00B632D2">
            <w:pPr>
              <w:spacing w:after="0" w:line="240" w:lineRule="auto"/>
              <w:jc w:val="center"/>
              <w:rPr>
                <w:sz w:val="18"/>
                <w:szCs w:val="18"/>
              </w:rPr>
            </w:pPr>
            <w:r>
              <w:rPr>
                <w:sz w:val="18"/>
                <w:szCs w:val="18"/>
              </w:rPr>
              <w:t>[−0.039, 1.898]</w:t>
            </w:r>
          </w:p>
        </w:tc>
        <w:tc>
          <w:tcPr>
            <w:tcW w:w="1133" w:type="dxa"/>
          </w:tcPr>
          <w:p w14:paraId="75ADE85E" w14:textId="77777777" w:rsidR="00FA1C3E" w:rsidRPr="00983CC2" w:rsidRDefault="00DF00D8" w:rsidP="00B632D2">
            <w:pPr>
              <w:spacing w:after="0" w:line="240" w:lineRule="auto"/>
              <w:jc w:val="center"/>
              <w:rPr>
                <w:sz w:val="18"/>
                <w:szCs w:val="18"/>
              </w:rPr>
            </w:pPr>
            <w:r>
              <w:rPr>
                <w:sz w:val="18"/>
                <w:szCs w:val="18"/>
              </w:rPr>
              <w:t>71.6%</w:t>
            </w:r>
          </w:p>
        </w:tc>
      </w:tr>
      <w:tr w:rsidR="00FA1C3E" w14:paraId="1AA68B16" w14:textId="77777777" w:rsidTr="007B08A9">
        <w:tc>
          <w:tcPr>
            <w:tcW w:w="1700" w:type="dxa"/>
          </w:tcPr>
          <w:p w14:paraId="595F0795" w14:textId="77777777" w:rsidR="00FA1C3E" w:rsidRPr="00983CC2" w:rsidRDefault="00DF00D8" w:rsidP="00B632D2">
            <w:pPr>
              <w:spacing w:after="0" w:line="240" w:lineRule="auto"/>
              <w:rPr>
                <w:sz w:val="18"/>
                <w:szCs w:val="18"/>
              </w:rPr>
            </w:pPr>
            <w:r>
              <w:rPr>
                <w:sz w:val="18"/>
                <w:szCs w:val="18"/>
              </w:rPr>
              <w:t>Cross-entropy</w:t>
            </w:r>
          </w:p>
        </w:tc>
        <w:tc>
          <w:tcPr>
            <w:tcW w:w="1133" w:type="dxa"/>
          </w:tcPr>
          <w:p w14:paraId="2DB2BB98" w14:textId="77777777" w:rsidR="00FA1C3E" w:rsidRPr="00983CC2" w:rsidRDefault="00DF00D8" w:rsidP="00B632D2">
            <w:pPr>
              <w:spacing w:after="0" w:line="240" w:lineRule="auto"/>
              <w:jc w:val="center"/>
              <w:rPr>
                <w:sz w:val="18"/>
                <w:szCs w:val="18"/>
              </w:rPr>
            </w:pPr>
            <w:r>
              <w:rPr>
                <w:sz w:val="18"/>
                <w:szCs w:val="18"/>
              </w:rPr>
              <w:t>13/17</w:t>
            </w:r>
          </w:p>
        </w:tc>
        <w:tc>
          <w:tcPr>
            <w:tcW w:w="1700" w:type="dxa"/>
          </w:tcPr>
          <w:p w14:paraId="3CD36F3D" w14:textId="77777777" w:rsidR="00FA1C3E" w:rsidRPr="00983CC2" w:rsidRDefault="00DF00D8" w:rsidP="00B632D2">
            <w:pPr>
              <w:spacing w:after="0" w:line="240" w:lineRule="auto"/>
              <w:jc w:val="center"/>
              <w:rPr>
                <w:sz w:val="18"/>
                <w:szCs w:val="18"/>
              </w:rPr>
            </w:pPr>
            <w:r>
              <w:rPr>
                <w:sz w:val="18"/>
                <w:szCs w:val="18"/>
              </w:rPr>
              <w:t>+0.0238</w:t>
            </w:r>
          </w:p>
        </w:tc>
        <w:tc>
          <w:tcPr>
            <w:tcW w:w="2324" w:type="dxa"/>
          </w:tcPr>
          <w:p w14:paraId="165F59C5" w14:textId="77777777" w:rsidR="00FA1C3E" w:rsidRPr="00983CC2" w:rsidRDefault="00DF00D8" w:rsidP="00B632D2">
            <w:pPr>
              <w:spacing w:after="0" w:line="240" w:lineRule="auto"/>
              <w:jc w:val="center"/>
              <w:rPr>
                <w:sz w:val="18"/>
                <w:szCs w:val="18"/>
              </w:rPr>
            </w:pPr>
            <w:r>
              <w:rPr>
                <w:sz w:val="18"/>
                <w:szCs w:val="18"/>
              </w:rPr>
              <w:t>[0.0015, 0.0461]</w:t>
            </w:r>
          </w:p>
        </w:tc>
        <w:tc>
          <w:tcPr>
            <w:tcW w:w="1133" w:type="dxa"/>
          </w:tcPr>
          <w:p w14:paraId="63038F8A" w14:textId="77777777" w:rsidR="00FA1C3E" w:rsidRPr="00983CC2" w:rsidRDefault="00DF00D8" w:rsidP="00B632D2">
            <w:pPr>
              <w:spacing w:after="0" w:line="240" w:lineRule="auto"/>
              <w:jc w:val="center"/>
              <w:rPr>
                <w:sz w:val="18"/>
                <w:szCs w:val="18"/>
              </w:rPr>
            </w:pPr>
            <w:r>
              <w:rPr>
                <w:sz w:val="18"/>
                <w:szCs w:val="18"/>
              </w:rPr>
              <w:t>83.9%</w:t>
            </w:r>
          </w:p>
        </w:tc>
      </w:tr>
    </w:tbl>
    <w:p w14:paraId="02327854" w14:textId="77777777" w:rsidR="00FA1C3E" w:rsidRDefault="00EA35A5" w:rsidP="00B632D2">
      <w:pPr>
        <w:spacing w:line="240" w:lineRule="auto"/>
        <w:jc w:val="center"/>
      </w:pPr>
      <w:r>
        <w:rPr>
          <w:noProof/>
        </w:rPr>
        <w:lastRenderedPageBreak/>
        <w:drawing>
          <wp:inline distT="0" distB="0" distL="0" distR="0" wp14:anchorId="5F8D8861" wp14:editId="53B5D2CB">
            <wp:extent cx="5940425" cy="371729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3717290"/>
                    </a:xfrm>
                    <a:prstGeom prst="rect">
                      <a:avLst/>
                    </a:prstGeom>
                  </pic:spPr>
                </pic:pic>
              </a:graphicData>
            </a:graphic>
          </wp:inline>
        </w:drawing>
      </w:r>
    </w:p>
    <w:p w14:paraId="653EDDDE" w14:textId="77777777" w:rsidR="00FA1C3E" w:rsidRPr="00322B42" w:rsidRDefault="00DF00D8" w:rsidP="00B632D2">
      <w:pPr>
        <w:spacing w:line="240" w:lineRule="auto"/>
        <w:jc w:val="both"/>
        <w:rPr>
          <w:lang w:val="en-US"/>
        </w:rPr>
      </w:pPr>
      <w:r>
        <w:rPr>
          <w:b/>
          <w:lang w:val="en-US"/>
        </w:rPr>
        <w:t>Fig. 5</w:t>
      </w:r>
      <w:r>
        <w:rPr>
          <w:lang w:val="en-US"/>
        </w:rPr>
        <w:t xml:space="preserve"> OpenML-CC18 per-task feature-identity effects. Each row is one task. Left: balanced-error change in percentage points; right: cross-entropy change. Positive values mean performance worsens after removing feature identity. Horizontal lines are full per-task t₄ intervals, point area encodes log10(test-set size), and color encodes the estimated training-seed share. The dispersion across tasks and metrics is the result; no energy-domain practical margin is applied</w:t>
      </w:r>
    </w:p>
    <w:p w14:paraId="37D28610" w14:textId="77777777" w:rsidR="00FA1C3E" w:rsidRPr="00322B42" w:rsidRDefault="00DF00D8" w:rsidP="00B632D2">
      <w:pPr>
        <w:pStyle w:val="3"/>
        <w:spacing w:line="240" w:lineRule="auto"/>
        <w:rPr>
          <w:lang w:val="en-US"/>
        </w:rPr>
      </w:pPr>
      <w:r>
        <w:rPr>
          <w:rFonts w:ascii="Times New Roman" w:eastAsia="Times New Roman" w:hAnsi="Times New Roman"/>
          <w:lang w:val="en-US"/>
        </w:rPr>
        <w:t>5.6.2. Metric dependence and sensitivity</w:t>
      </w:r>
    </w:p>
    <w:p w14:paraId="226DDA52" w14:textId="77777777" w:rsidR="00FA1C3E" w:rsidRPr="00322B42" w:rsidRDefault="00DF00D8" w:rsidP="00B632D2">
      <w:pPr>
        <w:spacing w:line="240" w:lineRule="auto"/>
        <w:jc w:val="both"/>
        <w:rPr>
          <w:lang w:val="en-US"/>
        </w:rPr>
      </w:pPr>
      <w:r>
        <w:rPr>
          <w:lang w:val="en-US"/>
        </w:rPr>
        <w:t>Metric choice changes the apparent ablation conclusion: the median estimated seed share is 3.0% for balanced error and 50.4% for cross-entropy, while pooled significance under cross-entropy disappears after excluding small test folds. No universal practical-effect margin is asserted for OpenML; the defensible conclusion is metric-dependent heterogeneity (Supplementary Section S7).</w:t>
      </w:r>
    </w:p>
    <w:p w14:paraId="6B5D52B4" w14:textId="77777777" w:rsidR="00147E50" w:rsidRPr="00F22774" w:rsidRDefault="004A2954" w:rsidP="00B632D2">
      <w:pPr>
        <w:pStyle w:val="1"/>
        <w:numPr>
          <w:ilvl w:val="0"/>
          <w:numId w:val="1"/>
        </w:numPr>
        <w:spacing w:before="400" w:after="200"/>
        <w:jc w:val="both"/>
        <w:rPr>
          <w:lang w:val="en-US"/>
        </w:rPr>
      </w:pPr>
      <w:r>
        <w:rPr>
          <w:lang w:val="en-US"/>
        </w:rPr>
        <w:t>Recommendations and threats to validity</w:t>
      </w:r>
    </w:p>
    <w:p w14:paraId="763AB833"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Recommendations for evaluation practice</w:t>
      </w:r>
    </w:p>
    <w:p w14:paraId="45B9839F" w14:textId="77777777" w:rsidR="004A2954" w:rsidRPr="00F22774" w:rsidRDefault="004A2954" w:rsidP="00B632D2">
      <w:pPr>
        <w:spacing w:line="240" w:lineRule="auto"/>
        <w:jc w:val="both"/>
        <w:rPr>
          <w:rFonts w:cs="Times New Roman"/>
          <w:lang w:val="en-US"/>
        </w:rPr>
      </w:pPr>
      <w:r>
        <w:rPr>
          <w:rFonts w:cs="Times New Roman"/>
          <w:lang w:val="en-US"/>
        </w:rPr>
        <w:t>The following are addressed to anyone establishing that an architectural component contributes to a forecasting model. Each follows from a specific result above, and none requires data or computation beyond what such a study already performs. We state them as a protocol rather than as principles because the failures we document are not failures of principle: the studies that produce them are careful, and the procedures they use are the customary ones.</w:t>
      </w:r>
    </w:p>
    <w:p w14:paraId="78FB57C7"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6.1.1. Five that matter most</w:t>
      </w:r>
    </w:p>
    <w:p w14:paraId="5D637882" w14:textId="77777777" w:rsidR="004A2954" w:rsidRPr="00F22774" w:rsidRDefault="004A2954" w:rsidP="00B632D2">
      <w:pPr>
        <w:spacing w:line="240" w:lineRule="auto"/>
        <w:jc w:val="both"/>
        <w:rPr>
          <w:rFonts w:cs="Times New Roman"/>
          <w:lang w:val="en-US"/>
        </w:rPr>
      </w:pPr>
      <w:r>
        <w:rPr>
          <w:rFonts w:cs="Times New Roman"/>
          <w:lang w:val="en-US"/>
        </w:rPr>
        <w:t>R1</w:t>
      </w:r>
      <w:r>
        <w:rPr>
          <w:rFonts w:cs="Times New Roman"/>
          <w:b/>
          <w:bCs/>
          <w:lang w:val="en-US"/>
        </w:rPr>
        <w:t xml:space="preserve">.  </w:t>
      </w:r>
      <w:r>
        <w:rPr>
          <w:rFonts w:cs="Times New Roman"/>
          <w:lang w:val="en-US"/>
        </w:rPr>
        <w:t>Report the output of each branch separately from the end-task metric whenever branches are combined adaptively. In our case the error of the decomposition branch varied by up to a factor of fourteen across configurations while the fused forecast moved by a few%, and a repair that fixed the branch on every household left the reported metric unchanged. Branch metrics cost nothing to compute and are the only place where the state of the component is visible.</w:t>
      </w:r>
    </w:p>
    <w:p w14:paraId="4C12FFF2" w14:textId="77777777" w:rsidR="004A2954" w:rsidRPr="00DD392A" w:rsidRDefault="004A2954" w:rsidP="00B632D2">
      <w:pPr>
        <w:spacing w:line="240" w:lineRule="auto"/>
        <w:jc w:val="both"/>
        <w:rPr>
          <w:rFonts w:cs="Times New Roman"/>
          <w:lang w:val="en-US"/>
        </w:rPr>
      </w:pPr>
      <w:r>
        <w:rPr>
          <w:b/>
          <w:bCs/>
          <w:lang w:val="en-US"/>
        </w:rPr>
        <w:t>R2</w:t>
      </w:r>
      <w:r>
        <w:rPr>
          <w:lang w:val="en-US"/>
        </w:rPr>
        <w:t>. Estimate the variance contributed by stochastic training and finite evaluation sampling, and report both. In the primary design the median seed share is 83%, but five-seed intervals are wide: regime-level majority contribution is supported while several individual units remain uncertain. Jointly resample common evaluation indices across all seed rows.</w:t>
      </w:r>
    </w:p>
    <w:p w14:paraId="0FF1D643" w14:textId="77777777" w:rsidR="004A2954" w:rsidRPr="00F22774" w:rsidRDefault="004A2954" w:rsidP="00B632D2">
      <w:pPr>
        <w:spacing w:line="240" w:lineRule="auto"/>
        <w:jc w:val="both"/>
        <w:rPr>
          <w:rFonts w:cs="Times New Roman"/>
          <w:lang w:val="en-US"/>
        </w:rPr>
      </w:pPr>
      <w:r>
        <w:rPr>
          <w:rFonts w:cs="Times New Roman"/>
          <w:b/>
          <w:bCs/>
          <w:lang w:val="en-US"/>
        </w:rPr>
        <w:lastRenderedPageBreak/>
        <w:t xml:space="preserve">R3.  </w:t>
      </w:r>
      <w:r>
        <w:rPr>
          <w:rFonts w:cs="Times New Roman"/>
          <w:lang w:val="en-US"/>
        </w:rPr>
        <w:t>Where the question can be posed as a contrast within a trained model, prefer an intervention to a retraining ablation. Altering the correspondence between components and their identity signals at inference measures what the trained model does with the signal, at inference cost and with far greater stability: our intervention estimates correlated at 0.81 between a three-seed and a five-seed run, the corresponding ablation estimates at 0.05.</w:t>
      </w:r>
    </w:p>
    <w:p w14:paraId="4BB578AB" w14:textId="77777777" w:rsidR="004A2954" w:rsidRPr="00DD392A" w:rsidRDefault="004A2954" w:rsidP="00B632D2">
      <w:pPr>
        <w:spacing w:line="240" w:lineRule="auto"/>
        <w:jc w:val="both"/>
        <w:rPr>
          <w:rFonts w:cs="Times New Roman"/>
          <w:lang w:val="en-US"/>
        </w:rPr>
      </w:pPr>
      <w:r>
        <w:rPr>
          <w:b/>
          <w:bCs/>
          <w:lang w:val="en-US"/>
        </w:rPr>
        <w:t>R4</w:t>
      </w:r>
      <w:r>
        <w:rPr>
          <w:lang w:val="en-US"/>
        </w:rPr>
        <w:t>. Compute the required number of units before running the study. The primary 10%-trimmed planning scenario requires about 11 households for 80% power at a 1%-of-error effect; the untrimmed estimate gives a conservative upper scenario of 41 because one degenerate household contributes 79% of the average within-household variance.</w:t>
      </w:r>
    </w:p>
    <w:p w14:paraId="0BE31808" w14:textId="77777777" w:rsidR="004A2954" w:rsidRPr="00F22774" w:rsidRDefault="004A2954" w:rsidP="00B632D2">
      <w:pPr>
        <w:spacing w:line="240" w:lineRule="auto"/>
        <w:jc w:val="both"/>
        <w:rPr>
          <w:rFonts w:cs="Times New Roman"/>
          <w:lang w:val="en-US"/>
        </w:rPr>
      </w:pPr>
      <w:r>
        <w:rPr>
          <w:b/>
          <w:bCs/>
          <w:lang w:val="en-US"/>
        </w:rPr>
        <w:t>R5</w:t>
      </w:r>
      <w:r>
        <w:rPr>
          <w:lang w:val="en-US"/>
        </w:rPr>
        <w:t>. Report a prediction interval for a new unit alongside the pooled estimate. The pooled effect describes the population-average household effect; the prediction interval addresses a future household. On the normalized scale, the primary estimate is −0.26% and the 95% prediction interval is [−0.98%, +0.46%], both inside the study-specific ±2% decision margin.</w:t>
      </w:r>
    </w:p>
    <w:p w14:paraId="221DB191"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6.1.2. Seven further points</w:t>
      </w:r>
    </w:p>
    <w:p w14:paraId="6831C62A" w14:textId="77777777" w:rsidR="00FA1C3E" w:rsidRPr="00322B42" w:rsidRDefault="00DF00D8" w:rsidP="00B632D2">
      <w:pPr>
        <w:spacing w:line="240" w:lineRule="auto"/>
        <w:jc w:val="both"/>
        <w:rPr>
          <w:lang w:val="en-US"/>
        </w:rPr>
      </w:pPr>
      <w:r>
        <w:rPr>
          <w:lang w:val="en-US"/>
        </w:rPr>
        <w:t>Seven additional reporting and diagnostic recommendations, each linked to a result in this study, are summarized in Supplementary Section S8.</w:t>
      </w:r>
    </w:p>
    <w:p w14:paraId="588C25D4"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6.1.3. What this costs</w:t>
      </w:r>
    </w:p>
    <w:p w14:paraId="1394176D" w14:textId="77777777" w:rsidR="00FA1C3E" w:rsidRPr="00322B42" w:rsidRDefault="00DF00D8" w:rsidP="00B632D2">
      <w:pPr>
        <w:spacing w:line="240" w:lineRule="auto"/>
        <w:jc w:val="both"/>
        <w:rPr>
          <w:lang w:val="en-US"/>
        </w:rPr>
      </w:pPr>
      <w:r>
        <w:rPr>
          <w:lang w:val="en-US"/>
        </w:rPr>
        <w:t>The full evidential program is deliberately larger than the routine protocol we recommend. Branch audits and consistency checks reuse existing artifacts, three seeds provide a minimum variance diagnostic, and fixed-weight interventions often deliver better precision for only the cost of forward passes. Detailed run counts and cost trade-offs are given in Supplementary Section S8.</w:t>
      </w:r>
    </w:p>
    <w:p w14:paraId="3353692B" w14:textId="77777777" w:rsidR="004A2954" w:rsidRPr="00F22774" w:rsidRDefault="004A2954" w:rsidP="00B632D2">
      <w:pPr>
        <w:pStyle w:val="2"/>
        <w:numPr>
          <w:ilvl w:val="1"/>
          <w:numId w:val="1"/>
        </w:numPr>
        <w:spacing w:line="240" w:lineRule="auto"/>
        <w:rPr>
          <w:lang w:val="en-US"/>
        </w:rPr>
      </w:pPr>
      <w:r>
        <w:rPr>
          <w:rFonts w:ascii="Times New Roman" w:eastAsia="Times New Roman" w:hAnsi="Times New Roman"/>
          <w:lang w:val="en-US"/>
        </w:rPr>
        <w:t xml:space="preserve"> Threats to validity</w:t>
      </w:r>
    </w:p>
    <w:p w14:paraId="21F675C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6.2.1. Scope of the variance result</w:t>
      </w:r>
    </w:p>
    <w:p w14:paraId="0711475C" w14:textId="77777777" w:rsidR="00FA1C3E" w:rsidRPr="00322B42" w:rsidRDefault="00DF00D8" w:rsidP="00B632D2">
      <w:pPr>
        <w:spacing w:line="240" w:lineRule="auto"/>
        <w:jc w:val="both"/>
        <w:rPr>
          <w:lang w:val="en-US"/>
        </w:rPr>
      </w:pPr>
      <w:r>
        <w:rPr>
          <w:lang w:val="en-US"/>
        </w:rPr>
        <w:t>The reported variance share belongs to an architecture–training–metric–evaluation design, not to an architecture alone. Five-seed intervals remain wide, so we claim a regime-level ordering and do not infer dominance for every unit. The OpenML scope probe further shows that the share changes with the metric (Supplementary Section S9). For the same reason, no single ratio calibrated against Bouthillier et al. (2021) is reported (Related Work): their data-sampling term additionally resamples training-set composition, a source of variation absent from our fixed-split design, so the two studies share no common denominator.</w:t>
      </w:r>
    </w:p>
    <w:p w14:paraId="3CEB55C3"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6.2.2. Sample and data</w:t>
      </w:r>
    </w:p>
    <w:p w14:paraId="2B45DC4E" w14:textId="77777777" w:rsidR="00FA1C3E" w:rsidRPr="00322B42" w:rsidRDefault="00DF00D8" w:rsidP="00B632D2">
      <w:pPr>
        <w:spacing w:line="240" w:lineRule="auto"/>
        <w:jc w:val="both"/>
        <w:rPr>
          <w:lang w:val="en-US"/>
        </w:rPr>
      </w:pPr>
      <w:r>
        <w:rPr>
          <w:lang w:val="en-US"/>
        </w:rPr>
        <w:t>Seventeen households are unevenly distributed across three collections (11 SHEERM, 5 REFIT, 1 UK-DALE). These collections are not a representative sample of datasets. The three-level sensitivity is retained, but dataset-level variance is weakly identifiable with only three clusters; one degenerate household strongly influences untrimmed power calculations (Supplementary Sections S6 and S9).</w:t>
      </w:r>
    </w:p>
    <w:p w14:paraId="3221543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6.2.3. Statistical assumptions</w:t>
      </w:r>
    </w:p>
    <w:p w14:paraId="43A9489B" w14:textId="77777777" w:rsidR="00FA1C3E" w:rsidRPr="00322B42" w:rsidRDefault="00DF00D8" w:rsidP="00B632D2">
      <w:pPr>
        <w:spacing w:line="240" w:lineRule="auto"/>
        <w:jc w:val="both"/>
        <w:rPr>
          <w:lang w:val="en-US"/>
        </w:rPr>
      </w:pPr>
      <w:r>
        <w:rPr>
          <w:lang w:val="en-US"/>
        </w:rPr>
        <w:t>The crossed variance model assumes normal seed effects and homogeneous interaction variance. Common-window dependence is preserved by jointly resampling moving blocks across seed rows. The conditional F pivot is exact only under its stated model; the mapped share attains about 93–94% coverage under observed dependence and about 90.4% under the heavy-tailed stress case (Supplementary Section S4).</w:t>
      </w:r>
    </w:p>
    <w:p w14:paraId="50532EB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6.2.4. The architectural findings</w:t>
      </w:r>
    </w:p>
    <w:p w14:paraId="2234C6A1" w14:textId="77777777" w:rsidR="00FA1C3E" w:rsidRPr="00322B42" w:rsidRDefault="00DF00D8" w:rsidP="00B632D2">
      <w:pPr>
        <w:spacing w:line="240" w:lineRule="auto"/>
        <w:jc w:val="both"/>
        <w:rPr>
          <w:lang w:val="en-US"/>
        </w:rPr>
      </w:pPr>
      <w:r>
        <w:rPr>
          <w:lang w:val="en-US"/>
        </w:rPr>
        <w:t>The reconstruction cannot establish a complete causal chain to the unpublished earlier result because its preprocessing and chronological split differ. The corrected branch finding is mechanistically clear, but the small fused-error advantage of the defective configuration is not advanced as a general ranking result (Supplementary Section S9).</w:t>
      </w:r>
    </w:p>
    <w:p w14:paraId="5DB4CA48"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t>6.2.5. Analyses added after the fact</w:t>
      </w:r>
    </w:p>
    <w:p w14:paraId="7BC1040B" w14:textId="77777777" w:rsidR="00FA1C3E" w:rsidRPr="00322B42" w:rsidRDefault="00DF00D8" w:rsidP="00B632D2">
      <w:pPr>
        <w:spacing w:line="240" w:lineRule="auto"/>
        <w:jc w:val="both"/>
        <w:rPr>
          <w:lang w:val="en-US"/>
        </w:rPr>
      </w:pPr>
      <w:r>
        <w:rPr>
          <w:lang w:val="en-US"/>
        </w:rPr>
        <w:t>Inferential status differs across analyses: household diagnostics are exploratory, ECL is preregistered and confirmatory, and the CC18 design was fixed before final outcomes while its flip and test-size checks are post-hoc. Registrations and deviation logs make this sequence auditable (Supplementary Sections S1 and S9).</w:t>
      </w:r>
    </w:p>
    <w:p w14:paraId="36C51CAC" w14:textId="77777777" w:rsidR="004A2954" w:rsidRPr="00F22774" w:rsidRDefault="005A00E2" w:rsidP="00B632D2">
      <w:pPr>
        <w:pStyle w:val="3"/>
        <w:spacing w:line="240" w:lineRule="auto"/>
        <w:ind w:firstLine="426"/>
        <w:rPr>
          <w:lang w:val="en-US"/>
        </w:rPr>
      </w:pPr>
      <w:r>
        <w:rPr>
          <w:rFonts w:ascii="Times New Roman" w:eastAsia="Times New Roman" w:hAnsi="Times New Roman"/>
          <w:lang w:val="en-US"/>
        </w:rPr>
        <w:lastRenderedPageBreak/>
        <w:t>6.2.6. What the CC18 intervention removes</w:t>
      </w:r>
    </w:p>
    <w:p w14:paraId="42E9C3EE" w14:textId="77777777" w:rsidR="001D5050" w:rsidRDefault="00A07E2F">
      <w:pPr>
        <w:spacing w:line="240" w:lineRule="auto"/>
        <w:jc w:val="both"/>
        <w:rPr>
          <w:lang w:val="en-US"/>
        </w:rPr>
      </w:pPr>
      <w:r>
        <w:rPr>
          <w:lang w:val="en-US"/>
        </w:rPr>
        <w:t>The scope probe removes the per-feature bias of the tokenizer, and that single deletion changes three things at once: the identity cue that distinguishes one feature token from another, the parameter count of the tokenizer, and the feature-specific calibration offset applied before the encoder. An increase in balanced error is therefore consistent with loss of identity, with reduced capacity, or with loss of per-feature calibration, and the present design cannot separate them. A parameter-matched control — a bias shared across all features, or a bias permuted across features — would hold capacity fixed while destroying identity, and is the natural next step. Until it is run, the CC18 result should be read as evidence that the tokenizer bias matters heterogeneously across tasks and metrics, not as evidence about feature identity specifically.</w:t>
      </w:r>
    </w:p>
    <w:p w14:paraId="1D0E6C50" w14:textId="77777777" w:rsidR="00C70EB5" w:rsidRPr="00F22774" w:rsidRDefault="00C70EB5" w:rsidP="00B632D2">
      <w:pPr>
        <w:pStyle w:val="1"/>
        <w:numPr>
          <w:ilvl w:val="0"/>
          <w:numId w:val="1"/>
        </w:numPr>
        <w:spacing w:before="400" w:after="200"/>
        <w:jc w:val="both"/>
        <w:rPr>
          <w:lang w:val="en-US"/>
        </w:rPr>
      </w:pPr>
      <w:r>
        <w:rPr>
          <w:lang w:val="en-US"/>
        </w:rPr>
        <w:t>Conclusion</w:t>
      </w:r>
    </w:p>
    <w:p w14:paraId="4D5DED49" w14:textId="77777777" w:rsidR="00C70EB5" w:rsidRPr="00DD392A" w:rsidRDefault="00C70EB5" w:rsidP="00B632D2">
      <w:pPr>
        <w:spacing w:line="240" w:lineRule="auto"/>
        <w:jc w:val="both"/>
        <w:rPr>
          <w:lang w:val="en-US"/>
        </w:rPr>
      </w:pPr>
      <w:r>
        <w:rPr>
          <w:lang w:val="en-US"/>
        </w:rPr>
        <w:t>The central conclusion is methodological: architecture-ablation uncertainty must propagate stochastic training and finite evaluation sampling at their proper levels. In the primary energy regimes the estimated training contribution is large on median, but five-seed intervals support a regime-level statement rather than unit-by-unit dominance.</w:t>
      </w:r>
    </w:p>
    <w:p w14:paraId="2764FA83" w14:textId="77777777" w:rsidR="00C70EB5" w:rsidRPr="00F22774" w:rsidRDefault="00C70EB5" w:rsidP="00B632D2">
      <w:pPr>
        <w:spacing w:line="240" w:lineRule="auto"/>
        <w:jc w:val="both"/>
        <w:rPr>
          <w:lang w:val="en-US"/>
        </w:rPr>
      </w:pPr>
      <w:r>
        <w:rPr>
          <w:lang w:val="en-US"/>
        </w:rPr>
        <w:t>A defensible protocol therefore repeats stochastic training, uses a crossed analysis when evaluation units are shared, reports prediction intervals, and directly audits the component whenever learned fusion can compensate for internal failure. Power and the required number of units should be planned before training.</w:t>
      </w:r>
    </w:p>
    <w:p w14:paraId="67EB4A21" w14:textId="77777777" w:rsidR="00FA1C3E" w:rsidRPr="00322B42" w:rsidRDefault="00DF00D8" w:rsidP="00B632D2">
      <w:pPr>
        <w:spacing w:line="240" w:lineRule="auto"/>
        <w:jc w:val="both"/>
        <w:rPr>
          <w:lang w:val="en-US"/>
        </w:rPr>
      </w:pPr>
      <w:r>
        <w:rPr>
          <w:lang w:val="en-US"/>
        </w:rPr>
        <w:t>The ECL replication supports the registered aggregate ordering with a smaller magnitude, whereas OpenML-CC18 shows that task, metric and test-fold size can change the apparent ablation conclusion. Thus the framework transfers more defensibly than any universal claim about feature identity or a fixed variance share.</w:t>
      </w:r>
    </w:p>
    <w:p w14:paraId="4887CC53"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A. Notation</w:t>
      </w:r>
    </w:p>
    <w:p w14:paraId="1CB65B0E" w14:textId="77777777" w:rsidR="004A7F0F" w:rsidRPr="008A36FF" w:rsidRDefault="00BB709A" w:rsidP="00B632D2">
      <w:pPr>
        <w:spacing w:before="160" w:after="80" w:line="240" w:lineRule="auto"/>
        <w:jc w:val="both"/>
        <w:rPr>
          <w:rFonts w:cs="Times New Roman"/>
          <w:sz w:val="20"/>
          <w:szCs w:val="20"/>
          <w:lang w:val="en-US"/>
        </w:rPr>
      </w:pPr>
      <w:r>
        <w:rPr>
          <w:rFonts w:cs="Times New Roman"/>
          <w:sz w:val="20"/>
          <w:szCs w:val="20"/>
          <w:lang w:val="en-US"/>
        </w:rPr>
        <w:t>Table A1. Symbols used in Sections 4 and 5. Subscripts are written inline in this table; in the text they are set as in Eqs. (1)–(6).</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7C3FEBF4" w14:textId="77777777">
        <w:trPr>
          <w:tblHeader/>
        </w:trPr>
        <w:tc>
          <w:tcPr>
            <w:tcW w:w="2600" w:type="dxa"/>
          </w:tcPr>
          <w:p w14:paraId="1ACFE5D4" w14:textId="77777777" w:rsidR="004A7F0F" w:rsidRPr="00983CC2" w:rsidRDefault="00BB709A" w:rsidP="00B632D2">
            <w:pPr>
              <w:spacing w:after="20" w:line="240" w:lineRule="auto"/>
              <w:rPr>
                <w:rFonts w:cs="Times New Roman"/>
                <w:b/>
                <w:sz w:val="20"/>
                <w:szCs w:val="20"/>
              </w:rPr>
            </w:pPr>
            <w:r>
              <w:rPr>
                <w:rFonts w:cs="Times New Roman"/>
                <w:b/>
                <w:sz w:val="20"/>
                <w:szCs w:val="20"/>
              </w:rPr>
              <w:t>Symbol</w:t>
            </w:r>
          </w:p>
        </w:tc>
        <w:tc>
          <w:tcPr>
            <w:tcW w:w="6755" w:type="dxa"/>
          </w:tcPr>
          <w:p w14:paraId="34B0C345" w14:textId="77777777" w:rsidR="004A7F0F" w:rsidRPr="00983CC2" w:rsidRDefault="00BB709A" w:rsidP="00B632D2">
            <w:pPr>
              <w:spacing w:after="20" w:line="240" w:lineRule="auto"/>
              <w:rPr>
                <w:rFonts w:cs="Times New Roman"/>
                <w:b/>
                <w:sz w:val="20"/>
                <w:szCs w:val="20"/>
              </w:rPr>
            </w:pPr>
            <w:r>
              <w:rPr>
                <w:rFonts w:cs="Times New Roman"/>
                <w:b/>
                <w:sz w:val="20"/>
                <w:szCs w:val="20"/>
              </w:rPr>
              <w:t>Meaning</w:t>
            </w:r>
          </w:p>
        </w:tc>
      </w:tr>
      <w:tr w:rsidR="004A7F0F" w:rsidRPr="005439BC" w14:paraId="5FA4A75E" w14:textId="77777777">
        <w:tc>
          <w:tcPr>
            <w:tcW w:w="2600" w:type="dxa"/>
          </w:tcPr>
          <w:p w14:paraId="3B4BF131" w14:textId="77777777" w:rsidR="00FA1C3E" w:rsidRPr="00983CC2" w:rsidRDefault="00DF00D8" w:rsidP="00B632D2">
            <w:pPr>
              <w:spacing w:line="240" w:lineRule="auto"/>
              <w:rPr>
                <w:sz w:val="20"/>
                <w:szCs w:val="20"/>
                <w:lang w:val="en-US"/>
              </w:rPr>
            </w:pPr>
            <w:r>
              <w:rPr>
                <w:sz w:val="20"/>
                <w:szCs w:val="20"/>
                <w:lang w:val="en-US"/>
              </w:rPr>
              <w:t>a(h,s), b(h,w), c(h,s,w)</w:t>
            </w:r>
          </w:p>
        </w:tc>
        <w:tc>
          <w:tcPr>
            <w:tcW w:w="6755" w:type="dxa"/>
          </w:tcPr>
          <w:p w14:paraId="6B70C0E3" w14:textId="77777777" w:rsidR="00FA1C3E" w:rsidRPr="00983CC2" w:rsidRDefault="00DF00D8" w:rsidP="00B632D2">
            <w:pPr>
              <w:spacing w:line="240" w:lineRule="auto"/>
              <w:rPr>
                <w:sz w:val="20"/>
                <w:szCs w:val="20"/>
                <w:lang w:val="en-US"/>
              </w:rPr>
            </w:pPr>
            <w:r>
              <w:rPr>
                <w:sz w:val="20"/>
                <w:szCs w:val="20"/>
                <w:lang w:val="en-US"/>
              </w:rPr>
              <w:t>Seed, common-window and seed × window random effects</w:t>
            </w:r>
          </w:p>
        </w:tc>
      </w:tr>
      <w:tr w:rsidR="004A7F0F" w14:paraId="016D2BAA" w14:textId="77777777">
        <w:tc>
          <w:tcPr>
            <w:tcW w:w="2600" w:type="dxa"/>
          </w:tcPr>
          <w:p w14:paraId="4AB5B85C" w14:textId="77777777" w:rsidR="00FA1C3E" w:rsidRPr="00983CC2" w:rsidRDefault="00DF00D8" w:rsidP="00B632D2">
            <w:pPr>
              <w:spacing w:line="240" w:lineRule="auto"/>
              <w:rPr>
                <w:sz w:val="20"/>
                <w:szCs w:val="20"/>
                <w:lang w:val="en-US"/>
              </w:rPr>
            </w:pPr>
            <w:r>
              <w:rPr>
                <w:sz w:val="20"/>
                <w:szCs w:val="20"/>
              </w:rPr>
              <w:t>σ</w:t>
            </w:r>
            <w:r>
              <w:rPr>
                <w:sz w:val="20"/>
                <w:szCs w:val="20"/>
                <w:lang w:val="en-US"/>
              </w:rPr>
              <w:t xml:space="preserve">²seed, </w:t>
            </w:r>
            <w:r>
              <w:rPr>
                <w:sz w:val="20"/>
                <w:szCs w:val="20"/>
              </w:rPr>
              <w:t>σ</w:t>
            </w:r>
            <w:r>
              <w:rPr>
                <w:sz w:val="20"/>
                <w:szCs w:val="20"/>
                <w:lang w:val="en-US"/>
              </w:rPr>
              <w:t xml:space="preserve">²window, </w:t>
            </w:r>
            <w:r>
              <w:rPr>
                <w:sz w:val="20"/>
                <w:szCs w:val="20"/>
              </w:rPr>
              <w:t>σ</w:t>
            </w:r>
            <w:r>
              <w:rPr>
                <w:sz w:val="20"/>
                <w:szCs w:val="20"/>
                <w:lang w:val="en-US"/>
              </w:rPr>
              <w:t>²interaction</w:t>
            </w:r>
          </w:p>
        </w:tc>
        <w:tc>
          <w:tcPr>
            <w:tcW w:w="6755" w:type="dxa"/>
          </w:tcPr>
          <w:p w14:paraId="386E7AE3" w14:textId="77777777" w:rsidR="00FA1C3E" w:rsidRPr="00983CC2" w:rsidRDefault="00DF00D8" w:rsidP="00B632D2">
            <w:pPr>
              <w:spacing w:line="240" w:lineRule="auto"/>
              <w:rPr>
                <w:sz w:val="20"/>
                <w:szCs w:val="20"/>
              </w:rPr>
            </w:pPr>
            <w:r>
              <w:rPr>
                <w:sz w:val="20"/>
                <w:szCs w:val="20"/>
              </w:rPr>
              <w:t>Crossed variance components</w:t>
            </w:r>
          </w:p>
        </w:tc>
      </w:tr>
      <w:tr w:rsidR="004A7F0F" w:rsidRPr="00DD392A" w14:paraId="56DABC04" w14:textId="77777777">
        <w:tc>
          <w:tcPr>
            <w:tcW w:w="2600" w:type="dxa"/>
          </w:tcPr>
          <w:p w14:paraId="5430BA06" w14:textId="77777777" w:rsidR="00FA1C3E" w:rsidRPr="00983CC2" w:rsidRDefault="00DF00D8" w:rsidP="00B632D2">
            <w:pPr>
              <w:spacing w:line="240" w:lineRule="auto"/>
              <w:rPr>
                <w:sz w:val="20"/>
                <w:szCs w:val="20"/>
              </w:rPr>
            </w:pPr>
            <w:r>
              <w:rPr>
                <w:sz w:val="20"/>
                <w:szCs w:val="20"/>
              </w:rPr>
              <w:t>MSseed, MSwindow, MSinteraction</w:t>
            </w:r>
          </w:p>
        </w:tc>
        <w:tc>
          <w:tcPr>
            <w:tcW w:w="6755" w:type="dxa"/>
          </w:tcPr>
          <w:p w14:paraId="6C5D6AE5" w14:textId="77777777" w:rsidR="00FA1C3E" w:rsidRPr="00983CC2" w:rsidRDefault="00DF00D8" w:rsidP="00B632D2">
            <w:pPr>
              <w:spacing w:line="240" w:lineRule="auto"/>
              <w:rPr>
                <w:sz w:val="20"/>
                <w:szCs w:val="20"/>
              </w:rPr>
            </w:pPr>
            <w:r>
              <w:rPr>
                <w:sz w:val="20"/>
                <w:szCs w:val="20"/>
              </w:rPr>
              <w:t>Crossed-design mean squares</w:t>
            </w:r>
          </w:p>
        </w:tc>
      </w:tr>
      <w:tr w:rsidR="004A7F0F" w:rsidRPr="005439BC" w14:paraId="5F1DEF33" w14:textId="77777777">
        <w:tc>
          <w:tcPr>
            <w:tcW w:w="2600" w:type="dxa"/>
          </w:tcPr>
          <w:p w14:paraId="206BC3CA" w14:textId="77777777" w:rsidR="00FA1C3E" w:rsidRPr="00983CC2" w:rsidRDefault="00DF00D8" w:rsidP="00B632D2">
            <w:pPr>
              <w:spacing w:line="240" w:lineRule="auto"/>
              <w:rPr>
                <w:sz w:val="20"/>
                <w:szCs w:val="20"/>
              </w:rPr>
            </w:pPr>
            <w:r>
              <w:rPr>
                <w:sz w:val="20"/>
                <w:szCs w:val="20"/>
              </w:rPr>
              <w:t>Veval</w:t>
            </w:r>
          </w:p>
        </w:tc>
        <w:tc>
          <w:tcPr>
            <w:tcW w:w="6755" w:type="dxa"/>
          </w:tcPr>
          <w:p w14:paraId="6142EA28" w14:textId="77777777" w:rsidR="00FA1C3E" w:rsidRPr="00983CC2" w:rsidRDefault="00DF00D8" w:rsidP="00B632D2">
            <w:pPr>
              <w:spacing w:line="240" w:lineRule="auto"/>
              <w:rPr>
                <w:sz w:val="20"/>
                <w:szCs w:val="20"/>
                <w:lang w:val="en-US"/>
              </w:rPr>
            </w:pPr>
            <w:r>
              <w:rPr>
                <w:sz w:val="20"/>
                <w:szCs w:val="20"/>
                <w:lang w:val="en-US"/>
              </w:rPr>
              <w:t>Joint moving-block-bootstrap variance of the seed-averaged evaluation mean</w:t>
            </w:r>
          </w:p>
        </w:tc>
      </w:tr>
      <w:tr w:rsidR="004A7F0F" w:rsidRPr="005439BC" w14:paraId="0988CFD4" w14:textId="77777777">
        <w:tc>
          <w:tcPr>
            <w:tcW w:w="2600" w:type="dxa"/>
          </w:tcPr>
          <w:p w14:paraId="1A6E5C3C" w14:textId="77777777" w:rsidR="00FA1C3E" w:rsidRPr="00983CC2" w:rsidRDefault="00DF00D8" w:rsidP="00B632D2">
            <w:pPr>
              <w:spacing w:line="240" w:lineRule="auto"/>
              <w:rPr>
                <w:sz w:val="20"/>
                <w:szCs w:val="20"/>
              </w:rPr>
            </w:pPr>
            <w:r>
              <w:rPr>
                <w:sz w:val="20"/>
                <w:szCs w:val="20"/>
              </w:rPr>
              <w:t>shareseed</w:t>
            </w:r>
          </w:p>
        </w:tc>
        <w:tc>
          <w:tcPr>
            <w:tcW w:w="6755" w:type="dxa"/>
          </w:tcPr>
          <w:p w14:paraId="16D52212" w14:textId="77777777" w:rsidR="00FA1C3E" w:rsidRPr="00983CC2" w:rsidRDefault="00DF00D8" w:rsidP="00B632D2">
            <w:pPr>
              <w:spacing w:line="240" w:lineRule="auto"/>
              <w:rPr>
                <w:sz w:val="20"/>
                <w:szCs w:val="20"/>
                <w:lang w:val="en-US"/>
              </w:rPr>
            </w:pPr>
            <w:r>
              <w:rPr>
                <w:sz w:val="20"/>
                <w:szCs w:val="20"/>
                <w:lang w:val="en-US"/>
              </w:rPr>
              <w:t>(</w:t>
            </w:r>
            <w:r>
              <w:rPr>
                <w:sz w:val="20"/>
                <w:szCs w:val="20"/>
              </w:rPr>
              <w:t>σ</w:t>
            </w:r>
            <w:r>
              <w:rPr>
                <w:sz w:val="20"/>
                <w:szCs w:val="20"/>
                <w:lang w:val="en-US"/>
              </w:rPr>
              <w:t>²seed/S) / [(</w:t>
            </w:r>
            <w:r>
              <w:rPr>
                <w:sz w:val="20"/>
                <w:szCs w:val="20"/>
              </w:rPr>
              <w:t>σ</w:t>
            </w:r>
            <w:r>
              <w:rPr>
                <w:sz w:val="20"/>
                <w:szCs w:val="20"/>
                <w:lang w:val="en-US"/>
              </w:rPr>
              <w:t>²seed/S) + Veval]</w:t>
            </w:r>
          </w:p>
        </w:tc>
      </w:tr>
    </w:tbl>
    <w:p w14:paraId="6099AFD6" w14:textId="77777777" w:rsidR="004A7F0F" w:rsidRPr="00F833A2" w:rsidRDefault="00BB709A" w:rsidP="00B632D2">
      <w:pPr>
        <w:spacing w:before="240" w:after="80" w:line="240" w:lineRule="auto"/>
        <w:jc w:val="both"/>
        <w:rPr>
          <w:rFonts w:cs="Times New Roman"/>
          <w:b/>
          <w:sz w:val="20"/>
          <w:szCs w:val="20"/>
          <w:lang w:val="en-US"/>
        </w:rPr>
      </w:pPr>
      <w:r>
        <w:rPr>
          <w:rFonts w:cs="Times New Roman"/>
          <w:b/>
          <w:sz w:val="20"/>
          <w:szCs w:val="20"/>
          <w:lang w:val="en-US"/>
        </w:rPr>
        <w:t>Appendix B. Model and training hyperparameters</w:t>
      </w:r>
    </w:p>
    <w:p w14:paraId="02FB8AF3" w14:textId="77777777" w:rsidR="004A7F0F" w:rsidRPr="00F833A2" w:rsidRDefault="00BB709A" w:rsidP="00B632D2">
      <w:pPr>
        <w:spacing w:before="160" w:after="80" w:line="240" w:lineRule="auto"/>
        <w:jc w:val="both"/>
        <w:rPr>
          <w:rFonts w:cs="Times New Roman"/>
          <w:sz w:val="20"/>
          <w:szCs w:val="20"/>
          <w:lang w:val="en-US"/>
        </w:rPr>
      </w:pPr>
      <w:r>
        <w:rPr>
          <w:rFonts w:cs="Times New Roman"/>
          <w:sz w:val="20"/>
          <w:szCs w:val="20"/>
          <w:lang w:val="en-US"/>
        </w:rPr>
        <w:t>Table B1. Architecture, optimization and preprocessing settings, identical for every configuration except for the three binary design factors of Section 4.3.1.</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55"/>
      </w:tblGrid>
      <w:tr w:rsidR="004A7F0F" w14:paraId="50F9E4F6" w14:textId="77777777">
        <w:trPr>
          <w:tblHeader/>
        </w:trPr>
        <w:tc>
          <w:tcPr>
            <w:tcW w:w="2600" w:type="dxa"/>
          </w:tcPr>
          <w:p w14:paraId="070E3677" w14:textId="77777777" w:rsidR="004A7F0F" w:rsidRDefault="00BB709A" w:rsidP="00B632D2">
            <w:pPr>
              <w:spacing w:after="20" w:line="240" w:lineRule="auto"/>
              <w:rPr>
                <w:rFonts w:cs="Times New Roman"/>
                <w:b/>
                <w:sz w:val="20"/>
                <w:szCs w:val="20"/>
              </w:rPr>
            </w:pPr>
            <w:r>
              <w:rPr>
                <w:rFonts w:cs="Times New Roman"/>
                <w:b/>
                <w:sz w:val="20"/>
                <w:szCs w:val="20"/>
              </w:rPr>
              <w:t>Component</w:t>
            </w:r>
          </w:p>
        </w:tc>
        <w:tc>
          <w:tcPr>
            <w:tcW w:w="6755" w:type="dxa"/>
          </w:tcPr>
          <w:p w14:paraId="474C30D3" w14:textId="77777777" w:rsidR="004A7F0F" w:rsidRDefault="00BB709A" w:rsidP="00B632D2">
            <w:pPr>
              <w:spacing w:after="20" w:line="240" w:lineRule="auto"/>
              <w:rPr>
                <w:rFonts w:cs="Times New Roman"/>
                <w:b/>
                <w:sz w:val="20"/>
                <w:szCs w:val="20"/>
              </w:rPr>
            </w:pPr>
            <w:r>
              <w:rPr>
                <w:rFonts w:cs="Times New Roman"/>
                <w:b/>
                <w:sz w:val="20"/>
                <w:szCs w:val="20"/>
              </w:rPr>
              <w:t>Setting</w:t>
            </w:r>
          </w:p>
        </w:tc>
      </w:tr>
      <w:tr w:rsidR="004A7F0F" w:rsidRPr="005439BC" w14:paraId="1BC48ACD" w14:textId="77777777">
        <w:tc>
          <w:tcPr>
            <w:tcW w:w="2600" w:type="dxa"/>
          </w:tcPr>
          <w:p w14:paraId="1DD18584" w14:textId="77777777" w:rsidR="004A7F0F" w:rsidRDefault="00BB709A" w:rsidP="00B632D2">
            <w:pPr>
              <w:spacing w:after="20" w:line="240" w:lineRule="auto"/>
              <w:rPr>
                <w:rFonts w:cs="Times New Roman"/>
                <w:sz w:val="20"/>
                <w:szCs w:val="20"/>
              </w:rPr>
            </w:pPr>
            <w:r>
              <w:rPr>
                <w:rFonts w:cs="Times New Roman"/>
                <w:sz w:val="20"/>
                <w:szCs w:val="20"/>
              </w:rPr>
              <w:t>Input / output</w:t>
            </w:r>
          </w:p>
        </w:tc>
        <w:tc>
          <w:tcPr>
            <w:tcW w:w="6755" w:type="dxa"/>
          </w:tcPr>
          <w:p w14:paraId="09FBCBC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 = 168 hourly observations, T = 24 h ahead</w:t>
            </w:r>
          </w:p>
        </w:tc>
      </w:tr>
      <w:tr w:rsidR="004A7F0F" w:rsidRPr="005439BC" w14:paraId="6F3EE42E" w14:textId="77777777">
        <w:tc>
          <w:tcPr>
            <w:tcW w:w="2600" w:type="dxa"/>
          </w:tcPr>
          <w:p w14:paraId="5E0D8C39" w14:textId="77777777" w:rsidR="004A7F0F" w:rsidRDefault="00BB709A" w:rsidP="00B632D2">
            <w:pPr>
              <w:spacing w:after="20" w:line="240" w:lineRule="auto"/>
              <w:rPr>
                <w:rFonts w:cs="Times New Roman"/>
                <w:sz w:val="20"/>
                <w:szCs w:val="20"/>
              </w:rPr>
            </w:pPr>
            <w:r>
              <w:rPr>
                <w:rFonts w:cs="Times New Roman"/>
                <w:sz w:val="20"/>
                <w:szCs w:val="20"/>
              </w:rPr>
              <w:t>Decomposition</w:t>
            </w:r>
          </w:p>
        </w:tc>
        <w:tc>
          <w:tcPr>
            <w:tcW w:w="6755" w:type="dxa"/>
          </w:tcPr>
          <w:p w14:paraId="48C957E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 xml:space="preserve">variational mode decomposition within the window, K = 6, </w:t>
            </w:r>
            <w:r>
              <w:rPr>
                <w:rFonts w:cs="Times New Roman"/>
                <w:sz w:val="20"/>
                <w:szCs w:val="20"/>
              </w:rPr>
              <w:t>α</w:t>
            </w:r>
            <w:r>
              <w:rPr>
                <w:rFonts w:cs="Times New Roman"/>
                <w:sz w:val="20"/>
                <w:szCs w:val="20"/>
                <w:lang w:val="en-US"/>
              </w:rPr>
              <w:t xml:space="preserve"> = 2000</w:t>
            </w:r>
          </w:p>
        </w:tc>
      </w:tr>
      <w:tr w:rsidR="004A7F0F" w:rsidRPr="005439BC" w14:paraId="1123AFFF" w14:textId="77777777">
        <w:tc>
          <w:tcPr>
            <w:tcW w:w="2600" w:type="dxa"/>
          </w:tcPr>
          <w:p w14:paraId="5AC4A4AE" w14:textId="77777777" w:rsidR="004A7F0F" w:rsidRDefault="00BB709A" w:rsidP="00B632D2">
            <w:pPr>
              <w:spacing w:after="20" w:line="240" w:lineRule="auto"/>
              <w:rPr>
                <w:rFonts w:cs="Times New Roman"/>
                <w:sz w:val="20"/>
                <w:szCs w:val="20"/>
              </w:rPr>
            </w:pPr>
            <w:r>
              <w:rPr>
                <w:rFonts w:cs="Times New Roman"/>
                <w:sz w:val="20"/>
                <w:szCs w:val="20"/>
              </w:rPr>
              <w:t>Shared encoder</w:t>
            </w:r>
          </w:p>
        </w:tc>
        <w:tc>
          <w:tcPr>
            <w:tcW w:w="6755" w:type="dxa"/>
          </w:tcPr>
          <w:p w14:paraId="44EE9DAC"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d = 128, 8 heads, 3 layers, d_ff = 256, weight-tied across modes</w:t>
            </w:r>
          </w:p>
        </w:tc>
      </w:tr>
      <w:tr w:rsidR="004A7F0F" w:rsidRPr="005439BC" w14:paraId="21194445" w14:textId="77777777">
        <w:tc>
          <w:tcPr>
            <w:tcW w:w="2600" w:type="dxa"/>
          </w:tcPr>
          <w:p w14:paraId="21237B51" w14:textId="77777777" w:rsidR="004A7F0F" w:rsidRDefault="00BB709A" w:rsidP="00B632D2">
            <w:pPr>
              <w:spacing w:after="20" w:line="240" w:lineRule="auto"/>
              <w:rPr>
                <w:rFonts w:cs="Times New Roman"/>
                <w:sz w:val="20"/>
                <w:szCs w:val="20"/>
              </w:rPr>
            </w:pPr>
            <w:r>
              <w:rPr>
                <w:rFonts w:cs="Times New Roman"/>
                <w:sz w:val="20"/>
                <w:szCs w:val="20"/>
              </w:rPr>
              <w:t>Direct-path encoder</w:t>
            </w:r>
          </w:p>
        </w:tc>
        <w:tc>
          <w:tcPr>
            <w:tcW w:w="6755" w:type="dxa"/>
          </w:tcPr>
          <w:p w14:paraId="693E964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patch Transformer on the undecomposed window, d = 64, 4 heads, 2 layers</w:t>
            </w:r>
          </w:p>
        </w:tc>
      </w:tr>
      <w:tr w:rsidR="004A7F0F" w:rsidRPr="005439BC" w14:paraId="3837CF19" w14:textId="77777777">
        <w:tc>
          <w:tcPr>
            <w:tcW w:w="2600" w:type="dxa"/>
          </w:tcPr>
          <w:p w14:paraId="615CD04C" w14:textId="77777777" w:rsidR="004A7F0F" w:rsidRDefault="00BB709A" w:rsidP="00B632D2">
            <w:pPr>
              <w:spacing w:after="20" w:line="240" w:lineRule="auto"/>
              <w:rPr>
                <w:rFonts w:cs="Times New Roman"/>
                <w:sz w:val="20"/>
                <w:szCs w:val="20"/>
              </w:rPr>
            </w:pPr>
            <w:r>
              <w:rPr>
                <w:rFonts w:cs="Times New Roman"/>
                <w:sz w:val="20"/>
                <w:szCs w:val="20"/>
              </w:rPr>
              <w:t>Aggregation</w:t>
            </w:r>
          </w:p>
        </w:tc>
        <w:tc>
          <w:tcPr>
            <w:tcW w:w="6755" w:type="dxa"/>
          </w:tcPr>
          <w:p w14:paraId="40AFED8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per-mode, per-horizon learned weights, softmax-normalized across modes</w:t>
            </w:r>
          </w:p>
        </w:tc>
      </w:tr>
      <w:tr w:rsidR="004A7F0F" w:rsidRPr="005439BC" w14:paraId="704C6083" w14:textId="77777777">
        <w:tc>
          <w:tcPr>
            <w:tcW w:w="2600" w:type="dxa"/>
          </w:tcPr>
          <w:p w14:paraId="5010CC5F" w14:textId="77777777" w:rsidR="004A7F0F" w:rsidRDefault="00BB709A" w:rsidP="00B632D2">
            <w:pPr>
              <w:spacing w:after="20" w:line="240" w:lineRule="auto"/>
              <w:rPr>
                <w:rFonts w:cs="Times New Roman"/>
                <w:sz w:val="20"/>
                <w:szCs w:val="20"/>
              </w:rPr>
            </w:pPr>
            <w:r>
              <w:rPr>
                <w:rFonts w:cs="Times New Roman"/>
                <w:sz w:val="20"/>
                <w:szCs w:val="20"/>
              </w:rPr>
              <w:t>Fusion</w:t>
            </w:r>
          </w:p>
        </w:tc>
        <w:tc>
          <w:tcPr>
            <w:tcW w:w="6755" w:type="dxa"/>
          </w:tcPr>
          <w:p w14:paraId="2F7D2DA2"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learned gate computed from the two path outputs (Eq. 1)</w:t>
            </w:r>
          </w:p>
        </w:tc>
      </w:tr>
      <w:tr w:rsidR="004A7F0F" w:rsidRPr="005439BC" w14:paraId="0B7D5FAC" w14:textId="77777777">
        <w:tc>
          <w:tcPr>
            <w:tcW w:w="2600" w:type="dxa"/>
          </w:tcPr>
          <w:p w14:paraId="3D1F786D" w14:textId="77777777" w:rsidR="004A7F0F" w:rsidRDefault="00BB709A" w:rsidP="00B632D2">
            <w:pPr>
              <w:spacing w:after="20" w:line="240" w:lineRule="auto"/>
              <w:rPr>
                <w:rFonts w:cs="Times New Roman"/>
                <w:sz w:val="20"/>
                <w:szCs w:val="20"/>
              </w:rPr>
            </w:pPr>
            <w:r>
              <w:rPr>
                <w:rFonts w:cs="Times New Roman"/>
                <w:sz w:val="20"/>
                <w:szCs w:val="20"/>
              </w:rPr>
              <w:t>Loss</w:t>
            </w:r>
          </w:p>
        </w:tc>
        <w:tc>
          <w:tcPr>
            <w:tcW w:w="6755" w:type="dxa"/>
          </w:tcPr>
          <w:p w14:paraId="7B5BCABB"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Huber on the fused forecast plus auxiliary reconstruction term, weight 0.2</w:t>
            </w:r>
          </w:p>
        </w:tc>
      </w:tr>
      <w:tr w:rsidR="004A7F0F" w:rsidRPr="005439BC" w14:paraId="69B20926" w14:textId="77777777">
        <w:tc>
          <w:tcPr>
            <w:tcW w:w="2600" w:type="dxa"/>
          </w:tcPr>
          <w:p w14:paraId="63CC0726" w14:textId="77777777" w:rsidR="004A7F0F" w:rsidRDefault="00BB709A" w:rsidP="00B632D2">
            <w:pPr>
              <w:spacing w:after="20" w:line="240" w:lineRule="auto"/>
              <w:rPr>
                <w:rFonts w:cs="Times New Roman"/>
                <w:sz w:val="20"/>
                <w:szCs w:val="20"/>
              </w:rPr>
            </w:pPr>
            <w:r>
              <w:rPr>
                <w:rFonts w:cs="Times New Roman"/>
                <w:sz w:val="20"/>
                <w:szCs w:val="20"/>
              </w:rPr>
              <w:t>Optimizer</w:t>
            </w:r>
          </w:p>
        </w:tc>
        <w:tc>
          <w:tcPr>
            <w:tcW w:w="6755" w:type="dxa"/>
          </w:tcPr>
          <w:p w14:paraId="253B2974"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AdamW, learning rate 5 × 10⁻⁴, weight decay 10⁻⁴</w:t>
            </w:r>
          </w:p>
        </w:tc>
      </w:tr>
      <w:tr w:rsidR="004A7F0F" w:rsidRPr="005439BC" w14:paraId="6A815818" w14:textId="77777777">
        <w:tc>
          <w:tcPr>
            <w:tcW w:w="2600" w:type="dxa"/>
          </w:tcPr>
          <w:p w14:paraId="6E15F7FB" w14:textId="77777777" w:rsidR="004A7F0F" w:rsidRDefault="00BB709A" w:rsidP="00B632D2">
            <w:pPr>
              <w:spacing w:after="20" w:line="240" w:lineRule="auto"/>
              <w:rPr>
                <w:rFonts w:cs="Times New Roman"/>
                <w:sz w:val="20"/>
                <w:szCs w:val="20"/>
              </w:rPr>
            </w:pPr>
            <w:r>
              <w:rPr>
                <w:rFonts w:cs="Times New Roman"/>
                <w:sz w:val="20"/>
                <w:szCs w:val="20"/>
              </w:rPr>
              <w:t>Schedule</w:t>
            </w:r>
          </w:p>
        </w:tc>
        <w:tc>
          <w:tcPr>
            <w:tcW w:w="6755" w:type="dxa"/>
          </w:tcPr>
          <w:p w14:paraId="5BD737B7"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cosine annealing with warm restarts, gradient-norm clipping at 1.0</w:t>
            </w:r>
          </w:p>
        </w:tc>
      </w:tr>
      <w:tr w:rsidR="004A7F0F" w:rsidRPr="005439BC" w14:paraId="7EF0CFEA" w14:textId="77777777">
        <w:tc>
          <w:tcPr>
            <w:tcW w:w="2600" w:type="dxa"/>
          </w:tcPr>
          <w:p w14:paraId="7F1D9124" w14:textId="77777777" w:rsidR="004A7F0F" w:rsidRDefault="00BB709A" w:rsidP="00B632D2">
            <w:pPr>
              <w:spacing w:after="20" w:line="240" w:lineRule="auto"/>
              <w:rPr>
                <w:rFonts w:cs="Times New Roman"/>
                <w:sz w:val="20"/>
                <w:szCs w:val="20"/>
              </w:rPr>
            </w:pPr>
            <w:r>
              <w:rPr>
                <w:rFonts w:cs="Times New Roman"/>
                <w:sz w:val="20"/>
                <w:szCs w:val="20"/>
              </w:rPr>
              <w:lastRenderedPageBreak/>
              <w:t>Batch size / epochs</w:t>
            </w:r>
          </w:p>
        </w:tc>
        <w:tc>
          <w:tcPr>
            <w:tcW w:w="6755" w:type="dxa"/>
          </w:tcPr>
          <w:p w14:paraId="2C561F05"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64 / 60; reported epoch is the one with lowest validation MAE</w:t>
            </w:r>
          </w:p>
        </w:tc>
      </w:tr>
      <w:tr w:rsidR="004A7F0F" w:rsidRPr="005439BC" w14:paraId="0B0F887D" w14:textId="77777777">
        <w:tc>
          <w:tcPr>
            <w:tcW w:w="2600" w:type="dxa"/>
          </w:tcPr>
          <w:p w14:paraId="776540AF" w14:textId="77777777" w:rsidR="004A7F0F" w:rsidRDefault="00BB709A" w:rsidP="00B632D2">
            <w:pPr>
              <w:spacing w:after="20" w:line="240" w:lineRule="auto"/>
              <w:rPr>
                <w:rFonts w:cs="Times New Roman"/>
                <w:sz w:val="20"/>
                <w:szCs w:val="20"/>
              </w:rPr>
            </w:pPr>
            <w:r>
              <w:rPr>
                <w:rFonts w:cs="Times New Roman"/>
                <w:sz w:val="20"/>
                <w:szCs w:val="20"/>
              </w:rPr>
              <w:t>Seeds</w:t>
            </w:r>
          </w:p>
        </w:tc>
        <w:tc>
          <w:tcPr>
            <w:tcW w:w="6755" w:type="dxa"/>
          </w:tcPr>
          <w:p w14:paraId="026F835F"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42, 7, 13, 99, 2025 (five independent runs per configuration)</w:t>
            </w:r>
          </w:p>
        </w:tc>
      </w:tr>
      <w:tr w:rsidR="004A7F0F" w:rsidRPr="005439BC" w14:paraId="12DFE709" w14:textId="77777777" w:rsidTr="00983CC2">
        <w:trPr>
          <w:trHeight w:val="54"/>
        </w:trPr>
        <w:tc>
          <w:tcPr>
            <w:tcW w:w="2600" w:type="dxa"/>
          </w:tcPr>
          <w:p w14:paraId="6DF3E6FF" w14:textId="77777777" w:rsidR="004A7F0F" w:rsidRDefault="00BB709A" w:rsidP="00B632D2">
            <w:pPr>
              <w:spacing w:after="20" w:line="240" w:lineRule="auto"/>
              <w:rPr>
                <w:rFonts w:cs="Times New Roman"/>
                <w:sz w:val="20"/>
                <w:szCs w:val="20"/>
              </w:rPr>
            </w:pPr>
            <w:r>
              <w:rPr>
                <w:rFonts w:cs="Times New Roman"/>
                <w:sz w:val="20"/>
                <w:szCs w:val="20"/>
              </w:rPr>
              <w:t>Preprocessing</w:t>
            </w:r>
          </w:p>
        </w:tc>
        <w:tc>
          <w:tcPr>
            <w:tcW w:w="6755" w:type="dxa"/>
          </w:tcPr>
          <w:p w14:paraId="40F1AF53"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hourly resampling, gaps ≤ 6 h interpolated, three-sigma clipping and min-max scaling fitted on the training segment only</w:t>
            </w:r>
          </w:p>
        </w:tc>
      </w:tr>
      <w:tr w:rsidR="004A7F0F" w:rsidRPr="005439BC" w14:paraId="607EF7BB" w14:textId="77777777">
        <w:tc>
          <w:tcPr>
            <w:tcW w:w="2600" w:type="dxa"/>
          </w:tcPr>
          <w:p w14:paraId="32AEFC9E" w14:textId="77777777" w:rsidR="004A7F0F" w:rsidRDefault="00BB709A" w:rsidP="00B632D2">
            <w:pPr>
              <w:spacing w:after="20" w:line="240" w:lineRule="auto"/>
              <w:rPr>
                <w:rFonts w:cs="Times New Roman"/>
                <w:sz w:val="20"/>
                <w:szCs w:val="20"/>
              </w:rPr>
            </w:pPr>
            <w:r>
              <w:rPr>
                <w:rFonts w:cs="Times New Roman"/>
                <w:sz w:val="20"/>
                <w:szCs w:val="20"/>
              </w:rPr>
              <w:t>Split</w:t>
            </w:r>
          </w:p>
        </w:tc>
        <w:tc>
          <w:tcPr>
            <w:tcW w:w="6755" w:type="dxa"/>
          </w:tcPr>
          <w:p w14:paraId="7E1E03A6" w14:textId="77777777" w:rsidR="004A7F0F" w:rsidRPr="00F833A2" w:rsidRDefault="00BB709A" w:rsidP="00B632D2">
            <w:pPr>
              <w:spacing w:after="20" w:line="240" w:lineRule="auto"/>
              <w:rPr>
                <w:rFonts w:cs="Times New Roman"/>
                <w:sz w:val="20"/>
                <w:szCs w:val="20"/>
                <w:lang w:val="en-US"/>
              </w:rPr>
            </w:pPr>
            <w:r>
              <w:rPr>
                <w:rFonts w:cs="Times New Roman"/>
                <w:sz w:val="20"/>
                <w:szCs w:val="20"/>
                <w:lang w:val="en-US"/>
              </w:rPr>
              <w:t>chronological 70 / 15 / 15%; test windows at stride 24</w:t>
            </w:r>
          </w:p>
        </w:tc>
      </w:tr>
    </w:tbl>
    <w:p w14:paraId="01F2A7AA" w14:textId="77777777" w:rsidR="00643516" w:rsidRDefault="00643516" w:rsidP="00B632D2">
      <w:pPr>
        <w:spacing w:line="240" w:lineRule="auto"/>
        <w:jc w:val="both"/>
        <w:rPr>
          <w:rFonts w:cs="Times New Roman"/>
          <w:color w:val="2E74B5"/>
          <w:sz w:val="32"/>
          <w:szCs w:val="32"/>
          <w:lang w:val="en-US" w:eastAsia="ru-RU"/>
        </w:rPr>
      </w:pPr>
      <w:r>
        <w:rPr>
          <w:rFonts w:cs="Times New Roman"/>
          <w:color w:val="2E74B5"/>
          <w:sz w:val="32"/>
          <w:szCs w:val="32"/>
          <w:lang w:val="en-US" w:eastAsia="ru-RU"/>
        </w:rPr>
        <w:t>Statements and Declarations</w:t>
      </w:r>
    </w:p>
    <w:p w14:paraId="5516D95B" w14:textId="77777777" w:rsidR="00E47846" w:rsidRPr="00F22774" w:rsidRDefault="00E47846" w:rsidP="00B632D2">
      <w:pPr>
        <w:spacing w:line="240" w:lineRule="auto"/>
        <w:jc w:val="both"/>
        <w:rPr>
          <w:rFonts w:cs="Times New Roman"/>
          <w:lang w:val="en-US"/>
        </w:rPr>
      </w:pPr>
      <w:r>
        <w:rPr>
          <w:rFonts w:cs="Times New Roman"/>
          <w:b/>
          <w:lang w:val="en-US"/>
        </w:rPr>
        <w:t>Funding.</w:t>
      </w:r>
      <w:r>
        <w:rPr>
          <w:rFonts w:cs="Times New Roman"/>
          <w:lang w:val="en-US"/>
        </w:rPr>
        <w:t xml:space="preserve"> No funds, grants, or other support was received for conducting this study.</w:t>
      </w:r>
    </w:p>
    <w:p w14:paraId="689D6587" w14:textId="77777777" w:rsidR="00E47846" w:rsidRPr="00F22774" w:rsidRDefault="00E47846" w:rsidP="00B632D2">
      <w:pPr>
        <w:spacing w:line="240" w:lineRule="auto"/>
        <w:jc w:val="both"/>
        <w:rPr>
          <w:rFonts w:cs="Times New Roman"/>
          <w:lang w:val="en-US"/>
        </w:rPr>
      </w:pPr>
      <w:r>
        <w:rPr>
          <w:rFonts w:cs="Times New Roman"/>
          <w:b/>
          <w:lang w:val="en-US"/>
        </w:rPr>
        <w:t>Competing interests.</w:t>
      </w:r>
      <w:r>
        <w:rPr>
          <w:rFonts w:cs="Times New Roman"/>
          <w:lang w:val="en-US"/>
        </w:rPr>
        <w:t xml:space="preserve"> The authors have no relevant financial or non-financial interests to disclose.</w:t>
      </w:r>
    </w:p>
    <w:p w14:paraId="794CEB58" w14:textId="77777777" w:rsidR="00E47846" w:rsidRPr="00F22774" w:rsidRDefault="00E47846" w:rsidP="00B632D2">
      <w:pPr>
        <w:spacing w:line="240" w:lineRule="auto"/>
        <w:jc w:val="both"/>
        <w:rPr>
          <w:rFonts w:cs="Times New Roman"/>
          <w:lang w:val="en-US"/>
        </w:rPr>
      </w:pPr>
      <w:r>
        <w:rPr>
          <w:rFonts w:cs="Times New Roman"/>
          <w:b/>
          <w:lang w:val="en-US"/>
        </w:rPr>
        <w:t>Relation to previous work.</w:t>
      </w:r>
      <w:r>
        <w:rPr>
          <w:rFonts w:cs="Times New Roman"/>
          <w:lang w:val="en-US"/>
        </w:rPr>
        <w:t xml:space="preserve"> The architectural claim re-examined in this paper originates in an unpublished bachelor's thesis by one of the authors (D. T. Musina, Development of an intelligent energy management system for smart homes, L. N. Gumilyov Eurasian National University, Astana, Kazakhstan, 2026), archived at the authors' institution and never published in any form; following journal policy for unpublished work it is cited in the text only and does not appear in the reference list. No part of the present manuscript has appeared elsewhere, and it does not overlap with the authors' published work on residential load forecasting.</w:t>
      </w:r>
    </w:p>
    <w:p w14:paraId="16ED801D" w14:textId="77777777" w:rsidR="00E47846" w:rsidRPr="00F22774" w:rsidRDefault="00E47846" w:rsidP="00B632D2">
      <w:pPr>
        <w:spacing w:line="240" w:lineRule="auto"/>
        <w:jc w:val="both"/>
        <w:rPr>
          <w:rFonts w:cs="Times New Roman"/>
          <w:lang w:val="en-US"/>
        </w:rPr>
      </w:pPr>
      <w:r>
        <w:rPr>
          <w:rFonts w:cs="Times New Roman"/>
          <w:b/>
          <w:lang w:val="en-US"/>
        </w:rPr>
        <w:t>Ethics approval and consent to participate.</w:t>
      </w:r>
      <w:r>
        <w:rPr>
          <w:rFonts w:cs="Times New Roman"/>
          <w:lang w:val="en-US"/>
        </w:rPr>
        <w:t xml:space="preserve"> Not applicable. This study did not involve human participants, human data, or animals; it uses publicly available, pre-anonymized household electricity metering datasets (REFIT, UK-DALE, SHEERM) released for academic research by their respective originating institutions.</w:t>
      </w:r>
    </w:p>
    <w:p w14:paraId="305896CD" w14:textId="77777777" w:rsidR="00E47846" w:rsidRPr="00DD392A" w:rsidRDefault="00E47846" w:rsidP="00B632D2">
      <w:pPr>
        <w:spacing w:line="240" w:lineRule="auto"/>
        <w:jc w:val="both"/>
        <w:rPr>
          <w:rFonts w:cs="Times New Roman"/>
          <w:bCs/>
          <w:lang w:val="en-US"/>
        </w:rPr>
      </w:pPr>
      <w:r>
        <w:rPr>
          <w:b/>
          <w:bCs/>
          <w:lang w:val="en-US"/>
        </w:rPr>
        <w:t>Data availability</w:t>
      </w:r>
      <w:r>
        <w:rPr>
          <w:lang w:val="en-US"/>
        </w:rPr>
        <w:t>. UK-DALE, REFIT, SHEERM, ECL and the OpenML-CC18 tasks are publicly available from their originating repositories and are cited in the relevant methods sections. No new raw data were generated. Dataset-selection manifests, compact derived summaries and the 17 OpenML-CC18 per-task prediction artifacts are included in the versioned reproducibility archive (https://doi.org/10.5281/zenodo.21935720); source datasets remain available from their cited repositories.</w:t>
      </w:r>
    </w:p>
    <w:p w14:paraId="519E0E23" w14:textId="77777777" w:rsidR="00E47846" w:rsidRPr="00DD392A" w:rsidRDefault="00E47846" w:rsidP="00B632D2">
      <w:pPr>
        <w:spacing w:line="240" w:lineRule="auto"/>
        <w:jc w:val="both"/>
        <w:rPr>
          <w:rFonts w:cs="Times New Roman"/>
          <w:bCs/>
          <w:lang w:val="en-US"/>
        </w:rPr>
      </w:pPr>
      <w:r>
        <w:rPr>
          <w:b/>
          <w:bCs/>
          <w:lang w:val="en-US"/>
        </w:rPr>
        <w:t>Code availability</w:t>
      </w:r>
      <w:r>
        <w:rPr>
          <w:lang w:val="en-US"/>
        </w:rPr>
        <w:t>. Source code, environment specifications, registrations, deviation logs, manifests and result-generation scripts corresponding to version 1.0.0 are publicly archived at Zenodo (https://doi.org/10.5281/zenodo.21935720). Development history is available at https://github.com/tohmetovakylbek-creator/training-randomness-ablation-validity.</w:t>
      </w:r>
    </w:p>
    <w:p w14:paraId="3791427C" w14:textId="77777777" w:rsidR="00E47846" w:rsidRPr="00F22774" w:rsidRDefault="00E47846" w:rsidP="00B632D2">
      <w:pPr>
        <w:spacing w:line="240" w:lineRule="auto"/>
        <w:jc w:val="both"/>
        <w:rPr>
          <w:rFonts w:cs="Times New Roman"/>
          <w:lang w:val="en-US"/>
        </w:rPr>
      </w:pPr>
      <w:r>
        <w:rPr>
          <w:rFonts w:cs="Times New Roman"/>
          <w:b/>
          <w:lang w:val="en-US"/>
        </w:rPr>
        <w:t>Author contributions.</w:t>
      </w:r>
      <w:r>
        <w:rPr>
          <w:rFonts w:cs="Times New Roman"/>
          <w:lang w:val="en-US"/>
        </w:rPr>
        <w:t xml:space="preserve"> Akylbek Tokhmetov: Writing – original draft, Supervision, Methodology, Investigation, Data curation, Conceptualization. Liliya Tanchenko: Writing – review &amp; editing, Validation, Formal analysis, Data curation. Danel Musina: Writing – review &amp; editing, Resources, Software, Data curation.</w:t>
      </w:r>
    </w:p>
    <w:p w14:paraId="5AB06CDB" w14:textId="77777777" w:rsidR="00E47846" w:rsidRPr="00F22774" w:rsidRDefault="00E47846" w:rsidP="00B632D2">
      <w:pPr>
        <w:spacing w:line="240" w:lineRule="auto"/>
        <w:jc w:val="both"/>
        <w:rPr>
          <w:rFonts w:cs="Times New Roman"/>
          <w:lang w:val="en-US"/>
        </w:rPr>
      </w:pPr>
      <w:r>
        <w:rPr>
          <w:rFonts w:cs="Times New Roman"/>
          <w:b/>
          <w:lang w:val="en-US"/>
        </w:rPr>
        <w:t>Use of generative AI.</w:t>
      </w:r>
      <w:r>
        <w:rPr>
          <w:rFonts w:cs="Times New Roman"/>
          <w:lang w:val="en-US"/>
        </w:rPr>
        <w:t xml:space="preserve"> During the preparation of this work the authors used an AI assistant (Claude, Anthropic) for language editing and for drafting analysis code. The authors reviewed and edited the output as required and take full responsibility for the content of the publication.</w:t>
      </w:r>
    </w:p>
    <w:p w14:paraId="3D4CF748" w14:textId="77777777" w:rsidR="00E47846" w:rsidRPr="00F833A2" w:rsidRDefault="00E47846" w:rsidP="00B632D2">
      <w:pPr>
        <w:pStyle w:val="1"/>
        <w:spacing w:after="160"/>
        <w:rPr>
          <w:lang w:val="en-US"/>
        </w:rPr>
      </w:pPr>
      <w:r>
        <w:rPr>
          <w:lang w:val="en-US"/>
        </w:rPr>
        <w:t>R</w:t>
      </w:r>
      <w:bookmarkStart w:id="1" w:name="references_section"/>
      <w:r>
        <w:rPr>
          <w:lang w:val="en-US"/>
        </w:rPr>
        <w:t>eferences</w:t>
      </w:r>
      <w:r>
        <w:rPr>
          <w:b/>
          <w:lang w:val="en-US"/>
        </w:rPr>
        <w:t xml:space="preserve"> </w:t>
      </w:r>
      <w:bookmarkEnd w:id="1"/>
    </w:p>
    <w:p w14:paraId="4CB76A4F" w14:textId="77777777" w:rsidR="00BB709A" w:rsidRDefault="00BB709A" w:rsidP="002F1383">
      <w:pPr>
        <w:pStyle w:val="a3"/>
        <w:contextualSpacing/>
        <w:rPr>
          <w:lang w:val="en-US"/>
        </w:rPr>
      </w:pPr>
      <w:bookmarkStart w:id="2" w:name="ref_ahajjam_2022"/>
      <w:r>
        <w:rPr>
          <w:lang w:val="en-US"/>
        </w:rPr>
        <w:t xml:space="preserve">Ahajjam, M. A., Bonilla Licea, D., Ghogho, M., &amp; Kobbane, A. (2022). Experimental investigation of variational mode decomposition and deep learning for short-term multi-horizon residential electric load forecasting. </w:t>
      </w:r>
      <w:r>
        <w:rPr>
          <w:i/>
          <w:iCs/>
          <w:lang w:val="en-US"/>
        </w:rPr>
        <w:t>Applied Energy</w:t>
      </w:r>
      <w:r>
        <w:rPr>
          <w:lang w:val="en-US"/>
        </w:rPr>
        <w:t xml:space="preserve">, 326, 119963. </w:t>
      </w:r>
      <w:hyperlink r:id="rId11" w:history="1">
        <w:r>
          <w:rPr>
            <w:rStyle w:val="a5"/>
            <w:lang w:val="en-US"/>
          </w:rPr>
          <w:t>https://doi.org/10.1016/j.apenergy.2022.119963</w:t>
        </w:r>
      </w:hyperlink>
      <w:bookmarkEnd w:id="2"/>
    </w:p>
    <w:p w14:paraId="33763AC8" w14:textId="77777777" w:rsidR="00BB709A" w:rsidRDefault="00BB709A" w:rsidP="002F1383">
      <w:pPr>
        <w:pStyle w:val="a3"/>
        <w:contextualSpacing/>
        <w:rPr>
          <w:lang w:val="en-US"/>
        </w:rPr>
      </w:pPr>
      <w:bookmarkStart w:id="3" w:name="ref_belinkov_2022"/>
      <w:r>
        <w:rPr>
          <w:lang w:val="en-US"/>
        </w:rPr>
        <w:t xml:space="preserve">Belinkov, Y. (2022). Probing classifiers: Promises, shortcomings, and advances. </w:t>
      </w:r>
      <w:r>
        <w:rPr>
          <w:i/>
          <w:iCs/>
          <w:lang w:val="en-US"/>
        </w:rPr>
        <w:t>Computational Linguistics</w:t>
      </w:r>
      <w:r>
        <w:rPr>
          <w:lang w:val="en-US"/>
        </w:rPr>
        <w:t xml:space="preserve">, 48(1), 207–219. </w:t>
      </w:r>
      <w:hyperlink r:id="rId12" w:history="1">
        <w:r>
          <w:rPr>
            <w:rStyle w:val="a5"/>
            <w:lang w:val="en-US"/>
          </w:rPr>
          <w:t>https://doi.org/10.1162/coli_a_00422</w:t>
        </w:r>
      </w:hyperlink>
      <w:bookmarkEnd w:id="3"/>
    </w:p>
    <w:p w14:paraId="59B9DB94" w14:textId="77777777" w:rsidR="00FA1C3E" w:rsidRDefault="00DF00D8" w:rsidP="002F1383">
      <w:pPr>
        <w:spacing w:after="0" w:line="240" w:lineRule="auto"/>
        <w:rPr>
          <w:sz w:val="20"/>
          <w:szCs w:val="20"/>
          <w:lang w:val="en-US"/>
        </w:rPr>
      </w:pPr>
      <w:bookmarkStart w:id="4" w:name="ref_bischl_2021"/>
      <w:bookmarkEnd w:id="4"/>
      <w:r>
        <w:rPr>
          <w:sz w:val="20"/>
          <w:szCs w:val="20"/>
          <w:lang w:val="en-US"/>
        </w:rPr>
        <w:t xml:space="preserve">Bischl, B., Casalicchio, G., Feurer, M., Hutter, F., Lang, M., Mantovani, R. G., van Rijn, J. N., &amp; Vanschoren, J. (2021). OpenML benchmarking suites. </w:t>
      </w:r>
      <w:r>
        <w:rPr>
          <w:i/>
          <w:iCs/>
          <w:sz w:val="20"/>
          <w:szCs w:val="20"/>
          <w:lang w:val="en-US"/>
        </w:rPr>
        <w:t>In Proceedings of the Neural Information Processing Systems Track on Datasets and Benchmarks</w:t>
      </w:r>
      <w:r>
        <w:rPr>
          <w:sz w:val="20"/>
          <w:szCs w:val="20"/>
          <w:lang w:val="en-US"/>
        </w:rPr>
        <w:t xml:space="preserve">, 1. </w:t>
      </w:r>
      <w:hyperlink r:id="rId13" w:history="1">
        <w:r>
          <w:rPr>
            <w:rStyle w:val="a5"/>
            <w:sz w:val="20"/>
            <w:szCs w:val="20"/>
            <w:lang w:val="en-US"/>
          </w:rPr>
          <w:t>https://doi.org/10.48550/arXiv.1708.03731</w:t>
        </w:r>
      </w:hyperlink>
    </w:p>
    <w:p w14:paraId="4A299D33" w14:textId="77777777" w:rsidR="00BB709A" w:rsidRDefault="00BB709A" w:rsidP="002F1383">
      <w:pPr>
        <w:pStyle w:val="a3"/>
        <w:contextualSpacing/>
        <w:rPr>
          <w:lang w:val="en-US"/>
        </w:rPr>
      </w:pPr>
      <w:bookmarkStart w:id="5" w:name="ref_bouthillier_2021"/>
      <w:r>
        <w:rPr>
          <w:lang w:val="en-US"/>
        </w:rPr>
        <w:t xml:space="preserve">Bouthillier, X., Delaunay, P., Bronzi, M., Trofimov, A., Nichyporuk, B., Szeto, J., Sepah, N., Raff, E., Madan, K., Voleti, V., Ebrahimi Kahou, S., Michalski, V., Serdyuk, D., Arbel, T., Pal, C., Varoquaux, G., &amp; Vincent, P. (2021). Accounting for variance in machine learning benchmarks. </w:t>
      </w:r>
      <w:r>
        <w:rPr>
          <w:i/>
          <w:iCs/>
          <w:lang w:val="en-US"/>
        </w:rPr>
        <w:t>In Proceedings of Machine Learning and Systems</w:t>
      </w:r>
      <w:r>
        <w:rPr>
          <w:lang w:val="en-US"/>
        </w:rPr>
        <w:t xml:space="preserve"> (Vol. 3, pp. 747–769).</w:t>
      </w:r>
      <w:bookmarkEnd w:id="5"/>
      <w:r>
        <w:rPr>
          <w:lang w:val="en-US"/>
        </w:rPr>
        <w:t xml:space="preserve"> </w:t>
      </w:r>
      <w:hyperlink r:id="rId14" w:history="1">
        <w:r>
          <w:rPr>
            <w:rStyle w:val="a5"/>
            <w:lang w:val="en-US"/>
          </w:rPr>
          <w:t>https://doi.org/10.48550/arXiv.2103.03098</w:t>
        </w:r>
      </w:hyperlink>
    </w:p>
    <w:p w14:paraId="39807E9A" w14:textId="77777777" w:rsidR="00231274" w:rsidRDefault="00BB709A" w:rsidP="002F1383">
      <w:pPr>
        <w:pStyle w:val="a3"/>
        <w:contextualSpacing/>
        <w:rPr>
          <w:lang w:val="en-US"/>
        </w:rPr>
      </w:pPr>
      <w:bookmarkStart w:id="6" w:name="ref_challu_2023"/>
      <w:r>
        <w:rPr>
          <w:lang w:val="en-US"/>
        </w:rPr>
        <w:lastRenderedPageBreak/>
        <w:t xml:space="preserve">Challu, C., Olivares, K. G., Oreshkin, B. N., Garza Ramirez, F., Mergenthaler Canseco, M., &amp; Dubrawski, A. (2023). N-HiTS: Neural hierarchical interpolation for time series forecasting. </w:t>
      </w:r>
      <w:r>
        <w:rPr>
          <w:i/>
          <w:iCs/>
          <w:lang w:val="en-US"/>
        </w:rPr>
        <w:t>In Proceedings of the AAAI Conference on Artificial Intelligence</w:t>
      </w:r>
      <w:r>
        <w:rPr>
          <w:lang w:val="en-US"/>
        </w:rPr>
        <w:t xml:space="preserve">, 37(6), 6989–6997. </w:t>
      </w:r>
      <w:hyperlink r:id="rId15" w:history="1">
        <w:r>
          <w:rPr>
            <w:rStyle w:val="a5"/>
            <w:lang w:val="en-US"/>
          </w:rPr>
          <w:t>https://doi.org/10.1609/aaai.v37i6.25854</w:t>
        </w:r>
      </w:hyperlink>
    </w:p>
    <w:p w14:paraId="1185A1F4" w14:textId="77777777" w:rsidR="00BB709A" w:rsidRDefault="00BB709A" w:rsidP="002F1383">
      <w:pPr>
        <w:pStyle w:val="a3"/>
        <w:contextualSpacing/>
        <w:rPr>
          <w:lang w:val="en-US"/>
        </w:rPr>
      </w:pPr>
      <w:bookmarkStart w:id="7" w:name="ref_dodge_2020"/>
      <w:bookmarkEnd w:id="6"/>
      <w:r>
        <w:rPr>
          <w:lang w:val="en-US"/>
        </w:rPr>
        <w:t xml:space="preserve">Dodge, J., Ilharco, G., Schwartz, R., Farhadi, A., Hajishirzi, H., &amp; Smith, N. (2020). Fine-tuning pretrained language models: Weight initializations, data orders, and early stopping. </w:t>
      </w:r>
      <w:bookmarkEnd w:id="7"/>
      <w:r>
        <w:rPr>
          <w:lang w:val="en-US"/>
        </w:rPr>
        <w:fldChar w:fldCharType="begin"/>
      </w:r>
      <w:r>
        <w:rPr>
          <w:lang w:val="en-US"/>
        </w:rPr>
        <w:instrText xml:space="preserve"> HYPERLINK "https://doi.org/10.48550/arXiv.2002.06305" </w:instrText>
      </w:r>
      <w:r>
        <w:rPr>
          <w:lang w:val="en-US"/>
        </w:rPr>
        <w:fldChar w:fldCharType="separate"/>
      </w:r>
      <w:r>
        <w:rPr>
          <w:rStyle w:val="a5"/>
          <w:lang w:val="en-US"/>
        </w:rPr>
        <w:t>https://doi.org/10.48550/arXiv.2002.06305</w:t>
      </w:r>
      <w:r>
        <w:rPr>
          <w:lang w:val="en-US"/>
        </w:rPr>
        <w:fldChar w:fldCharType="end"/>
      </w:r>
    </w:p>
    <w:p w14:paraId="4EA2D678" w14:textId="77777777" w:rsidR="00BB709A" w:rsidRDefault="00BB709A" w:rsidP="002F1383">
      <w:pPr>
        <w:pStyle w:val="a3"/>
        <w:contextualSpacing/>
        <w:rPr>
          <w:lang w:val="en-US"/>
        </w:rPr>
      </w:pPr>
      <w:bookmarkStart w:id="8" w:name="ref_dong_2025"/>
      <w:r>
        <w:rPr>
          <w:lang w:val="en-US"/>
        </w:rPr>
        <w:t xml:space="preserve">Dong, Q., Huang, R., Cui, C., Towey, D., Zhou, L., Tian, J., &amp; Wang, J. (2025). Short-term electricity-load forecasting by deep learning: A comprehensive survey. </w:t>
      </w:r>
      <w:r>
        <w:rPr>
          <w:i/>
          <w:iCs/>
          <w:lang w:val="en-US"/>
        </w:rPr>
        <w:t>Engineering Applications of Artificial Intelligence</w:t>
      </w:r>
      <w:r>
        <w:rPr>
          <w:lang w:val="en-US"/>
        </w:rPr>
        <w:t xml:space="preserve">, 154, 110980. </w:t>
      </w:r>
      <w:hyperlink r:id="rId16" w:history="1">
        <w:r>
          <w:rPr>
            <w:rStyle w:val="a5"/>
            <w:lang w:val="en-US"/>
          </w:rPr>
          <w:t>https://doi.org/10.1016/j.engappai.2025.110980</w:t>
        </w:r>
      </w:hyperlink>
      <w:bookmarkEnd w:id="8"/>
    </w:p>
    <w:p w14:paraId="580AA8B6" w14:textId="77777777" w:rsidR="00BB709A" w:rsidRDefault="00BB709A" w:rsidP="002F1383">
      <w:pPr>
        <w:pStyle w:val="a3"/>
        <w:contextualSpacing/>
        <w:rPr>
          <w:lang w:val="en-US"/>
        </w:rPr>
      </w:pPr>
      <w:bookmarkStart w:id="9" w:name="ref_dragomiretskiy_2014"/>
      <w:r>
        <w:rPr>
          <w:lang w:val="en-US"/>
        </w:rPr>
        <w:t xml:space="preserve">Dragomiretskiy, K., &amp; Zosso, D. (2014). Variational mode decomposition. </w:t>
      </w:r>
      <w:r>
        <w:rPr>
          <w:i/>
          <w:iCs/>
          <w:lang w:val="en-US"/>
        </w:rPr>
        <w:t>IEEE Transactions on Signal Processing</w:t>
      </w:r>
      <w:r>
        <w:rPr>
          <w:lang w:val="en-US"/>
        </w:rPr>
        <w:t xml:space="preserve">, 62(3), 531–544. </w:t>
      </w:r>
      <w:hyperlink r:id="rId17" w:history="1">
        <w:r>
          <w:rPr>
            <w:rStyle w:val="a5"/>
            <w:lang w:val="en-US"/>
          </w:rPr>
          <w:t>https://doi.org/10.1109/TSP.2013.2288675</w:t>
        </w:r>
      </w:hyperlink>
      <w:bookmarkEnd w:id="9"/>
    </w:p>
    <w:p w14:paraId="2BF73645" w14:textId="77777777" w:rsidR="00BB709A" w:rsidRDefault="00BB709A" w:rsidP="002F1383">
      <w:pPr>
        <w:pStyle w:val="a3"/>
        <w:contextualSpacing/>
        <w:rPr>
          <w:lang w:val="en-US"/>
        </w:rPr>
      </w:pPr>
      <w:bookmarkStart w:id="10" w:name="ref_errica_2020"/>
      <w:r>
        <w:rPr>
          <w:lang w:val="en-US"/>
        </w:rPr>
        <w:t xml:space="preserve">Errica, F., Podda, M., Bacciu, D., &amp; Micheli, A. (2020). A fair comparison of graph neural networks for graph classification. </w:t>
      </w:r>
      <w:r>
        <w:rPr>
          <w:i/>
          <w:iCs/>
          <w:lang w:val="en-US"/>
        </w:rPr>
        <w:t>In The Eighth International Conference on Learning Representations</w:t>
      </w:r>
      <w:r>
        <w:rPr>
          <w:lang w:val="en-US"/>
        </w:rPr>
        <w:t>.</w:t>
      </w:r>
      <w:bookmarkEnd w:id="10"/>
      <w:r>
        <w:rPr>
          <w:lang w:val="en-US"/>
        </w:rPr>
        <w:t xml:space="preserve"> arXiv:1912.09893, </w:t>
      </w:r>
      <w:hyperlink r:id="rId18" w:history="1">
        <w:r>
          <w:rPr>
            <w:rStyle w:val="a5"/>
            <w:lang w:val="en-US"/>
          </w:rPr>
          <w:t>https://doi.org/10.48550/arXiv.1912.09893</w:t>
        </w:r>
      </w:hyperlink>
    </w:p>
    <w:p w14:paraId="45E9BAF9" w14:textId="77777777" w:rsidR="002F1383" w:rsidRDefault="00BB709A" w:rsidP="00B632D2">
      <w:pPr>
        <w:pStyle w:val="a3"/>
        <w:contextualSpacing/>
        <w:rPr>
          <w:lang w:val="en-US"/>
        </w:rPr>
      </w:pPr>
      <w:bookmarkStart w:id="11" w:name="ref_fernandes_2024"/>
      <w:r>
        <w:rPr>
          <w:lang w:val="en-US"/>
        </w:rPr>
        <w:t xml:space="preserve">Fernandes, P., Faria, P., &amp; Vale, Z. (2024). SHEERM: Sustainable household energy and environment resources management dataset [Data set]. Zenodo. </w:t>
      </w:r>
      <w:hyperlink r:id="rId19" w:history="1">
        <w:r>
          <w:rPr>
            <w:rStyle w:val="a5"/>
            <w:lang w:val="en-US"/>
          </w:rPr>
          <w:t>https://doi.org/10.5281/zenodo.13619621</w:t>
        </w:r>
      </w:hyperlink>
    </w:p>
    <w:p w14:paraId="32B6CE5B" w14:textId="77777777" w:rsidR="00BB709A" w:rsidRDefault="00BB709A" w:rsidP="00B632D2">
      <w:pPr>
        <w:pStyle w:val="a3"/>
        <w:contextualSpacing/>
        <w:rPr>
          <w:lang w:val="en-US"/>
        </w:rPr>
      </w:pPr>
      <w:bookmarkStart w:id="12" w:name="ref_ferraridacrema_2019"/>
      <w:bookmarkEnd w:id="11"/>
      <w:r>
        <w:rPr>
          <w:lang w:val="en-US"/>
        </w:rPr>
        <w:t xml:space="preserve">Ferrari Dacrema, M., Cremonesi, P., &amp; Jannach, D. (2019). Are we really making much progress? A worrying analysis of recent neural recommendation approaches. In </w:t>
      </w:r>
      <w:r>
        <w:rPr>
          <w:i/>
          <w:iCs/>
          <w:lang w:val="en-US"/>
        </w:rPr>
        <w:t>Proceedings of the 13th ACM Conference on Recommender Systems</w:t>
      </w:r>
      <w:r>
        <w:rPr>
          <w:lang w:val="en-US"/>
        </w:rPr>
        <w:t xml:space="preserve"> (pp. 101–109). ACM. </w:t>
      </w:r>
      <w:hyperlink r:id="rId20" w:history="1">
        <w:r>
          <w:rPr>
            <w:rStyle w:val="a5"/>
            <w:lang w:val="en-US"/>
          </w:rPr>
          <w:t>https://doi.org/10.1145/3298689.3347058</w:t>
        </w:r>
      </w:hyperlink>
      <w:bookmarkEnd w:id="12"/>
    </w:p>
    <w:p w14:paraId="2A17421E" w14:textId="77777777" w:rsidR="00BB709A" w:rsidRDefault="00BB709A" w:rsidP="00B632D2">
      <w:pPr>
        <w:pStyle w:val="a3"/>
        <w:contextualSpacing/>
        <w:rPr>
          <w:lang w:val="en-US"/>
        </w:rPr>
      </w:pPr>
      <w:bookmarkStart w:id="13" w:name="ref_gao_2025"/>
      <w:r>
        <w:rPr>
          <w:lang w:val="en-US"/>
        </w:rPr>
        <w:t>Gao, B., Ni, Q., Ju, F., Chen, Y., &amp; Zhao, Z. (2025). A multi-scale representation learning framework for long-term time series forecasting. arXiv:2505.08199.</w:t>
      </w:r>
      <w:bookmarkEnd w:id="13"/>
      <w:r>
        <w:rPr>
          <w:lang w:val="en-US"/>
        </w:rPr>
        <w:t xml:space="preserve"> </w:t>
      </w:r>
      <w:hyperlink r:id="rId21" w:history="1">
        <w:r>
          <w:rPr>
            <w:rStyle w:val="a5"/>
            <w:lang w:val="en-US"/>
          </w:rPr>
          <w:t>https://doi.org/10.48550/arXiv.2505.08199</w:t>
        </w:r>
      </w:hyperlink>
    </w:p>
    <w:p w14:paraId="59503032" w14:textId="77777777" w:rsidR="00BB709A" w:rsidRDefault="00BB709A" w:rsidP="00B632D2">
      <w:pPr>
        <w:pStyle w:val="a3"/>
        <w:contextualSpacing/>
        <w:rPr>
          <w:lang w:val="en-US"/>
        </w:rPr>
      </w:pPr>
      <w:bookmarkStart w:id="14" w:name="ref_gao_2023"/>
      <w:r>
        <w:rPr>
          <w:lang w:val="en-US"/>
        </w:rPr>
        <w:t>Gao, J., Hu, W., &amp; Chen, Y. (2023). Client: Cross-variable linear integrated enhanced transformer for multivariate long-term time series forecasting. arXiv:2305.18838.</w:t>
      </w:r>
      <w:bookmarkEnd w:id="14"/>
      <w:r>
        <w:rPr>
          <w:lang w:val="en-US"/>
        </w:rPr>
        <w:t xml:space="preserve"> </w:t>
      </w:r>
      <w:hyperlink r:id="rId22" w:history="1">
        <w:r>
          <w:rPr>
            <w:rStyle w:val="a5"/>
            <w:lang w:val="en-US"/>
          </w:rPr>
          <w:t>https://doi.org/10.48550/arXiv.2305.18838</w:t>
        </w:r>
      </w:hyperlink>
    </w:p>
    <w:p w14:paraId="7455C9F3" w14:textId="77777777" w:rsidR="00FA1C3E" w:rsidRDefault="00DF00D8" w:rsidP="00B632D2">
      <w:pPr>
        <w:spacing w:after="0" w:line="240" w:lineRule="auto"/>
        <w:jc w:val="both"/>
        <w:rPr>
          <w:sz w:val="20"/>
          <w:szCs w:val="20"/>
          <w:lang w:val="en-US"/>
        </w:rPr>
      </w:pPr>
      <w:bookmarkStart w:id="15" w:name="ref_gorishniy_2021"/>
      <w:bookmarkEnd w:id="15"/>
      <w:r>
        <w:rPr>
          <w:sz w:val="20"/>
          <w:szCs w:val="20"/>
          <w:lang w:val="en-US"/>
        </w:rPr>
        <w:t xml:space="preserve">Gorishniy, Y., Rubachev, I., Khrulkov, V., &amp; Babenko, A. (2021). Revisiting deep learning models for tabular data. </w:t>
      </w:r>
      <w:r>
        <w:rPr>
          <w:i/>
          <w:iCs/>
          <w:sz w:val="20"/>
          <w:szCs w:val="20"/>
          <w:lang w:val="en-US"/>
        </w:rPr>
        <w:t>Advances in Neural Information Processing Systems</w:t>
      </w:r>
      <w:r>
        <w:rPr>
          <w:sz w:val="20"/>
          <w:szCs w:val="20"/>
          <w:lang w:val="en-US"/>
        </w:rPr>
        <w:t xml:space="preserve">, 34, 18932–18943. </w:t>
      </w:r>
      <w:hyperlink r:id="rId23" w:history="1">
        <w:r>
          <w:rPr>
            <w:rStyle w:val="a5"/>
            <w:sz w:val="20"/>
            <w:szCs w:val="20"/>
            <w:lang w:val="en-US"/>
          </w:rPr>
          <w:t>https://doi.org/10.48550/arXiv.2106.11959</w:t>
        </w:r>
      </w:hyperlink>
    </w:p>
    <w:p w14:paraId="1A315CAD" w14:textId="77777777" w:rsidR="00850259" w:rsidRDefault="00BB709A" w:rsidP="00B632D2">
      <w:pPr>
        <w:pStyle w:val="a3"/>
        <w:contextualSpacing/>
        <w:rPr>
          <w:lang w:val="en-US"/>
        </w:rPr>
      </w:pPr>
      <w:bookmarkStart w:id="16" w:name="ref_gundersen_2023"/>
      <w:r>
        <w:rPr>
          <w:lang w:val="en-US"/>
        </w:rPr>
        <w:t>Gundersen, O. E., Shamsaliei, S., Kjærnli, H. S., &amp; Langseth, H. (2023). On reporting robust and trustworthy conclusions from model comparison studies involving neural networks and randomness. In</w:t>
      </w:r>
      <w:r>
        <w:rPr>
          <w:i/>
          <w:iCs/>
          <w:lang w:val="en-US"/>
        </w:rPr>
        <w:t xml:space="preserve"> Proceedings of the 2023 ACM Conference on Reproducibility and Replicability</w:t>
      </w:r>
      <w:r>
        <w:rPr>
          <w:lang w:val="en-US"/>
        </w:rPr>
        <w:t xml:space="preserve"> (pp. 37–61). ACM. </w:t>
      </w:r>
      <w:hyperlink r:id="rId24" w:history="1">
        <w:r>
          <w:rPr>
            <w:rStyle w:val="a5"/>
            <w:lang w:val="en-US"/>
          </w:rPr>
          <w:t>https://doi.org/10.1145/3589806.3600044</w:t>
        </w:r>
      </w:hyperlink>
    </w:p>
    <w:p w14:paraId="72BD13D0" w14:textId="77777777" w:rsidR="00BB709A" w:rsidRDefault="00BB709A" w:rsidP="00B632D2">
      <w:pPr>
        <w:pStyle w:val="a3"/>
        <w:contextualSpacing/>
        <w:rPr>
          <w:lang w:val="en-US"/>
        </w:rPr>
      </w:pPr>
      <w:bookmarkStart w:id="17" w:name="ref_han_2024"/>
      <w:bookmarkEnd w:id="16"/>
      <w:r>
        <w:rPr>
          <w:lang w:val="en-US"/>
        </w:rPr>
        <w:t xml:space="preserve">Han, L., Chen, X.-Y., Ye, H.-J., &amp; Zhan, D.-C. (2024). SOFTS: Efficient multivariate time series forecasting with series-core fusion. In </w:t>
      </w:r>
      <w:r>
        <w:rPr>
          <w:i/>
          <w:iCs/>
          <w:lang w:val="en-US"/>
        </w:rPr>
        <w:t>Advances in Neural Information Processing Systems</w:t>
      </w:r>
      <w:r>
        <w:rPr>
          <w:lang w:val="en-US"/>
        </w:rPr>
        <w:t xml:space="preserve"> 37 (NeurIPS 2024).</w:t>
      </w:r>
      <w:bookmarkEnd w:id="17"/>
      <w:r>
        <w:rPr>
          <w:lang w:val="en-US"/>
        </w:rPr>
        <w:t xml:space="preserve"> arXiv.Org, abs/2404.14197. </w:t>
      </w:r>
      <w:hyperlink r:id="rId25" w:history="1">
        <w:r>
          <w:rPr>
            <w:rStyle w:val="a5"/>
            <w:lang w:val="en-US"/>
          </w:rPr>
          <w:t>https://doi.org/10.48550/arxiv.2404.14197</w:t>
        </w:r>
      </w:hyperlink>
    </w:p>
    <w:p w14:paraId="5AAE10E4" w14:textId="77777777" w:rsidR="00BB709A" w:rsidRDefault="00BB709A" w:rsidP="00B632D2">
      <w:pPr>
        <w:pStyle w:val="a3"/>
        <w:contextualSpacing/>
        <w:rPr>
          <w:lang w:val="en-US"/>
        </w:rPr>
      </w:pPr>
      <w:bookmarkStart w:id="18" w:name="ref_henderson_2018"/>
      <w:r>
        <w:rPr>
          <w:lang w:val="en-US"/>
        </w:rPr>
        <w:t xml:space="preserve">Henderson, P., Islam, R., Bachman, P., Pineau, J., Precup, D., &amp; Meger, D. (2018). Deep reinforcement learning that matters. </w:t>
      </w:r>
      <w:r>
        <w:rPr>
          <w:i/>
          <w:iCs/>
          <w:lang w:val="en-US"/>
        </w:rPr>
        <w:t>Proceedings of the AAAI Conference on Artificial Intelligence</w:t>
      </w:r>
      <w:r>
        <w:rPr>
          <w:lang w:val="en-US"/>
        </w:rPr>
        <w:t xml:space="preserve">, 32(1), 3207–3214. </w:t>
      </w:r>
      <w:hyperlink r:id="rId26" w:history="1">
        <w:r>
          <w:rPr>
            <w:rStyle w:val="a5"/>
            <w:lang w:val="en-US"/>
          </w:rPr>
          <w:t>https://doi.org/10.1609/aaai.v32i1.11694</w:t>
        </w:r>
      </w:hyperlink>
      <w:bookmarkEnd w:id="18"/>
    </w:p>
    <w:p w14:paraId="62CADE42" w14:textId="77777777" w:rsidR="00BB709A" w:rsidRDefault="00BB709A" w:rsidP="00B632D2">
      <w:pPr>
        <w:pStyle w:val="a3"/>
        <w:contextualSpacing/>
        <w:rPr>
          <w:lang w:val="en-US"/>
        </w:rPr>
      </w:pPr>
      <w:bookmarkStart w:id="19" w:name="ref_hewitt_2019"/>
      <w:r>
        <w:rPr>
          <w:lang w:val="en-US"/>
        </w:rPr>
        <w:t xml:space="preserve">Hewitt, J., &amp; Liang, P. (2019). Designing and interpreting probes with control tasks. In </w:t>
      </w:r>
      <w:r>
        <w:rPr>
          <w:i/>
          <w:iCs/>
          <w:lang w:val="en-US"/>
        </w:rPr>
        <w:t>Proceedings of the 2019 Conference on Empirical Methods in Natural Language Processing</w:t>
      </w:r>
      <w:r>
        <w:rPr>
          <w:lang w:val="en-US"/>
        </w:rPr>
        <w:t xml:space="preserve"> and </w:t>
      </w:r>
      <w:r>
        <w:rPr>
          <w:i/>
          <w:iCs/>
          <w:lang w:val="en-US"/>
        </w:rPr>
        <w:t>the 9th International Joint Conference on Natural Language Processing</w:t>
      </w:r>
      <w:r>
        <w:rPr>
          <w:lang w:val="en-US"/>
        </w:rPr>
        <w:t xml:space="preserve"> (EMNLP-IJCNLP) (pp. 2733–2743). </w:t>
      </w:r>
      <w:hyperlink r:id="rId27" w:history="1">
        <w:r>
          <w:rPr>
            <w:rStyle w:val="a5"/>
            <w:lang w:val="en-US"/>
          </w:rPr>
          <w:t>https://doi.org/10.18653/v1/D19-1275</w:t>
        </w:r>
      </w:hyperlink>
      <w:bookmarkEnd w:id="19"/>
    </w:p>
    <w:p w14:paraId="1BBD653E" w14:textId="77777777" w:rsidR="00BB709A" w:rsidRDefault="00BB709A" w:rsidP="00B632D2">
      <w:pPr>
        <w:pStyle w:val="a3"/>
        <w:contextualSpacing/>
        <w:rPr>
          <w:lang w:val="en-US"/>
        </w:rPr>
      </w:pPr>
      <w:bookmarkStart w:id="20" w:name="ref_kelly_2015"/>
      <w:r>
        <w:rPr>
          <w:lang w:val="en-US"/>
        </w:rPr>
        <w:t xml:space="preserve">Kelly, J., &amp; Knottenbelt, W. (2015). The UK-DALE dataset, domestic appliance-level electricity demand and whole-house demand from five UK homes. </w:t>
      </w:r>
      <w:r>
        <w:rPr>
          <w:i/>
          <w:iCs/>
          <w:lang w:val="en-US"/>
        </w:rPr>
        <w:t>Scientific Data</w:t>
      </w:r>
      <w:r>
        <w:rPr>
          <w:lang w:val="en-US"/>
        </w:rPr>
        <w:t xml:space="preserve">, 2(1), 150007. </w:t>
      </w:r>
      <w:hyperlink r:id="rId28" w:history="1">
        <w:r>
          <w:rPr>
            <w:rStyle w:val="a5"/>
            <w:lang w:val="en-US"/>
          </w:rPr>
          <w:t>https://doi.org/10.1038/sdata.2015.7</w:t>
        </w:r>
      </w:hyperlink>
      <w:bookmarkEnd w:id="20"/>
    </w:p>
    <w:p w14:paraId="4BE1B824" w14:textId="77777777" w:rsidR="00BB709A" w:rsidRDefault="00BB709A" w:rsidP="00B632D2">
      <w:pPr>
        <w:pStyle w:val="a3"/>
        <w:contextualSpacing/>
        <w:rPr>
          <w:lang w:val="en-US"/>
        </w:rPr>
      </w:pPr>
      <w:bookmarkStart w:id="21" w:name="ref_liu_2024"/>
      <w:r>
        <w:rPr>
          <w:lang w:val="en-US"/>
        </w:rPr>
        <w:t xml:space="preserve">Liu, Y., Hu, T., Zhang, H., Wu, H., Wang, S., Ma, L., &amp; Long, M. (2024). iTransformer: Inverted transformers are effective for time series forecasting. In </w:t>
      </w:r>
      <w:r>
        <w:rPr>
          <w:i/>
          <w:iCs/>
          <w:lang w:val="en-US"/>
        </w:rPr>
        <w:t>The Twelfth International Conference on Learning Representations</w:t>
      </w:r>
      <w:r>
        <w:rPr>
          <w:lang w:val="en-US"/>
        </w:rPr>
        <w:t>.</w:t>
      </w:r>
      <w:bookmarkEnd w:id="21"/>
      <w:r>
        <w:rPr>
          <w:lang w:val="en-US"/>
        </w:rPr>
        <w:t xml:space="preserve"> </w:t>
      </w:r>
      <w:hyperlink r:id="rId29" w:history="1">
        <w:r>
          <w:rPr>
            <w:rStyle w:val="a5"/>
            <w:lang w:val="en-US"/>
          </w:rPr>
          <w:t>https://doi.org/10.48550/arXiv.2310.06625</w:t>
        </w:r>
      </w:hyperlink>
    </w:p>
    <w:p w14:paraId="2D6214E5" w14:textId="77777777" w:rsidR="00BB709A" w:rsidRDefault="00BB709A" w:rsidP="00B632D2">
      <w:pPr>
        <w:pStyle w:val="a3"/>
        <w:contextualSpacing/>
        <w:rPr>
          <w:lang w:val="en-US"/>
        </w:rPr>
      </w:pPr>
      <w:bookmarkStart w:id="22" w:name="ref_murad_2025"/>
      <w:r>
        <w:rPr>
          <w:lang w:val="en-US"/>
        </w:rPr>
        <w:t xml:space="preserve">Murad, M. M. N., Aktukmak, M., &amp; Yilmaz, Y. (2025). WPMixer: Efficient multi-resolution mixing for long-term time series forecasting. </w:t>
      </w:r>
      <w:r>
        <w:rPr>
          <w:i/>
          <w:iCs/>
          <w:lang w:val="en-US"/>
        </w:rPr>
        <w:t>Proceedings of the AAAI Conference on Artificial Intelligence</w:t>
      </w:r>
      <w:r>
        <w:rPr>
          <w:lang w:val="en-US"/>
        </w:rPr>
        <w:t xml:space="preserve">, 39(18), 19581–19588. </w:t>
      </w:r>
      <w:hyperlink r:id="rId30" w:history="1">
        <w:r>
          <w:rPr>
            <w:rStyle w:val="a5"/>
            <w:lang w:val="en-US"/>
          </w:rPr>
          <w:t>https://doi.org/10.1609/aaai.v39i18.34156</w:t>
        </w:r>
      </w:hyperlink>
      <w:bookmarkEnd w:id="22"/>
    </w:p>
    <w:p w14:paraId="26C86A89" w14:textId="77777777" w:rsidR="00BB709A" w:rsidRDefault="00BB709A" w:rsidP="00B632D2">
      <w:pPr>
        <w:pStyle w:val="a3"/>
        <w:contextualSpacing/>
        <w:rPr>
          <w:lang w:val="en-US"/>
        </w:rPr>
      </w:pPr>
      <w:bookmarkStart w:id="23" w:name="ref_murray_2017"/>
      <w:r>
        <w:rPr>
          <w:lang w:val="en-US"/>
        </w:rPr>
        <w:t xml:space="preserve">Murray, D., Stankovic, L., &amp; Stankovic, V. (2017). An electrical load measurements dataset of 20 UK households from a two-year longitudinal study. </w:t>
      </w:r>
      <w:r>
        <w:rPr>
          <w:i/>
          <w:iCs/>
          <w:lang w:val="en-US"/>
        </w:rPr>
        <w:t>Scientific Data</w:t>
      </w:r>
      <w:r>
        <w:rPr>
          <w:lang w:val="en-US"/>
        </w:rPr>
        <w:t xml:space="preserve">, 4(1), 160122. </w:t>
      </w:r>
      <w:bookmarkEnd w:id="23"/>
      <w:r>
        <w:rPr>
          <w:lang w:val="en-US"/>
        </w:rPr>
        <w:fldChar w:fldCharType="begin"/>
      </w:r>
      <w:r>
        <w:rPr>
          <w:lang w:val="en-US"/>
        </w:rPr>
        <w:instrText xml:space="preserve"> HYPERLINK "https://doi.org/10.1038/sdata.2016.122" </w:instrText>
      </w:r>
      <w:r>
        <w:rPr>
          <w:lang w:val="en-US"/>
        </w:rPr>
        <w:fldChar w:fldCharType="separate"/>
      </w:r>
      <w:r>
        <w:rPr>
          <w:rStyle w:val="a5"/>
          <w:lang w:val="en-US"/>
        </w:rPr>
        <w:t>https://doi.org/10.1038/sdata.2016.122</w:t>
      </w:r>
      <w:r>
        <w:rPr>
          <w:lang w:val="en-US"/>
        </w:rPr>
        <w:fldChar w:fldCharType="end"/>
      </w:r>
    </w:p>
    <w:p w14:paraId="71ABDF56" w14:textId="77777777" w:rsidR="00BB709A" w:rsidRDefault="00BB709A" w:rsidP="00B632D2">
      <w:pPr>
        <w:pStyle w:val="a3"/>
        <w:contextualSpacing/>
        <w:rPr>
          <w:lang w:val="en-US"/>
        </w:rPr>
      </w:pPr>
      <w:bookmarkStart w:id="24" w:name="ref_musgrave_2020"/>
      <w:r>
        <w:rPr>
          <w:lang w:val="en-US"/>
        </w:rPr>
        <w:t xml:space="preserve">Musgrave, K., Belongie, S., &amp; Lim, S.-N. (2020). A metric learning reality check. In A. Vedaldi, H. Bischof, T. Brox, &amp; J.-M. Frahm (Eds.), Computer Vision – ECCV 2020. </w:t>
      </w:r>
      <w:r>
        <w:rPr>
          <w:i/>
          <w:iCs/>
          <w:lang w:val="en-US"/>
        </w:rPr>
        <w:t>Lecture Notes in Computer Science</w:t>
      </w:r>
      <w:r>
        <w:rPr>
          <w:lang w:val="en-US"/>
        </w:rPr>
        <w:t xml:space="preserve"> (Vol. 12370, pp. 681–699). Springer. </w:t>
      </w:r>
      <w:hyperlink r:id="rId31" w:history="1">
        <w:r>
          <w:rPr>
            <w:rStyle w:val="a5"/>
            <w:lang w:val="en-US"/>
          </w:rPr>
          <w:t>https://doi.org/10.1007/978-3-030-58595-2_41</w:t>
        </w:r>
      </w:hyperlink>
      <w:bookmarkEnd w:id="24"/>
    </w:p>
    <w:p w14:paraId="69A3D0B7" w14:textId="77777777" w:rsidR="00BB709A" w:rsidRDefault="00BB709A" w:rsidP="00B632D2">
      <w:pPr>
        <w:pStyle w:val="a3"/>
        <w:contextualSpacing/>
        <w:rPr>
          <w:lang w:val="en-US"/>
        </w:rPr>
      </w:pPr>
      <w:bookmarkStart w:id="25" w:name="ref_oreshkin_2020"/>
      <w:r>
        <w:rPr>
          <w:lang w:val="en-US"/>
        </w:rPr>
        <w:t xml:space="preserve">Oreshkin, B. N., Carpov, D., Chapados, N., &amp; Bengio, Y. (2020). N-BEATS: Neural basis expansion analysis for interpretable time series forecasting. In </w:t>
      </w:r>
      <w:r>
        <w:rPr>
          <w:i/>
          <w:iCs/>
          <w:lang w:val="en-US"/>
        </w:rPr>
        <w:t>The Eighth International Conference on Learning Representations</w:t>
      </w:r>
      <w:r>
        <w:rPr>
          <w:lang w:val="en-US"/>
        </w:rPr>
        <w:t>.</w:t>
      </w:r>
      <w:bookmarkEnd w:id="25"/>
      <w:r>
        <w:rPr>
          <w:lang w:val="en-US"/>
        </w:rPr>
        <w:t xml:space="preserve"> </w:t>
      </w:r>
      <w:hyperlink r:id="rId32" w:history="1">
        <w:r>
          <w:rPr>
            <w:rStyle w:val="a5"/>
            <w:lang w:val="en-US"/>
          </w:rPr>
          <w:t>https://doi.org/10.48550/arXiv.1905.10437</w:t>
        </w:r>
      </w:hyperlink>
    </w:p>
    <w:p w14:paraId="4C8ADAAA" w14:textId="77777777" w:rsidR="00BB709A" w:rsidRDefault="00BB709A" w:rsidP="00B632D2">
      <w:pPr>
        <w:pStyle w:val="a3"/>
        <w:contextualSpacing/>
        <w:rPr>
          <w:lang w:val="en-US"/>
        </w:rPr>
      </w:pPr>
      <w:bookmarkStart w:id="26" w:name="ref_picard_2021"/>
      <w:r>
        <w:rPr>
          <w:lang w:val="en-US"/>
        </w:rPr>
        <w:t>Picard, D. (2021). Torch.manual_seed(3407) is all you need: On the influence of random seeds in deep learning architectures for computer vision. arXiv:2109.08203.</w:t>
      </w:r>
      <w:bookmarkEnd w:id="26"/>
      <w:r>
        <w:rPr>
          <w:lang w:val="en-US"/>
        </w:rPr>
        <w:t xml:space="preserve"> </w:t>
      </w:r>
      <w:hyperlink r:id="rId33" w:history="1">
        <w:r>
          <w:rPr>
            <w:rStyle w:val="a5"/>
            <w:lang w:val="en-US"/>
          </w:rPr>
          <w:t>https://doi.org/10.48550/arXiv.2109.08203</w:t>
        </w:r>
      </w:hyperlink>
    </w:p>
    <w:p w14:paraId="05F391F7" w14:textId="77777777" w:rsidR="00BB709A" w:rsidRDefault="00BB709A" w:rsidP="00B632D2">
      <w:pPr>
        <w:pStyle w:val="a3"/>
        <w:contextualSpacing/>
        <w:rPr>
          <w:lang w:val="en-US"/>
        </w:rPr>
      </w:pPr>
      <w:bookmarkStart w:id="27" w:name="ref_summers_2021"/>
      <w:r>
        <w:rPr>
          <w:lang w:val="en-US"/>
        </w:rPr>
        <w:t xml:space="preserve">Summers, C., &amp; Dinneen, M. J. (2021). Nondeterminism and instability in neural network optimization. In </w:t>
      </w:r>
      <w:r>
        <w:rPr>
          <w:i/>
          <w:iCs/>
          <w:lang w:val="en-US"/>
        </w:rPr>
        <w:t>Proceedings of the 38th International Conference on Machine Learning</w:t>
      </w:r>
      <w:r>
        <w:rPr>
          <w:lang w:val="en-US"/>
        </w:rPr>
        <w:t xml:space="preserve"> (Vol. 139, pp. 9913–9922). PMLR.</w:t>
      </w:r>
      <w:bookmarkEnd w:id="27"/>
      <w:r>
        <w:rPr>
          <w:lang w:val="en-US"/>
        </w:rPr>
        <w:t xml:space="preserve"> </w:t>
      </w:r>
      <w:hyperlink r:id="rId34" w:history="1">
        <w:r>
          <w:rPr>
            <w:rStyle w:val="a5"/>
            <w:lang w:val="en-US"/>
          </w:rPr>
          <w:t>https://doi.org/10.48550/arXiv.2103.04514</w:t>
        </w:r>
      </w:hyperlink>
    </w:p>
    <w:p w14:paraId="6C335AEA" w14:textId="77777777" w:rsidR="00BB709A" w:rsidRDefault="00BB709A" w:rsidP="00B632D2">
      <w:pPr>
        <w:pStyle w:val="a3"/>
        <w:contextualSpacing/>
        <w:rPr>
          <w:lang w:val="en-US"/>
        </w:rPr>
      </w:pPr>
      <w:bookmarkStart w:id="28" w:name="ref_tokhmetov_2026"/>
      <w:r>
        <w:rPr>
          <w:lang w:val="en-US"/>
        </w:rPr>
        <w:t xml:space="preserve">Tokhmetov, A., Serikbayeva, S., Tanchenko, L., &amp; Kenesbay, M. (2026). AI-based energy forecasting and improved demand management in smart homes. </w:t>
      </w:r>
      <w:r>
        <w:rPr>
          <w:i/>
          <w:iCs/>
          <w:lang w:val="en-US"/>
        </w:rPr>
        <w:t>Herald of the Kazakh-British Technical University</w:t>
      </w:r>
      <w:r>
        <w:rPr>
          <w:lang w:val="en-US"/>
        </w:rPr>
        <w:t xml:space="preserve">, 23(2), 133–149. </w:t>
      </w:r>
      <w:hyperlink r:id="rId35" w:history="1">
        <w:r>
          <w:rPr>
            <w:rStyle w:val="a5"/>
            <w:lang w:val="en-US"/>
          </w:rPr>
          <w:t>https://doi.org/10.55452/1998-6688-2026-23-2-133-149</w:t>
        </w:r>
      </w:hyperlink>
      <w:bookmarkEnd w:id="28"/>
    </w:p>
    <w:p w14:paraId="0933A6F7" w14:textId="77777777" w:rsidR="00FA1C3E" w:rsidRDefault="00DF00D8" w:rsidP="00B632D2">
      <w:pPr>
        <w:spacing w:after="0" w:line="240" w:lineRule="auto"/>
        <w:jc w:val="both"/>
        <w:rPr>
          <w:sz w:val="20"/>
          <w:szCs w:val="20"/>
          <w:lang w:val="en-US"/>
        </w:rPr>
      </w:pPr>
      <w:bookmarkStart w:id="29" w:name="ref_vanschoren_2014"/>
      <w:bookmarkEnd w:id="29"/>
      <w:r>
        <w:rPr>
          <w:sz w:val="20"/>
          <w:szCs w:val="20"/>
          <w:lang w:val="en-US"/>
        </w:rPr>
        <w:t xml:space="preserve">Vanschoren, J., van Rijn, J. N., Bischl, B., &amp; Torgo, L. (2014). OpenML: Networked science in machine learning. </w:t>
      </w:r>
      <w:r>
        <w:rPr>
          <w:i/>
          <w:iCs/>
          <w:sz w:val="20"/>
          <w:szCs w:val="20"/>
          <w:lang w:val="en-US"/>
        </w:rPr>
        <w:t>ACM SIGKDD Explorations Newsletter</w:t>
      </w:r>
      <w:r>
        <w:rPr>
          <w:sz w:val="20"/>
          <w:szCs w:val="20"/>
          <w:lang w:val="en-US"/>
        </w:rPr>
        <w:t xml:space="preserve">, 15(2), 49–60. </w:t>
      </w:r>
      <w:hyperlink r:id="rId36" w:history="1">
        <w:r>
          <w:rPr>
            <w:rStyle w:val="a5"/>
            <w:sz w:val="20"/>
            <w:szCs w:val="20"/>
            <w:lang w:val="en-US"/>
          </w:rPr>
          <w:t>https://doi.org/10.1145/2641190.2641198</w:t>
        </w:r>
      </w:hyperlink>
    </w:p>
    <w:p w14:paraId="1D991132" w14:textId="77777777" w:rsidR="00BB709A" w:rsidRPr="00B632D2" w:rsidRDefault="00BB709A" w:rsidP="00B632D2">
      <w:pPr>
        <w:pStyle w:val="a3"/>
        <w:contextualSpacing/>
        <w:rPr>
          <w:lang w:val="en-US"/>
        </w:rPr>
      </w:pPr>
      <w:bookmarkStart w:id="30" w:name="ref_wang_2023"/>
      <w:r>
        <w:rPr>
          <w:lang w:val="en-US"/>
        </w:rPr>
        <w:lastRenderedPageBreak/>
        <w:t xml:space="preserve">Wang, H., Peng, J., Huang, F., Wang, J., Chen, J., &amp; Xiao, Y. (2023). MICN: Multi-scale local and global context modeling for long-term series forecasting. In </w:t>
      </w:r>
      <w:r>
        <w:rPr>
          <w:i/>
          <w:iCs/>
          <w:lang w:val="en-US"/>
        </w:rPr>
        <w:t>The Eleventh International Conference on Learning Representations</w:t>
      </w:r>
      <w:r>
        <w:rPr>
          <w:lang w:val="en-US"/>
        </w:rPr>
        <w:t>.</w:t>
      </w:r>
      <w:bookmarkEnd w:id="30"/>
      <w:r>
        <w:rPr>
          <w:lang w:val="en-US"/>
        </w:rPr>
        <w:t xml:space="preserve"> Conference paper at ICLR 2023.</w:t>
      </w:r>
    </w:p>
    <w:p w14:paraId="14357F3D" w14:textId="77777777" w:rsidR="00BB709A" w:rsidRDefault="00BB709A" w:rsidP="00B632D2">
      <w:pPr>
        <w:pStyle w:val="a3"/>
        <w:contextualSpacing/>
        <w:rPr>
          <w:lang w:val="en-US"/>
        </w:rPr>
      </w:pPr>
      <w:bookmarkStart w:id="31" w:name="ref_wang_2024"/>
      <w:r>
        <w:rPr>
          <w:lang w:val="en-US"/>
        </w:rPr>
        <w:t xml:space="preserve">Wang, S., Wu, H., Shi, X., Hu, T., Luo, H., Ma, L., Zhang, J. Y., &amp; Zhou, J. (2024). TimeMixer: Decomposable multiscale mixing for time series forecasting. </w:t>
      </w:r>
      <w:bookmarkEnd w:id="31"/>
      <w:r>
        <w:rPr>
          <w:lang w:val="en-US"/>
        </w:rPr>
        <w:t xml:space="preserve">arXiv:2405.14616, </w:t>
      </w:r>
      <w:hyperlink r:id="rId37" w:history="1">
        <w:r>
          <w:rPr>
            <w:rStyle w:val="a5"/>
            <w:lang w:val="en-US"/>
          </w:rPr>
          <w:t>https://doi.org/10.48550/arXiv.2405.14616</w:t>
        </w:r>
      </w:hyperlink>
    </w:p>
    <w:p w14:paraId="635EF2FE" w14:textId="77777777" w:rsidR="00BB709A" w:rsidRDefault="00BB709A" w:rsidP="00B632D2">
      <w:pPr>
        <w:pStyle w:val="a3"/>
        <w:contextualSpacing/>
        <w:rPr>
          <w:lang w:val="en-US"/>
        </w:rPr>
      </w:pPr>
      <w:bookmarkStart w:id="32" w:name="ref_wang_2022"/>
      <w:r>
        <w:rPr>
          <w:lang w:val="en-US"/>
        </w:rPr>
        <w:t xml:space="preserve">Wang, Z., Xu, X., Zhang, W., Trajcevski, G., Zhong, T., &amp; Zhou, F. (2022). Learning latent seasonal-trend representations for time series forecasting. In </w:t>
      </w:r>
      <w:r>
        <w:rPr>
          <w:i/>
          <w:iCs/>
          <w:lang w:val="en-US"/>
        </w:rPr>
        <w:t>Advances in Neural Information Processing Systems,</w:t>
      </w:r>
      <w:r>
        <w:rPr>
          <w:lang w:val="en-US"/>
        </w:rPr>
        <w:t xml:space="preserve"> 35 (NeurIPS 2022).</w:t>
      </w:r>
      <w:bookmarkEnd w:id="32"/>
      <w:r>
        <w:rPr>
          <w:lang w:val="en-US"/>
        </w:rPr>
        <w:t xml:space="preserve"> </w:t>
      </w:r>
      <w:hyperlink r:id="rId38" w:history="1">
        <w:r>
          <w:rPr>
            <w:rStyle w:val="a5"/>
            <w:lang w:val="en-US"/>
          </w:rPr>
          <w:t>https://doi.org/10.52202/068431-2810</w:t>
        </w:r>
      </w:hyperlink>
    </w:p>
    <w:p w14:paraId="4C9CDE14" w14:textId="77777777" w:rsidR="00BB709A" w:rsidRDefault="00BB709A" w:rsidP="00B632D2">
      <w:pPr>
        <w:pStyle w:val="a3"/>
        <w:contextualSpacing/>
        <w:rPr>
          <w:lang w:val="en-US"/>
        </w:rPr>
      </w:pPr>
      <w:bookmarkStart w:id="33" w:name="ref_woo_2022a"/>
      <w:r>
        <w:rPr>
          <w:lang w:val="en-US"/>
        </w:rPr>
        <w:t>Woo, G., Liu, C., Sahoo, D., Kumar, A., &amp; Hoi, S. (2022a). CoST: Contrastive learning of disentangled seasonal-trend representations for time series forecasting. arXiv:2202.01575.</w:t>
      </w:r>
      <w:bookmarkEnd w:id="33"/>
      <w:r>
        <w:rPr>
          <w:lang w:val="en-US"/>
        </w:rPr>
        <w:t xml:space="preserve"> </w:t>
      </w:r>
      <w:hyperlink r:id="rId39" w:history="1">
        <w:r>
          <w:rPr>
            <w:rStyle w:val="a5"/>
            <w:lang w:val="en-US"/>
          </w:rPr>
          <w:t>https://doi.org/10.48550/arXiv.2202.01575</w:t>
        </w:r>
      </w:hyperlink>
    </w:p>
    <w:p w14:paraId="39007D02" w14:textId="77777777" w:rsidR="00BB709A" w:rsidRDefault="00BB709A" w:rsidP="00B632D2">
      <w:pPr>
        <w:pStyle w:val="a3"/>
        <w:contextualSpacing/>
        <w:rPr>
          <w:lang w:val="en-US"/>
        </w:rPr>
      </w:pPr>
      <w:bookmarkStart w:id="34" w:name="ref_woo_2022b"/>
      <w:r>
        <w:rPr>
          <w:lang w:val="en-US"/>
        </w:rPr>
        <w:t>Woo, G., Liu, C., Sahoo, D., Kumar, A., &amp; Hoi, S. (2022b). ETSformer: Exponential smoothing transformers for time-series forecasting. arXiv:2202.01381.</w:t>
      </w:r>
      <w:bookmarkEnd w:id="34"/>
      <w:r>
        <w:rPr>
          <w:lang w:val="en-US"/>
        </w:rPr>
        <w:t xml:space="preserve"> </w:t>
      </w:r>
      <w:hyperlink r:id="rId40" w:history="1">
        <w:r>
          <w:rPr>
            <w:rStyle w:val="a5"/>
            <w:lang w:val="en-US"/>
          </w:rPr>
          <w:t>https://doi.org/10.48550/arXiv.2202.01381</w:t>
        </w:r>
      </w:hyperlink>
    </w:p>
    <w:p w14:paraId="62C8841A" w14:textId="77777777" w:rsidR="00BB709A" w:rsidRDefault="00BB709A" w:rsidP="00B632D2">
      <w:pPr>
        <w:pStyle w:val="a3"/>
        <w:contextualSpacing/>
        <w:rPr>
          <w:lang w:val="en-US"/>
        </w:rPr>
      </w:pPr>
      <w:bookmarkStart w:id="35" w:name="ref_wu_2023"/>
      <w:r>
        <w:rPr>
          <w:lang w:val="en-US"/>
        </w:rPr>
        <w:t>Wu, H., Hu, T., Liu, Y., Zhou, H., Wang, J., &amp; Long, M. (2023). TimesNet: Temporal 2D-variation modeling for general time series analysis.</w:t>
      </w:r>
      <w:bookmarkEnd w:id="35"/>
      <w:r>
        <w:rPr>
          <w:lang w:val="en-US"/>
        </w:rPr>
        <w:t xml:space="preserve"> arXiv:2210.02186. </w:t>
      </w:r>
      <w:hyperlink r:id="rId41" w:history="1">
        <w:r>
          <w:rPr>
            <w:rStyle w:val="a5"/>
            <w:lang w:val="en-US"/>
          </w:rPr>
          <w:t>https://doi.org/10.48550/arXiv.2210.02186</w:t>
        </w:r>
      </w:hyperlink>
    </w:p>
    <w:p w14:paraId="4180B322" w14:textId="77777777" w:rsidR="00BB709A" w:rsidRDefault="00BB709A" w:rsidP="00B632D2">
      <w:pPr>
        <w:pStyle w:val="a3"/>
        <w:contextualSpacing/>
        <w:rPr>
          <w:lang w:val="en-US"/>
        </w:rPr>
      </w:pPr>
      <w:bookmarkStart w:id="36" w:name="ref_wu_2021"/>
      <w:r>
        <w:rPr>
          <w:lang w:val="en-US"/>
        </w:rPr>
        <w:t xml:space="preserve">Wu, H., Xu, J., Wang, J., &amp; Long, M. (2021). Autoformer: Decomposition transformers with auto-correlation for long-term series forecasting. In </w:t>
      </w:r>
      <w:r>
        <w:rPr>
          <w:i/>
          <w:iCs/>
          <w:lang w:val="en-US"/>
        </w:rPr>
        <w:t>Advances in Neural Information Processing Systems</w:t>
      </w:r>
      <w:r>
        <w:rPr>
          <w:lang w:val="en-US"/>
        </w:rPr>
        <w:t xml:space="preserve"> 34 (NeurIPS 2021).</w:t>
      </w:r>
      <w:bookmarkEnd w:id="36"/>
      <w:r>
        <w:rPr>
          <w:lang w:val="en-US"/>
        </w:rPr>
        <w:t xml:space="preserve"> arXiv:2106.13008. </w:t>
      </w:r>
      <w:hyperlink r:id="rId42" w:history="1">
        <w:r>
          <w:rPr>
            <w:rStyle w:val="a5"/>
            <w:lang w:val="en-US"/>
          </w:rPr>
          <w:t>https://doi.org/10.48550/arXiv.2106.13008</w:t>
        </w:r>
      </w:hyperlink>
    </w:p>
    <w:p w14:paraId="01650974" w14:textId="77777777" w:rsidR="00BB709A" w:rsidRDefault="00BB709A" w:rsidP="00B632D2">
      <w:pPr>
        <w:pStyle w:val="a3"/>
        <w:contextualSpacing/>
        <w:rPr>
          <w:lang w:val="en-US"/>
        </w:rPr>
      </w:pPr>
      <w:bookmarkStart w:id="37" w:name="ref_xue_2024"/>
      <w:r>
        <w:rPr>
          <w:lang w:val="en-US"/>
        </w:rPr>
        <w:t xml:space="preserve">Xue, W., Zhou, T., Wen, Q., Gao, J., Ding, B., &amp; Jin, R. (2024). CARD: Channel aligned robust blend transformer for time series forecasting. In: </w:t>
      </w:r>
      <w:r>
        <w:rPr>
          <w:i/>
          <w:iCs/>
          <w:lang w:val="en-US"/>
        </w:rPr>
        <w:t>The Twelfth International Conference on Learning Representations</w:t>
      </w:r>
      <w:bookmarkEnd w:id="37"/>
      <w:r>
        <w:rPr>
          <w:lang w:val="en-US"/>
        </w:rPr>
        <w:t xml:space="preserve">, pp. 11245-11283. arXiv:2305.12095. </w:t>
      </w:r>
      <w:hyperlink r:id="rId43" w:history="1">
        <w:r>
          <w:rPr>
            <w:rStyle w:val="a5"/>
            <w:lang w:val="en-US"/>
          </w:rPr>
          <w:t>https://doi.org/10.48550/arXiv.2305.12095</w:t>
        </w:r>
      </w:hyperlink>
    </w:p>
    <w:p w14:paraId="1C286269" w14:textId="77777777" w:rsidR="00BB709A" w:rsidRDefault="00BB709A" w:rsidP="00B632D2">
      <w:pPr>
        <w:pStyle w:val="a3"/>
        <w:contextualSpacing/>
        <w:rPr>
          <w:lang w:val="en-US"/>
        </w:rPr>
      </w:pPr>
      <w:bookmarkStart w:id="38" w:name="ref_zeng_2023"/>
      <w:r>
        <w:rPr>
          <w:lang w:val="en-US"/>
        </w:rPr>
        <w:t xml:space="preserve">Zeng, A., Chen, M., Zhang, L., &amp; Xu, Q. (2023). Are transformers effective for time series forecasting? </w:t>
      </w:r>
      <w:r>
        <w:rPr>
          <w:i/>
          <w:iCs/>
          <w:lang w:val="en-US"/>
        </w:rPr>
        <w:t>Proceedings of the AAAI Conference on Artificial Intelligence</w:t>
      </w:r>
      <w:r>
        <w:rPr>
          <w:lang w:val="en-US"/>
        </w:rPr>
        <w:t xml:space="preserve">, 37(9), 11121–11128. </w:t>
      </w:r>
      <w:hyperlink r:id="rId44" w:history="1">
        <w:r>
          <w:rPr>
            <w:rStyle w:val="a5"/>
            <w:lang w:val="en-US"/>
          </w:rPr>
          <w:t>https://doi.org/10.1609/aaai.v37i9.26317</w:t>
        </w:r>
      </w:hyperlink>
      <w:bookmarkEnd w:id="38"/>
    </w:p>
    <w:p w14:paraId="5454239F" w14:textId="77777777" w:rsidR="00BB709A" w:rsidRPr="00B632D2" w:rsidRDefault="00BB709A" w:rsidP="00B632D2">
      <w:pPr>
        <w:pStyle w:val="a3"/>
        <w:contextualSpacing/>
        <w:rPr>
          <w:lang w:val="en-US"/>
        </w:rPr>
      </w:pPr>
      <w:bookmarkStart w:id="39" w:name="ref_zhang_2023"/>
      <w:r>
        <w:rPr>
          <w:lang w:val="en-US"/>
        </w:rPr>
        <w:t xml:space="preserve">Zhang, Y., &amp; Yan, J. (2023). Crossformer: Transformer utilizing cross-dimension dependency for multivariate time series forecasting. In: </w:t>
      </w:r>
      <w:r>
        <w:rPr>
          <w:i/>
          <w:iCs/>
          <w:lang w:val="en-US"/>
        </w:rPr>
        <w:t>The Eleventh International Conference on Learning Representations</w:t>
      </w:r>
      <w:r>
        <w:rPr>
          <w:lang w:val="en-US"/>
        </w:rPr>
        <w:t>.</w:t>
      </w:r>
      <w:bookmarkEnd w:id="39"/>
    </w:p>
    <w:p w14:paraId="3AE7690F" w14:textId="77777777" w:rsidR="00BB709A" w:rsidRDefault="00BB709A" w:rsidP="00B632D2">
      <w:pPr>
        <w:pStyle w:val="a3"/>
        <w:contextualSpacing/>
        <w:rPr>
          <w:lang w:val="en-US"/>
        </w:rPr>
      </w:pPr>
      <w:bookmarkStart w:id="40" w:name="ref_zhou_2024"/>
      <w:r>
        <w:rPr>
          <w:lang w:val="en-US"/>
        </w:rPr>
        <w:t xml:space="preserve">Zhou, S., Li, Y., Guo, Y., Yang, X., Shahidehpour, M., Deng, W., Mei, Y., Ren, L., Liu, Y., Kang, T., &amp; You, J. (2024). A load forecasting framework considering hybrid ensemble deep learning with two-stage load decomposition. </w:t>
      </w:r>
      <w:r>
        <w:rPr>
          <w:i/>
          <w:iCs/>
          <w:lang w:val="en-US"/>
        </w:rPr>
        <w:t>IEEE Transactions on Industry Applications</w:t>
      </w:r>
      <w:r>
        <w:rPr>
          <w:lang w:val="en-US"/>
        </w:rPr>
        <w:t xml:space="preserve">. vol. 60, no. 3, pp. 4568−4582, </w:t>
      </w:r>
      <w:hyperlink r:id="rId45" w:history="1">
        <w:r>
          <w:rPr>
            <w:rStyle w:val="a5"/>
            <w:lang w:val="en-US"/>
          </w:rPr>
          <w:t>https://doi.org/10.1109/TIA.2024.3354222</w:t>
        </w:r>
      </w:hyperlink>
      <w:bookmarkEnd w:id="40"/>
    </w:p>
    <w:p w14:paraId="5AB641F5" w14:textId="77777777" w:rsidR="00BB709A" w:rsidRPr="00B632D2" w:rsidRDefault="00BB709A" w:rsidP="00B632D2">
      <w:pPr>
        <w:pStyle w:val="a3"/>
        <w:contextualSpacing/>
        <w:rPr>
          <w:lang w:val="en-US"/>
        </w:rPr>
      </w:pPr>
      <w:bookmarkStart w:id="41" w:name="ref_zhou_2022a"/>
      <w:r>
        <w:rPr>
          <w:lang w:val="en-US"/>
        </w:rPr>
        <w:t xml:space="preserve">Zhou, T., Ma, Z., Wen, Q., Wang, X., Sun, L., &amp; Jin, R. (2022a). FEDformer: Frequency enhanced decomposed transformer for long-term series forecasting. In: </w:t>
      </w:r>
      <w:r>
        <w:rPr>
          <w:i/>
          <w:iCs/>
          <w:lang w:val="en-US"/>
        </w:rPr>
        <w:t>International Conference on Machine Learning</w:t>
      </w:r>
      <w:r>
        <w:rPr>
          <w:lang w:val="en-US"/>
        </w:rPr>
        <w:t>, pp. 27268–27286. PMLR.</w:t>
      </w:r>
      <w:bookmarkEnd w:id="41"/>
    </w:p>
    <w:p w14:paraId="1D0D4838" w14:textId="77777777" w:rsidR="00151F1E" w:rsidRPr="00151F1E" w:rsidRDefault="00BB709A" w:rsidP="00B632D2">
      <w:pPr>
        <w:pStyle w:val="a3"/>
        <w:contextualSpacing/>
        <w:rPr>
          <w:lang w:val="en-US"/>
        </w:rPr>
      </w:pPr>
      <w:bookmarkStart w:id="42" w:name="ref_zhou_2022b"/>
      <w:r>
        <w:rPr>
          <w:lang w:val="en-US"/>
        </w:rPr>
        <w:t>Zhou, T., Ma, Z., Wang, X., Wen, Q., Sun, L., Yao, T., Yin, W., &amp; Jin, R. (2022b). FiLM: Frequency improved Legendre memory model for long-term time series forecasting. In Advances in Neural Information Processing Systems 35 (NeurIPS 2022).</w:t>
      </w:r>
      <w:bookmarkEnd w:id="42"/>
      <w:r>
        <w:rPr>
          <w:lang w:val="en-US"/>
        </w:rPr>
        <w:t xml:space="preserve"> arXiv:2205.08897. </w:t>
      </w:r>
      <w:hyperlink r:id="rId46" w:history="1">
        <w:r>
          <w:rPr>
            <w:rStyle w:val="a5"/>
            <w:lang w:val="en-US"/>
          </w:rPr>
          <w:t>https://doi.org/10.48550/arXiv.2205.08897</w:t>
        </w:r>
      </w:hyperlink>
    </w:p>
    <w:sectPr w:rsidR="00151F1E" w:rsidRPr="00151F1E" w:rsidSect="00F0790F">
      <w:pgSz w:w="11906" w:h="16838"/>
      <w:pgMar w:top="1134" w:right="850" w:bottom="1134"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407CFB"/>
    <w:multiLevelType w:val="hybridMultilevel"/>
    <w:tmpl w:val="8772C20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4058385C"/>
    <w:multiLevelType w:val="multilevel"/>
    <w:tmpl w:val="1AF480DC"/>
    <w:lvl w:ilvl="0">
      <w:start w:val="1"/>
      <w:numFmt w:val="decimal"/>
      <w:lvlText w:val="%1."/>
      <w:lvlJc w:val="left"/>
      <w:pPr>
        <w:ind w:left="720" w:hanging="360"/>
      </w:pPr>
      <w:rPr>
        <w:rFonts w:hint="default"/>
      </w:rPr>
    </w:lvl>
    <w:lvl w:ilvl="1">
      <w:start w:val="1"/>
      <w:numFmt w:val="decimal"/>
      <w:isLgl/>
      <w:lvlText w:val="%1.%2."/>
      <w:lvlJc w:val="left"/>
      <w:pPr>
        <w:ind w:left="864" w:hanging="504"/>
      </w:pPr>
      <w:rPr>
        <w:rFonts w:ascii="Times New Roman" w:hAnsi="Times New Roman" w:cs="Times New Roman" w:hint="default"/>
        <w:color w:val="2E74B5"/>
        <w:sz w:val="32"/>
      </w:rPr>
    </w:lvl>
    <w:lvl w:ilvl="2">
      <w:start w:val="1"/>
      <w:numFmt w:val="decimal"/>
      <w:isLgl/>
      <w:lvlText w:val="%1.%2.%3."/>
      <w:lvlJc w:val="left"/>
      <w:pPr>
        <w:ind w:left="1080" w:hanging="720"/>
      </w:pPr>
      <w:rPr>
        <w:rFonts w:ascii="Times New Roman" w:hAnsi="Times New Roman" w:cs="Times New Roman" w:hint="default"/>
        <w:color w:val="2E74B5"/>
        <w:sz w:val="32"/>
      </w:rPr>
    </w:lvl>
    <w:lvl w:ilvl="3">
      <w:start w:val="1"/>
      <w:numFmt w:val="decimal"/>
      <w:isLgl/>
      <w:lvlText w:val="%1.%2.%3.%4."/>
      <w:lvlJc w:val="left"/>
      <w:pPr>
        <w:ind w:left="1080" w:hanging="720"/>
      </w:pPr>
      <w:rPr>
        <w:rFonts w:ascii="Times New Roman" w:hAnsi="Times New Roman" w:cs="Times New Roman" w:hint="default"/>
        <w:color w:val="2E74B5"/>
        <w:sz w:val="32"/>
      </w:rPr>
    </w:lvl>
    <w:lvl w:ilvl="4">
      <w:start w:val="1"/>
      <w:numFmt w:val="decimal"/>
      <w:isLgl/>
      <w:lvlText w:val="%1.%2.%3.%4.%5."/>
      <w:lvlJc w:val="left"/>
      <w:pPr>
        <w:ind w:left="1440" w:hanging="1080"/>
      </w:pPr>
      <w:rPr>
        <w:rFonts w:ascii="Times New Roman" w:hAnsi="Times New Roman" w:cs="Times New Roman" w:hint="default"/>
        <w:color w:val="2E74B5"/>
        <w:sz w:val="32"/>
      </w:rPr>
    </w:lvl>
    <w:lvl w:ilvl="5">
      <w:start w:val="1"/>
      <w:numFmt w:val="decimal"/>
      <w:isLgl/>
      <w:lvlText w:val="%1.%2.%3.%4.%5.%6."/>
      <w:lvlJc w:val="left"/>
      <w:pPr>
        <w:ind w:left="1440" w:hanging="1080"/>
      </w:pPr>
      <w:rPr>
        <w:rFonts w:ascii="Times New Roman" w:hAnsi="Times New Roman" w:cs="Times New Roman" w:hint="default"/>
        <w:color w:val="2E74B5"/>
        <w:sz w:val="32"/>
      </w:rPr>
    </w:lvl>
    <w:lvl w:ilvl="6">
      <w:start w:val="1"/>
      <w:numFmt w:val="decimal"/>
      <w:isLgl/>
      <w:lvlText w:val="%1.%2.%3.%4.%5.%6.%7."/>
      <w:lvlJc w:val="left"/>
      <w:pPr>
        <w:ind w:left="1800" w:hanging="1440"/>
      </w:pPr>
      <w:rPr>
        <w:rFonts w:ascii="Times New Roman" w:hAnsi="Times New Roman" w:cs="Times New Roman" w:hint="default"/>
        <w:color w:val="2E74B5"/>
        <w:sz w:val="32"/>
      </w:rPr>
    </w:lvl>
    <w:lvl w:ilvl="7">
      <w:start w:val="1"/>
      <w:numFmt w:val="decimal"/>
      <w:isLgl/>
      <w:lvlText w:val="%1.%2.%3.%4.%5.%6.%7.%8."/>
      <w:lvlJc w:val="left"/>
      <w:pPr>
        <w:ind w:left="1800" w:hanging="1440"/>
      </w:pPr>
      <w:rPr>
        <w:rFonts w:ascii="Times New Roman" w:hAnsi="Times New Roman" w:cs="Times New Roman" w:hint="default"/>
        <w:color w:val="2E74B5"/>
        <w:sz w:val="32"/>
      </w:rPr>
    </w:lvl>
    <w:lvl w:ilvl="8">
      <w:start w:val="1"/>
      <w:numFmt w:val="decimal"/>
      <w:isLgl/>
      <w:lvlText w:val="%1.%2.%3.%4.%5.%6.%7.%8.%9."/>
      <w:lvlJc w:val="left"/>
      <w:pPr>
        <w:ind w:left="2160" w:hanging="1800"/>
      </w:pPr>
      <w:rPr>
        <w:rFonts w:ascii="Times New Roman" w:hAnsi="Times New Roman" w:cs="Times New Roman" w:hint="default"/>
        <w:color w:val="2E74B5"/>
        <w:sz w:val="32"/>
      </w:rPr>
    </w:lvl>
  </w:abstractNum>
  <w:abstractNum w:abstractNumId="2" w15:restartNumberingAfterBreak="0">
    <w:nsid w:val="642528D7"/>
    <w:multiLevelType w:val="hybridMultilevel"/>
    <w:tmpl w:val="F1D4D21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F37"/>
    <w:rsid w:val="00012A2C"/>
    <w:rsid w:val="0001795F"/>
    <w:rsid w:val="00021D43"/>
    <w:rsid w:val="00042108"/>
    <w:rsid w:val="00043B52"/>
    <w:rsid w:val="00047878"/>
    <w:rsid w:val="0008578F"/>
    <w:rsid w:val="00096401"/>
    <w:rsid w:val="000A0F7C"/>
    <w:rsid w:val="000C3118"/>
    <w:rsid w:val="000E7118"/>
    <w:rsid w:val="000F6839"/>
    <w:rsid w:val="00101EA7"/>
    <w:rsid w:val="0010523C"/>
    <w:rsid w:val="0011569C"/>
    <w:rsid w:val="00115951"/>
    <w:rsid w:val="0012040C"/>
    <w:rsid w:val="00125247"/>
    <w:rsid w:val="00146887"/>
    <w:rsid w:val="00147E50"/>
    <w:rsid w:val="00151F1E"/>
    <w:rsid w:val="00195456"/>
    <w:rsid w:val="00197312"/>
    <w:rsid w:val="001A5677"/>
    <w:rsid w:val="001D5050"/>
    <w:rsid w:val="00203635"/>
    <w:rsid w:val="00206C70"/>
    <w:rsid w:val="00220702"/>
    <w:rsid w:val="00220724"/>
    <w:rsid w:val="00223512"/>
    <w:rsid w:val="00231274"/>
    <w:rsid w:val="00233F37"/>
    <w:rsid w:val="0023528F"/>
    <w:rsid w:val="002424C2"/>
    <w:rsid w:val="00245AE2"/>
    <w:rsid w:val="00262DEA"/>
    <w:rsid w:val="002841BC"/>
    <w:rsid w:val="002E4112"/>
    <w:rsid w:val="002F1383"/>
    <w:rsid w:val="002F39C1"/>
    <w:rsid w:val="00300032"/>
    <w:rsid w:val="00303F28"/>
    <w:rsid w:val="00313D2A"/>
    <w:rsid w:val="003151C2"/>
    <w:rsid w:val="003223E0"/>
    <w:rsid w:val="00322B42"/>
    <w:rsid w:val="0033557E"/>
    <w:rsid w:val="003406D9"/>
    <w:rsid w:val="00373CA8"/>
    <w:rsid w:val="003926C4"/>
    <w:rsid w:val="00397181"/>
    <w:rsid w:val="003A4620"/>
    <w:rsid w:val="003A471E"/>
    <w:rsid w:val="003A5DB0"/>
    <w:rsid w:val="003B3891"/>
    <w:rsid w:val="003B4BED"/>
    <w:rsid w:val="003C36D3"/>
    <w:rsid w:val="003D0E0F"/>
    <w:rsid w:val="00400496"/>
    <w:rsid w:val="004A2954"/>
    <w:rsid w:val="004A6FD4"/>
    <w:rsid w:val="004A7F0F"/>
    <w:rsid w:val="004B04DF"/>
    <w:rsid w:val="004C3B1A"/>
    <w:rsid w:val="004C5168"/>
    <w:rsid w:val="005244D0"/>
    <w:rsid w:val="005343A0"/>
    <w:rsid w:val="005439BC"/>
    <w:rsid w:val="0054713D"/>
    <w:rsid w:val="005746E9"/>
    <w:rsid w:val="00580C4F"/>
    <w:rsid w:val="005812DE"/>
    <w:rsid w:val="005A00E2"/>
    <w:rsid w:val="005B1948"/>
    <w:rsid w:val="005D2621"/>
    <w:rsid w:val="005E275D"/>
    <w:rsid w:val="00627AD3"/>
    <w:rsid w:val="00643516"/>
    <w:rsid w:val="00647582"/>
    <w:rsid w:val="006509A7"/>
    <w:rsid w:val="00657D43"/>
    <w:rsid w:val="0067263A"/>
    <w:rsid w:val="006779B1"/>
    <w:rsid w:val="006A1A03"/>
    <w:rsid w:val="006F4216"/>
    <w:rsid w:val="006F6174"/>
    <w:rsid w:val="00700C41"/>
    <w:rsid w:val="00747B07"/>
    <w:rsid w:val="00757480"/>
    <w:rsid w:val="00781F85"/>
    <w:rsid w:val="00791136"/>
    <w:rsid w:val="007915AA"/>
    <w:rsid w:val="00793CA8"/>
    <w:rsid w:val="00795E9B"/>
    <w:rsid w:val="007A5B57"/>
    <w:rsid w:val="007B08A9"/>
    <w:rsid w:val="007D67F7"/>
    <w:rsid w:val="007E046F"/>
    <w:rsid w:val="007E6DB9"/>
    <w:rsid w:val="007F05BC"/>
    <w:rsid w:val="007F1013"/>
    <w:rsid w:val="0081627F"/>
    <w:rsid w:val="00837FE6"/>
    <w:rsid w:val="00844329"/>
    <w:rsid w:val="0084461B"/>
    <w:rsid w:val="00850259"/>
    <w:rsid w:val="00882A45"/>
    <w:rsid w:val="008A2606"/>
    <w:rsid w:val="008A36FF"/>
    <w:rsid w:val="008F710F"/>
    <w:rsid w:val="00937145"/>
    <w:rsid w:val="00957F12"/>
    <w:rsid w:val="0096649C"/>
    <w:rsid w:val="00974452"/>
    <w:rsid w:val="00983CC2"/>
    <w:rsid w:val="00992DC1"/>
    <w:rsid w:val="009A3DB4"/>
    <w:rsid w:val="00A07E2F"/>
    <w:rsid w:val="00A17B30"/>
    <w:rsid w:val="00A25277"/>
    <w:rsid w:val="00A47B5E"/>
    <w:rsid w:val="00A50112"/>
    <w:rsid w:val="00A55378"/>
    <w:rsid w:val="00A62EC5"/>
    <w:rsid w:val="00A75AA7"/>
    <w:rsid w:val="00AA1380"/>
    <w:rsid w:val="00AA1977"/>
    <w:rsid w:val="00AA7CE3"/>
    <w:rsid w:val="00AB3BFB"/>
    <w:rsid w:val="00AD4AE3"/>
    <w:rsid w:val="00AF109E"/>
    <w:rsid w:val="00B0013C"/>
    <w:rsid w:val="00B501C6"/>
    <w:rsid w:val="00B611D3"/>
    <w:rsid w:val="00B62DB8"/>
    <w:rsid w:val="00B632D2"/>
    <w:rsid w:val="00B64AAA"/>
    <w:rsid w:val="00B72CE3"/>
    <w:rsid w:val="00B91C93"/>
    <w:rsid w:val="00B957C0"/>
    <w:rsid w:val="00B967FE"/>
    <w:rsid w:val="00BB33D9"/>
    <w:rsid w:val="00BB709A"/>
    <w:rsid w:val="00BC7B50"/>
    <w:rsid w:val="00BE0D75"/>
    <w:rsid w:val="00BF125E"/>
    <w:rsid w:val="00C15EB4"/>
    <w:rsid w:val="00C21141"/>
    <w:rsid w:val="00C218B0"/>
    <w:rsid w:val="00C35672"/>
    <w:rsid w:val="00C56C61"/>
    <w:rsid w:val="00C63392"/>
    <w:rsid w:val="00C70EB5"/>
    <w:rsid w:val="00C913CA"/>
    <w:rsid w:val="00C96B8A"/>
    <w:rsid w:val="00CA4BED"/>
    <w:rsid w:val="00CD0D53"/>
    <w:rsid w:val="00CD2380"/>
    <w:rsid w:val="00CD2C2E"/>
    <w:rsid w:val="00CE1755"/>
    <w:rsid w:val="00CE78D3"/>
    <w:rsid w:val="00CF3BAC"/>
    <w:rsid w:val="00CF691C"/>
    <w:rsid w:val="00D2565B"/>
    <w:rsid w:val="00D25B5F"/>
    <w:rsid w:val="00D5053E"/>
    <w:rsid w:val="00D5552D"/>
    <w:rsid w:val="00D85B70"/>
    <w:rsid w:val="00D93EA7"/>
    <w:rsid w:val="00D95494"/>
    <w:rsid w:val="00DB1D7E"/>
    <w:rsid w:val="00DD392A"/>
    <w:rsid w:val="00DD3CF2"/>
    <w:rsid w:val="00DF00D8"/>
    <w:rsid w:val="00E314F2"/>
    <w:rsid w:val="00E42460"/>
    <w:rsid w:val="00E465B9"/>
    <w:rsid w:val="00E4748E"/>
    <w:rsid w:val="00E47846"/>
    <w:rsid w:val="00E55B1A"/>
    <w:rsid w:val="00E64F55"/>
    <w:rsid w:val="00E67863"/>
    <w:rsid w:val="00E80965"/>
    <w:rsid w:val="00E823F0"/>
    <w:rsid w:val="00E85C27"/>
    <w:rsid w:val="00EA2C9C"/>
    <w:rsid w:val="00EA35A5"/>
    <w:rsid w:val="00EA3B89"/>
    <w:rsid w:val="00ED6106"/>
    <w:rsid w:val="00EE77D8"/>
    <w:rsid w:val="00EF5D14"/>
    <w:rsid w:val="00F0790F"/>
    <w:rsid w:val="00F1126C"/>
    <w:rsid w:val="00F16C1B"/>
    <w:rsid w:val="00F22774"/>
    <w:rsid w:val="00F23D70"/>
    <w:rsid w:val="00F318BD"/>
    <w:rsid w:val="00F31C64"/>
    <w:rsid w:val="00F36D04"/>
    <w:rsid w:val="00F443F7"/>
    <w:rsid w:val="00F833A2"/>
    <w:rsid w:val="00FA1C3E"/>
    <w:rsid w:val="00FA26AC"/>
    <w:rsid w:val="00FA4F84"/>
    <w:rsid w:val="00FF00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F5E52"/>
  <w15:chartTrackingRefBased/>
  <w15:docId w15:val="{97518D20-65AF-440A-BFB6-395993DB1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rPr>
  </w:style>
  <w:style w:type="paragraph" w:styleId="1">
    <w:name w:val="heading 1"/>
    <w:link w:val="10"/>
    <w:uiPriority w:val="9"/>
    <w:qFormat/>
    <w:rsid w:val="00CE1755"/>
    <w:pPr>
      <w:spacing w:after="0" w:line="240" w:lineRule="auto"/>
      <w:outlineLvl w:val="0"/>
    </w:pPr>
    <w:rPr>
      <w:rFonts w:ascii="Times New Roman" w:eastAsia="Times New Roman" w:hAnsi="Times New Roman" w:cs="Times New Roman"/>
      <w:color w:val="2E74B5"/>
      <w:sz w:val="32"/>
      <w:szCs w:val="32"/>
      <w:lang w:eastAsia="ru-RU"/>
    </w:rPr>
  </w:style>
  <w:style w:type="paragraph" w:styleId="2">
    <w:name w:val="heading 2"/>
    <w:basedOn w:val="a"/>
    <w:next w:val="a"/>
    <w:link w:val="20"/>
    <w:uiPriority w:val="9"/>
    <w:unhideWhenUsed/>
    <w:qFormat/>
    <w:rsid w:val="00E64F5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882A4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E1755"/>
    <w:rPr>
      <w:rFonts w:ascii="Times New Roman" w:eastAsia="Times New Roman" w:hAnsi="Times New Roman" w:cs="Times New Roman"/>
      <w:color w:val="2E74B5"/>
      <w:sz w:val="32"/>
      <w:szCs w:val="32"/>
      <w:lang w:eastAsia="ru-RU"/>
    </w:rPr>
  </w:style>
  <w:style w:type="paragraph" w:styleId="a3">
    <w:name w:val="List Paragraph"/>
    <w:uiPriority w:val="34"/>
    <w:qFormat/>
    <w:rsid w:val="00CE1755"/>
    <w:pPr>
      <w:spacing w:after="0" w:line="240" w:lineRule="auto"/>
    </w:pPr>
    <w:rPr>
      <w:rFonts w:ascii="Times New Roman" w:eastAsia="Times New Roman" w:hAnsi="Times New Roman" w:cs="Times New Roman"/>
      <w:sz w:val="20"/>
      <w:szCs w:val="20"/>
      <w:lang w:eastAsia="ru-RU"/>
    </w:rPr>
  </w:style>
  <w:style w:type="character" w:customStyle="1" w:styleId="20">
    <w:name w:val="Заголовок 2 Знак"/>
    <w:basedOn w:val="a0"/>
    <w:link w:val="2"/>
    <w:uiPriority w:val="9"/>
    <w:rsid w:val="00E64F55"/>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882A45"/>
    <w:rPr>
      <w:rFonts w:asciiTheme="majorHAnsi" w:eastAsiaTheme="majorEastAsia" w:hAnsiTheme="majorHAnsi" w:cstheme="majorBidi"/>
      <w:color w:val="1F3763" w:themeColor="accent1" w:themeShade="7F"/>
      <w:sz w:val="24"/>
      <w:szCs w:val="24"/>
    </w:rPr>
  </w:style>
  <w:style w:type="character" w:styleId="a4">
    <w:name w:val="line number"/>
    <w:basedOn w:val="a0"/>
    <w:uiPriority w:val="99"/>
    <w:semiHidden/>
    <w:unhideWhenUsed/>
    <w:rsid w:val="00146887"/>
  </w:style>
  <w:style w:type="character" w:styleId="a5">
    <w:name w:val="Hyperlink"/>
    <w:basedOn w:val="a0"/>
    <w:uiPriority w:val="99"/>
    <w:unhideWhenUsed/>
    <w:rsid w:val="00CD0D53"/>
    <w:rPr>
      <w:color w:val="0563C1" w:themeColor="hyperlink"/>
      <w:u w:val="single"/>
    </w:rPr>
  </w:style>
  <w:style w:type="character" w:styleId="a6">
    <w:name w:val="Unresolved Mention"/>
    <w:basedOn w:val="a0"/>
    <w:uiPriority w:val="99"/>
    <w:semiHidden/>
    <w:unhideWhenUsed/>
    <w:rsid w:val="00CD0D53"/>
    <w:rPr>
      <w:color w:val="605E5C"/>
      <w:shd w:val="clear" w:color="auto" w:fill="E1DFDD"/>
    </w:rPr>
  </w:style>
  <w:style w:type="character" w:styleId="a7">
    <w:name w:val="FollowedHyperlink"/>
    <w:basedOn w:val="a0"/>
    <w:uiPriority w:val="99"/>
    <w:semiHidden/>
    <w:unhideWhenUsed/>
    <w:rsid w:val="00A25277"/>
    <w:rPr>
      <w:color w:val="954F72" w:themeColor="followedHyperlink"/>
      <w:u w:val="single"/>
    </w:rPr>
  </w:style>
  <w:style w:type="table" w:styleId="a8">
    <w:name w:val="Table Grid"/>
    <w:basedOn w:val="a1"/>
    <w:uiPriority w:val="39"/>
    <w:rsid w:val="008A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Placeholder Text"/>
    <w:basedOn w:val="a0"/>
    <w:uiPriority w:val="99"/>
    <w:semiHidden/>
    <w:rsid w:val="00DD3C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1708.03731" TargetMode="External"/><Relationship Id="rId18" Type="http://schemas.openxmlformats.org/officeDocument/2006/relationships/hyperlink" Target="https://doi.org/10.48550/arXiv.1912.09893" TargetMode="External"/><Relationship Id="rId26" Type="http://schemas.openxmlformats.org/officeDocument/2006/relationships/hyperlink" Target="https://doi.org/10.1609/aaai.v32i1.11694" TargetMode="External"/><Relationship Id="rId39" Type="http://schemas.openxmlformats.org/officeDocument/2006/relationships/hyperlink" Target="https://doi.org/10.48550/arXiv.2202.01575" TargetMode="External"/><Relationship Id="rId21" Type="http://schemas.openxmlformats.org/officeDocument/2006/relationships/hyperlink" Target="https://doi.org/10.48550/arXiv.2505.08199" TargetMode="External"/><Relationship Id="rId34" Type="http://schemas.openxmlformats.org/officeDocument/2006/relationships/hyperlink" Target="https://doi.org/10.48550/arXiv.2103.04514" TargetMode="External"/><Relationship Id="rId42" Type="http://schemas.openxmlformats.org/officeDocument/2006/relationships/hyperlink" Target="https://doi.org/10.48550/arXiv.2106.13008" TargetMode="External"/><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doi.org/10.1016/j.engappai.2025.110980" TargetMode="External"/><Relationship Id="rId29" Type="http://schemas.openxmlformats.org/officeDocument/2006/relationships/hyperlink" Target="https://doi.org/10.48550/arXiv.2310.066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016/j.apenergy.2022.119963" TargetMode="External"/><Relationship Id="rId24" Type="http://schemas.openxmlformats.org/officeDocument/2006/relationships/hyperlink" Target="https://doi.org/10.1145/3589806.3600044" TargetMode="External"/><Relationship Id="rId32" Type="http://schemas.openxmlformats.org/officeDocument/2006/relationships/hyperlink" Target="https://doi.org/10.48550/arXiv.1905.10437" TargetMode="External"/><Relationship Id="rId37" Type="http://schemas.openxmlformats.org/officeDocument/2006/relationships/hyperlink" Target="https://doi.org/10.48550/arXiv.2405.14616" TargetMode="External"/><Relationship Id="rId40" Type="http://schemas.openxmlformats.org/officeDocument/2006/relationships/hyperlink" Target="https://doi.org/10.48550/arXiv.2202.01381" TargetMode="External"/><Relationship Id="rId45" Type="http://schemas.openxmlformats.org/officeDocument/2006/relationships/hyperlink" Target="https://doi.org/10.1109/TIA.2024.3354222" TargetMode="External"/><Relationship Id="rId5" Type="http://schemas.openxmlformats.org/officeDocument/2006/relationships/webSettings" Target="webSettings.xml"/><Relationship Id="rId15" Type="http://schemas.openxmlformats.org/officeDocument/2006/relationships/hyperlink" Target="https://doi.org/10.1609/aaai.v37i6.25854" TargetMode="External"/><Relationship Id="rId23" Type="http://schemas.openxmlformats.org/officeDocument/2006/relationships/hyperlink" Target="https://doi.org/10.48550/arXiv.2106.11959" TargetMode="External"/><Relationship Id="rId28" Type="http://schemas.openxmlformats.org/officeDocument/2006/relationships/hyperlink" Target="https://doi.org/10.1038/sdata.2015.7" TargetMode="External"/><Relationship Id="rId36" Type="http://schemas.openxmlformats.org/officeDocument/2006/relationships/hyperlink" Target="https://doi.org/10.1145/2641190.2641198" TargetMode="External"/><Relationship Id="rId10" Type="http://schemas.openxmlformats.org/officeDocument/2006/relationships/image" Target="media/image5.png"/><Relationship Id="rId19" Type="http://schemas.openxmlformats.org/officeDocument/2006/relationships/hyperlink" Target="https://doi.org/10.5281/zenodo.13619621" TargetMode="External"/><Relationship Id="rId31" Type="http://schemas.openxmlformats.org/officeDocument/2006/relationships/hyperlink" Target="https://doi.org/10.1007/978-3-030-58595-2_41" TargetMode="External"/><Relationship Id="rId44" Type="http://schemas.openxmlformats.org/officeDocument/2006/relationships/hyperlink" Target="https://doi.org/10.1609/aaai.v37i9.2631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48550/arXiv.2103.03098" TargetMode="External"/><Relationship Id="rId22" Type="http://schemas.openxmlformats.org/officeDocument/2006/relationships/hyperlink" Target="https://doi.org/10.48550/arXiv.2305.18838" TargetMode="External"/><Relationship Id="rId27" Type="http://schemas.openxmlformats.org/officeDocument/2006/relationships/hyperlink" Target="https://doi.org/10.18653/v1/D19-1275" TargetMode="External"/><Relationship Id="rId30" Type="http://schemas.openxmlformats.org/officeDocument/2006/relationships/hyperlink" Target="https://doi.org/10.1609/aaai.v39i18.34156" TargetMode="External"/><Relationship Id="rId35" Type="http://schemas.openxmlformats.org/officeDocument/2006/relationships/hyperlink" Target="https://doi.org/10.55452/1998-6688-2026-23-2-133-149" TargetMode="External"/><Relationship Id="rId43" Type="http://schemas.openxmlformats.org/officeDocument/2006/relationships/hyperlink" Target="https://doi.org/10.48550/arXiv.2305.12095" TargetMode="External"/><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hyperlink" Target="https://doi.org/10.1162/coli_a_00422" TargetMode="External"/><Relationship Id="rId17" Type="http://schemas.openxmlformats.org/officeDocument/2006/relationships/hyperlink" Target="https://doi.org/10.1109/TSP.2013.2288675" TargetMode="External"/><Relationship Id="rId25" Type="http://schemas.openxmlformats.org/officeDocument/2006/relationships/hyperlink" Target="https://doi.org/10.48550/arxiv.2404.14197" TargetMode="External"/><Relationship Id="rId33" Type="http://schemas.openxmlformats.org/officeDocument/2006/relationships/hyperlink" Target="https://doi.org/10.48550/arXiv.2109.08203" TargetMode="External"/><Relationship Id="rId38" Type="http://schemas.openxmlformats.org/officeDocument/2006/relationships/hyperlink" Target="https://doi.org/10.52202/068431-2810" TargetMode="External"/><Relationship Id="rId46" Type="http://schemas.openxmlformats.org/officeDocument/2006/relationships/hyperlink" Target="https://doi.org/10.48550/arXiv.2205.08897" TargetMode="External"/><Relationship Id="rId20" Type="http://schemas.openxmlformats.org/officeDocument/2006/relationships/hyperlink" Target="https://doi.org/10.1145/3298689.3347058" TargetMode="External"/><Relationship Id="rId41" Type="http://schemas.openxmlformats.org/officeDocument/2006/relationships/hyperlink" Target="https://doi.org/10.48550/arXiv.2210.02186"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837C4-662F-4474-B4DD-A70F14ACD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20</Pages>
  <Words>11226</Words>
  <Characters>63992</Characters>
  <Application>Microsoft Office Word</Application>
  <DocSecurity>0</DocSecurity>
  <Lines>533</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Тохметов Акылбек Тимербекович</dc:creator>
  <cp:keywords/>
  <dc:description/>
  <cp:lastModifiedBy>Тохметов Акылбек Тимербекович</cp:lastModifiedBy>
  <cp:revision>5</cp:revision>
  <cp:lastPrinted>2026-08-04T15:34:00Z</cp:lastPrinted>
  <dcterms:created xsi:type="dcterms:W3CDTF">2026-08-17T05:26:00Z</dcterms:created>
  <dcterms:modified xsi:type="dcterms:W3CDTF">2026-08-17T06:12:00Z</dcterms:modified>
</cp:coreProperties>
</file>