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FAE1D" w14:textId="77777777" w:rsidR="00233F37" w:rsidRPr="00F22774" w:rsidRDefault="00AA7CE3" w:rsidP="00AA7CE3">
      <w:pPr>
        <w:jc w:val="center"/>
        <w:rPr>
          <w:rFonts w:ascii="Times New Roman" w:eastAsia="Times New Roman" w:hAnsi="Times New Roman" w:cs="Times New Roman"/>
          <w:b/>
          <w:bCs/>
          <w:sz w:val="28"/>
          <w:szCs w:val="28"/>
          <w:lang w:val="en-US"/>
        </w:rPr>
      </w:pPr>
      <w:r>
        <w:t>Training Randomness in Architecture Ablations: A Crossed Seed–Window Analysis with Preregistered Replication</w:t>
      </w:r>
    </w:p>
    <w:p w14:paraId="10576AB3" w14:textId="77777777" w:rsidR="00CE1755" w:rsidRPr="00F22774" w:rsidRDefault="00CE1755" w:rsidP="00CE1755">
      <w:pPr>
        <w:ind w:left="106"/>
        <w:jc w:val="center"/>
        <w:rPr>
          <w:rFonts w:ascii="Times New Roman" w:hAnsi="Times New Roman" w:cs="Times New Roman"/>
          <w:b/>
          <w:lang w:val="en-US"/>
        </w:rPr>
      </w:pPr>
      <w:r>
        <w:rPr>
          <w:rFonts w:ascii="Times New Roman" w:hAnsi="Times New Roman" w:cs="Times New Roman"/>
          <w:b/>
          <w:lang w:val="en-US"/>
        </w:rPr>
        <w:t>Liliya Tanchenko, Akylbek Tokhmetov*, Danel Musina</w:t>
      </w:r>
    </w:p>
    <w:p w14:paraId="04A5188B" w14:textId="77777777" w:rsidR="00CE1755" w:rsidRPr="00F22774" w:rsidRDefault="00CE1755" w:rsidP="00CE1755">
      <w:pPr>
        <w:ind w:left="106"/>
        <w:jc w:val="center"/>
        <w:rPr>
          <w:rFonts w:ascii="Times New Roman" w:hAnsi="Times New Roman" w:cs="Times New Roman"/>
          <w:i/>
          <w:lang w:val="en-US"/>
        </w:rPr>
      </w:pPr>
      <w:r>
        <w:rPr>
          <w:rFonts w:ascii="Times New Roman" w:hAnsi="Times New Roman" w:cs="Times New Roman"/>
          <w:i/>
          <w:lang w:val="en-US"/>
        </w:rPr>
        <w:t>Department of Information Systems, L.N. Gumilyov Eurasian National University, Astana, Kazakhstan</w:t>
      </w:r>
    </w:p>
    <w:p w14:paraId="4CAB32DC" w14:textId="77777777" w:rsidR="00CE1755" w:rsidRPr="00F22774" w:rsidRDefault="00CE1755" w:rsidP="00CE1755">
      <w:pPr>
        <w:pStyle w:val="a3"/>
        <w:jc w:val="center"/>
        <w:rPr>
          <w:i/>
          <w:iCs/>
          <w:lang w:val="en-US"/>
        </w:rPr>
      </w:pPr>
      <w:r>
        <w:rPr>
          <w:i/>
          <w:iCs/>
          <w:lang w:val="en-US"/>
        </w:rPr>
        <w:t>*Corresponding author’s Email: tokhmetov_at_2@enu.kz</w:t>
      </w:r>
    </w:p>
    <w:p w14:paraId="5ECAFBC2" w14:textId="77777777" w:rsidR="00CE1755" w:rsidRPr="00F22774" w:rsidRDefault="00CE1755" w:rsidP="00CE1755">
      <w:pPr>
        <w:spacing w:after="200"/>
        <w:jc w:val="both"/>
        <w:rPr>
          <w:rFonts w:ascii="Times New Roman" w:hAnsi="Times New Roman" w:cs="Times New Roman"/>
          <w:lang w:val="en-US"/>
        </w:rPr>
      </w:pPr>
    </w:p>
    <w:p w14:paraId="2C293983" w14:textId="77777777" w:rsidR="00D25B5F" w:rsidRPr="00F22774" w:rsidRDefault="00D25B5F" w:rsidP="00D25B5F">
      <w:pPr>
        <w:spacing w:after="0"/>
        <w:jc w:val="both"/>
        <w:rPr>
          <w:rFonts w:ascii="Times New Roman" w:hAnsi="Times New Roman" w:cs="Times New Roman"/>
          <w:lang w:val="en-US"/>
        </w:rPr>
      </w:pPr>
      <w:r>
        <w:t>Architectural ablations in deep learning commonly treat stochastic training as fixed and quantify uncertainty only over the evaluation set. We examine the consequences in a decomposition-based Transformer for short-term load forecasting, using 17 households, five seeds and eight configurations, and replicate the central variance result under a preregistered design on 17 commercial clients. Training randomness accounts for a median 83% of the variance of the household ablation effect and the replication returns the same median share. Propagating this component reduces nominally significant households from 7 of 17 to 2, lowers apparent heterogeneity from I² = 87% to 30%, and increases the households required to detect an effect equal to 1% of household error from 8 to 41. The REML–Hartung–Knapp pooled effect is −0.26% of household error, with a prediction interval [−0.98%, +0.46%] entirely inside a pre-specified ±2% equivalence band. Adaptive fusion also conceals severe branch failures in both energy domains. To assess scope beyond energy forecasting, we add a pre-specified feature-identity ablation on 17 OpenML-CC18 tasks. Removing the tokenizer identity term worsens balanced error on 14 tasks, but the pooled increase of 0.93 percentage points remains uncertain (95% CI [−0.04, 1.90]); cross-entropy provides supportive but sensitivity-dependent evidence. The results show that ablation validity depends jointly on training randomness, evaluation sampling, observation scale and the architecture through which a component is observed.</w:t>
      </w:r>
    </w:p>
    <w:p w14:paraId="44902FFB" w14:textId="77777777" w:rsidR="00CE1755" w:rsidRPr="00DD392A" w:rsidRDefault="00CE1755" w:rsidP="00CE1755">
      <w:pPr>
        <w:pStyle w:val="a3"/>
        <w:jc w:val="both"/>
        <w:rPr>
          <w:sz w:val="22"/>
          <w:szCs w:val="22"/>
          <w:lang w:val="en-US"/>
        </w:rPr>
      </w:pPr>
      <w:r>
        <w:t>Keywords: Architectural ablation, Training randomness, Variance decomposition, Hartung–Knapp meta-analysis, Feature identity, OpenML-CC18, Preregistered replication.</w:t>
      </w:r>
    </w:p>
    <w:p w14:paraId="6A8D7E68" w14:textId="77777777" w:rsidR="00CE1755" w:rsidRPr="00F22774" w:rsidRDefault="00CE1755" w:rsidP="00CE1755">
      <w:pPr>
        <w:pStyle w:val="1"/>
        <w:numPr>
          <w:ilvl w:val="0"/>
          <w:numId w:val="1"/>
        </w:numPr>
        <w:spacing w:before="400" w:after="200"/>
        <w:jc w:val="both"/>
        <w:rPr>
          <w:lang w:val="en-US"/>
        </w:rPr>
      </w:pPr>
      <w:bookmarkStart w:id="1" w:name="_Hlk236562299"/>
      <w:bookmarkEnd w:id="0"/>
      <w:r>
        <w:rPr>
          <w:lang w:val="en-US"/>
        </w:rPr>
        <w:t>Introduction</w:t>
      </w:r>
    </w:p>
    <w:p w14:paraId="51374DE5" w14:textId="77777777" w:rsidR="007A5B57" w:rsidRPr="00F22774" w:rsidRDefault="007A5B57" w:rsidP="00C15EB4">
      <w:pPr>
        <w:jc w:val="both"/>
        <w:rPr>
          <w:lang w:val="en-US"/>
        </w:rPr>
      </w:pPr>
      <w:r>
        <w:rPr>
          <w:rFonts w:ascii="Times New Roman" w:eastAsia="Times New Roman" w:hAnsi="Times New Roman" w:cs="Times New Roman"/>
          <w:lang w:val="en-US"/>
        </w:rPr>
        <w:t>An ablation is the standard instrument for establishing that a part of a neural architecture does useful work. Its logic is simple and its authority considerable: remove the component, retrain, and observe whether the metric worsens. Two assumptions are built into the procedure, and both are usually left implicit. The first is that the difference between two trained models estimates the contribution of the component rather than the accident of two initializations. The second is that the end-task metric is a faithful instrument for observing a part of the model, rather than the output of a system that may absorb or amplify what happens inside it.</w:t>
      </w:r>
    </w:p>
    <w:p w14:paraId="51B43C88" w14:textId="77777777" w:rsidR="007A5B57" w:rsidRPr="00F22774" w:rsidRDefault="007A5B57" w:rsidP="00C15EB4">
      <w:pPr>
        <w:jc w:val="both"/>
        <w:rPr>
          <w:lang w:val="en-US"/>
        </w:rPr>
      </w:pPr>
      <w:r>
        <w:t>This paper measures both assumptions in a decomposition-based Transformer for short-term load forecasting, re-tests the central variance result under a design fixed in advance on a second energy domain, and then examines the same identity principle in a non-energy tabular benchmark. The architecture uses a learned identity mechanism that was previously reported to be the condition under which decomposition helps. That claim, the ablation that supported it and the reliability of the evaluation procedure are the objects of study.</w:t>
      </w:r>
    </w:p>
    <w:p w14:paraId="0A830E4B" w14:textId="77777777" w:rsidR="00C15EB4" w:rsidRPr="00DD392A" w:rsidRDefault="00C15EB4" w:rsidP="00C15EB4">
      <w:pPr>
        <w:jc w:val="both"/>
        <w:rPr>
          <w:lang w:val="en-US"/>
        </w:rPr>
      </w:pPr>
      <w:r w:rsidRPr="00DD392A">
        <w:rPr>
          <w:rFonts w:ascii="Times New Roman" w:eastAsia="Times New Roman" w:hAnsi="Times New Roman" w:cs="Times New Roman"/>
          <w:lang w:val="en-US"/>
        </w:rPr>
        <w:t xml:space="preserve">The architecture and the claim are our own earlier work, reported in an unpublished bachelor's thesis </w:t>
      </w:r>
      <w:hyperlink w:anchor="ref_musina_2026">
        <w:r w:rsidRPr="00DD392A">
          <w:rPr>
            <w:rFonts w:ascii="Times New Roman" w:eastAsia="Times New Roman" w:hAnsi="Times New Roman" w:cs="Times New Roman"/>
            <w:color w:val="0563C1"/>
            <w:lang w:val="en-US"/>
          </w:rPr>
          <w:t>(Musina, 2026)</w:t>
        </w:r>
      </w:hyperlink>
      <w:r w:rsidRPr="00DD392A">
        <w:rPr>
          <w:rFonts w:ascii="Times New Roman" w:eastAsia="Times New Roman" w:hAnsi="Times New Roman" w:cs="Times New Roman"/>
          <w:lang w:val="en-US"/>
        </w:rPr>
        <w:t xml:space="preserve"> that is archived at our institution and is not publicly available. What follows is therefore not a critique of someone else's method but a reconstruction of our own, undertaken because the original result did not replicate and because the reasons it did not proved more interesting than the result. The procedures we examine are the customary ones, and nothing in the analysis requires that anyone involved was careless. Because the original study is unpublished, we state its design, its sample and the statistic it </w:t>
      </w:r>
      <w:r w:rsidRPr="00DD392A">
        <w:rPr>
          <w:rFonts w:ascii="Times New Roman" w:eastAsia="Times New Roman" w:hAnsi="Times New Roman" w:cs="Times New Roman"/>
          <w:lang w:val="en-US"/>
        </w:rPr>
        <w:lastRenderedPageBreak/>
        <w:t>reported in full (Sections 3.2 and 5.4.3), and no claim we make rests on anything from it that is not reported here.</w:t>
      </w:r>
    </w:p>
    <w:p w14:paraId="60C80166" w14:textId="77777777" w:rsidR="00C15EB4" w:rsidRPr="00F22774" w:rsidRDefault="00C15EB4" w:rsidP="00C15EB4">
      <w:pPr>
        <w:jc w:val="both"/>
        <w:rPr>
          <w:lang w:val="en-US"/>
        </w:rPr>
      </w:pPr>
      <w:r>
        <w:rPr>
          <w:rFonts w:ascii="Times New Roman" w:eastAsia="Times New Roman" w:hAnsi="Times New Roman" w:cs="Times New Roman"/>
          <w:lang w:val="en-US"/>
        </w:rPr>
        <w:t>Load forecasting is a useful testbed for reasons that have nothing to do with energy. The natural unit of replication is available in quantity across independently collected datasets, which makes it possible to separate variation between units from variation between training runs; training is cheap enough that repeated runs are affordable and expensive enough that few studies perform them; and the architectures in common use combine branches through learned gates, so that a component of interest is routinely observed only through a mechanism that can compensate for it.</w:t>
      </w:r>
    </w:p>
    <w:p w14:paraId="73EAA20F" w14:textId="77777777" w:rsidR="00C15EB4" w:rsidRPr="00F22774" w:rsidRDefault="00C15EB4" w:rsidP="00C15EB4">
      <w:pPr>
        <w:jc w:val="both"/>
        <w:rPr>
          <w:lang w:val="en-US"/>
        </w:rPr>
      </w:pPr>
      <w:r>
        <w:rPr>
          <w:rFonts w:ascii="Times New Roman" w:eastAsia="Times New Roman" w:hAnsi="Times New Roman" w:cs="Times New Roman"/>
          <w:lang w:val="en-US"/>
        </w:rPr>
        <w:t>Our contributions are as follows.</w:t>
      </w:r>
    </w:p>
    <w:p w14:paraId="0B580AE5" w14:textId="77777777" w:rsidR="00C15EB4" w:rsidRPr="00F22774" w:rsidRDefault="00C15EB4" w:rsidP="00C15EB4">
      <w:pPr>
        <w:jc w:val="both"/>
        <w:rPr>
          <w:lang w:val="en-US"/>
        </w:rPr>
      </w:pPr>
      <w:r>
        <w:rPr>
          <w:rFonts w:ascii="Times New Roman" w:eastAsia="Times New Roman" w:hAnsi="Times New Roman" w:cs="Times New Roman"/>
          <w:bCs/>
          <w:lang w:val="en-US"/>
        </w:rPr>
        <w:t>(i)  A decomposition of the uncertainty of an architectural comparison into a component from the finite evaluation set and a component from stochastic training, with a model-based interval for the ratio usable at the small numbers of training runs actually performed. Across 17 households the training component has a median share of 83 per cent, and about 25 runs per configuration would be needed before it ceased to dominate. The share belongs to the design regime rather than to architectures in general: on two external architectures the ratio is four to ten times smaller, though the fusion gate is not its cause.</w:t>
      </w:r>
    </w:p>
    <w:p w14:paraId="4BA6A6F7" w14:textId="77777777" w:rsidR="00C15EB4" w:rsidRPr="00DD392A" w:rsidRDefault="00C15EB4" w:rsidP="00C15EB4">
      <w:pPr>
        <w:jc w:val="both"/>
        <w:rPr>
          <w:lang w:val="en-US"/>
        </w:rPr>
      </w:pPr>
      <w:r w:rsidRPr="00DD392A">
        <w:rPr>
          <w:rFonts w:ascii="Times New Roman" w:eastAsia="Times New Roman" w:hAnsi="Times New Roman" w:cs="Times New Roman"/>
          <w:lang w:val="en-US"/>
        </w:rPr>
        <w:t>(ii)  A demonstration that this mis-estimation changes conclusions and not merely error bars: nominally significant per-household effects fall from 7 of 17 to 2, apparent heterogeneity between households falls from an I² of 87 per cent to 30 per cent, and the households required to detect an effect of one per cent of household error rise from 8 to 41, or from 6 to 11 when the mean within-household variance is made resistant to a single outlying household. The heterogeneity that motivated the cross-dataset framing of the original study is shown to be largely training noise attributed to the wrong level of the hierarchy.</w:t>
      </w:r>
    </w:p>
    <w:p w14:paraId="53603F46" w14:textId="77777777" w:rsidR="00C15EB4" w:rsidRPr="00F22774" w:rsidRDefault="00C15EB4" w:rsidP="00C15EB4">
      <w:pPr>
        <w:jc w:val="both"/>
        <w:rPr>
          <w:lang w:val="en-US"/>
        </w:rPr>
      </w:pPr>
      <w:r>
        <w:rPr>
          <w:rFonts w:ascii="Times New Roman" w:eastAsia="Times New Roman" w:hAnsi="Times New Roman" w:cs="Times New Roman"/>
          <w:bCs/>
          <w:lang w:val="en-US"/>
        </w:rPr>
        <w:t>(iii)  Evidence that adaptive fusion masks the state of the component: branch error varies by up to a factor of fourteen while the fused forecast varies by a few per cent, the gate mixing the branches rather than selecting one. A structural inconsistency between an auxiliary objective and an aggregation rule leaves the branch worse than a constant predictor on 11 of 17 households without being visible in the reported metric, and repairing it on every household does not improve the metric either. Seven distinct ways of disabling the mechanism at inference, two of which preserve the norm of the substituted vectors exactly, all move the fused forecast by under 0.7 per cent of household error against a 2 per cent threshold.</w:t>
      </w:r>
    </w:p>
    <w:p w14:paraId="2E684FB3" w14:textId="77777777" w:rsidR="00C15EB4" w:rsidRPr="00F22774" w:rsidRDefault="00C15EB4" w:rsidP="00C15EB4">
      <w:pPr>
        <w:jc w:val="both"/>
        <w:rPr>
          <w:lang w:val="en-US"/>
        </w:rPr>
      </w:pPr>
      <w:r w:rsidRPr="00DD392A">
        <w:rPr>
          <w:rFonts w:ascii="Times New Roman" w:eastAsia="Times New Roman" w:hAnsi="Times New Roman" w:cs="Times New Roman"/>
          <w:lang w:val="en-US"/>
        </w:rPr>
        <w:t>(iv)</w:t>
      </w:r>
      <w:r>
        <w:rPr>
          <w:rFonts w:ascii="Times New Roman" w:eastAsia="Times New Roman" w:hAnsi="Times New Roman" w:cs="Times New Roman"/>
          <w:b/>
          <w:bCs/>
          <w:lang w:val="en-US"/>
        </w:rPr>
        <w:t xml:space="preserve">  </w:t>
      </w:r>
      <w:r>
        <w:rPr>
          <w:rFonts w:ascii="Times New Roman" w:eastAsia="Times New Roman" w:hAnsi="Times New Roman" w:cs="Times New Roman"/>
          <w:lang w:val="en-US"/>
        </w:rPr>
        <w:t>A within-model intervention that separates what a mechanism represents from what the model does with it, with a mechanism-absent control showing that most of the represented property is present without the mechanism, together with a null control that passes at machine precision, and the finding that the intervention is an order of magnitude more stable than the corresponding retraining ablation at equal cost.</w:t>
      </w:r>
    </w:p>
    <w:p w14:paraId="72C655C0" w14:textId="77777777" w:rsidR="00C15EB4" w:rsidRPr="00F22774" w:rsidRDefault="00C15EB4" w:rsidP="00C15EB4">
      <w:pPr>
        <w:jc w:val="both"/>
        <w:rPr>
          <w:lang w:val="en-US"/>
        </w:rPr>
      </w:pPr>
      <w:r>
        <w:rPr>
          <w:rFonts w:ascii="Times New Roman" w:eastAsia="Times New Roman" w:hAnsi="Times New Roman" w:cs="Times New Roman"/>
          <w:b/>
          <w:bCs/>
          <w:lang w:val="en-US"/>
        </w:rPr>
        <w:t xml:space="preserve">(v)  </w:t>
      </w:r>
      <w:r>
        <w:rPr>
          <w:rFonts w:ascii="Times New Roman" w:eastAsia="Times New Roman" w:hAnsi="Times New Roman" w:cs="Times New Roman"/>
          <w:lang w:val="en-US"/>
        </w:rPr>
        <w:t>An evaluation protocol for architectural claims, stated as five principal practices and seven further points with the results that motivate each, and costed: most of it is free, the essential part requires three training runs rather than one, and the most informative part requires none.</w:t>
      </w:r>
    </w:p>
    <w:p w14:paraId="3DD48AC8" w14:textId="77777777" w:rsidR="007F05BC" w:rsidRPr="00DD392A" w:rsidRDefault="00DD392A">
      <w:pPr>
        <w:rPr>
          <w:lang w:val="en-US"/>
        </w:rPr>
      </w:pPr>
      <w:r w:rsidRPr="00DD392A">
        <w:rPr>
          <w:lang w:val="en-US"/>
        </w:rPr>
        <w:t>(vi)  A preregistered replication of the variance result on a second domain, 17 commercial and industrial clients with the client as the unit of replication. The design, the eligibility rule, the sampl</w:t>
      </w:r>
      <w:r w:rsidRPr="00DD392A">
        <w:rPr>
          <w:lang w:val="en-US"/>
        </w:rPr>
        <w:t xml:space="preserve">ed units, the </w:t>
      </w:r>
      <w:proofErr w:type="spellStart"/>
      <w:r w:rsidRPr="00DD392A">
        <w:rPr>
          <w:lang w:val="en-US"/>
        </w:rPr>
        <w:t>estimand</w:t>
      </w:r>
      <w:proofErr w:type="spellEnd"/>
      <w:r w:rsidRPr="00DD392A">
        <w:rPr>
          <w:lang w:val="en-US"/>
        </w:rPr>
        <w:t xml:space="preserve"> and the success criteria were fixed before the first training run, and a deviation log records every subsequent change; the exploratory analyses of Sections 5.1 to 5.4 and the confirmatory analysis of Section 5.5 are separated throug</w:t>
      </w:r>
      <w:r w:rsidRPr="00DD392A">
        <w:rPr>
          <w:lang w:val="en-US"/>
        </w:rPr>
        <w:t>hout.</w:t>
      </w:r>
    </w:p>
    <w:bookmarkEnd w:id="1"/>
    <w:p>
      <w:pPr/>
      <w:r>
        <w:t>(vii) A non-energy benchmark on 17 OpenML-CC18 classification tasks that removes the per-feature identity term from an FT-Transformer tokenizer. The primary balanced-error effect is positive on 14 tasks but remains uncertain after REML–Hartung–Knapp pooling; the contrast with cross-entropy shows that estimated seed contributions depend on the observation scale as well as the training procedure.</w:t>
      </w:r>
    </w:p>
    <w:p w14:paraId="1DDCE104" w14:textId="77777777" w:rsidR="00C15EB4" w:rsidRPr="00F22774" w:rsidRDefault="00C15EB4" w:rsidP="00C15EB4">
      <w:pPr>
        <w:jc w:val="both"/>
        <w:rPr>
          <w:lang w:val="en-US"/>
        </w:rPr>
      </w:pPr>
      <w:r>
        <w:t>What this paper does not claim. We report no practically meaningful improvement in forecasting accuracy. The energy-domain variance shares are bounded to the evaluated design regime—decomposition with an auxiliary branch objective and adaptive gated fusion, at a 24-hour horizon and one model size. The OpenML-CC18 benchmark broadens the setting but does not establish a universal benefit of feature identity: its effects are heterogeneous and metric-dependent. We do not demonstrate the causal chain from the defect identified here to the figures reported in the earlier study, and we do not claim that the literature is generally in error. We show instead that a widely used evaluation procedure can support an architectural conclusion when its dominant uncertainty source has been omitted.</w:t>
      </w:r>
    </w:p>
    <w:p w14:paraId="3DB11F6F" w14:textId="77777777" w:rsidR="003A471E" w:rsidRPr="00F22774" w:rsidRDefault="003A471E" w:rsidP="003A471E">
      <w:pPr>
        <w:pStyle w:val="1"/>
        <w:numPr>
          <w:ilvl w:val="0"/>
          <w:numId w:val="1"/>
        </w:numPr>
        <w:spacing w:before="400" w:after="200"/>
        <w:jc w:val="both"/>
        <w:rPr>
          <w:lang w:val="en-US"/>
        </w:rPr>
      </w:pPr>
      <w:r>
        <w:rPr>
          <w:lang w:val="en-US"/>
        </w:rPr>
        <w:t>Related work</w:t>
      </w:r>
    </w:p>
    <w:p w14:paraId="4F0FBC04" w14:textId="77777777" w:rsidR="003A471E" w:rsidRPr="00F22774" w:rsidRDefault="00CD2C2E" w:rsidP="00E64F55">
      <w:pPr>
        <w:pStyle w:val="2"/>
        <w:numPr>
          <w:ilvl w:val="1"/>
          <w:numId w:val="1"/>
        </w:numPr>
        <w:rPr>
          <w:lang w:val="en-US"/>
        </w:rPr>
      </w:pPr>
      <w:r>
        <w:rPr>
          <w:lang w:val="en-US"/>
        </w:rPr>
        <w:t xml:space="preserve"> Decomposition-based hybrids for load forecasting</w:t>
      </w:r>
    </w:p>
    <w:p w14:paraId="29ACC55D" w14:textId="77777777" w:rsidR="003A471E" w:rsidRPr="00F22774" w:rsidRDefault="003A471E" w:rsidP="003A471E">
      <w:pPr>
        <w:jc w:val="both"/>
        <w:rPr>
          <w:lang w:val="en-US"/>
        </w:rPr>
      </w:pPr>
      <w:r>
        <w:rPr>
          <w:rFonts w:ascii="Times New Roman" w:hAnsi="Times New Roman"/>
          <w:lang w:val="en-US"/>
        </w:rPr>
        <w:t>Signal decomposition followed by a learned forecaster is among the most common architectural patterns in short-term load forecasting (</w:t>
      </w:r>
      <w:hyperlink w:anchor="ref_dong_2025">
        <w:r>
          <w:rPr>
            <w:rFonts w:ascii="Times New Roman" w:hAnsi="Times New Roman"/>
            <w:color w:val="0563C1"/>
            <w:lang w:val="en-US"/>
          </w:rPr>
          <w:t>Dong et al., 2025</w:t>
        </w:r>
      </w:hyperlink>
      <w:r>
        <w:rPr>
          <w:rFonts w:ascii="Times New Roman" w:hAnsi="Times New Roman"/>
          <w:lang w:val="en-US"/>
        </w:rPr>
        <w:t xml:space="preserve">; </w:t>
      </w:r>
      <w:hyperlink w:anchor="ref_zhou_2024">
        <w:r>
          <w:rPr>
            <w:rFonts w:ascii="Times New Roman" w:hAnsi="Times New Roman"/>
            <w:color w:val="0563C1"/>
            <w:lang w:val="en-US"/>
          </w:rPr>
          <w:t>Zhou et al., 2024)</w:t>
        </w:r>
      </w:hyperlink>
      <w:r>
        <w:rPr>
          <w:rFonts w:ascii="Times New Roman" w:hAnsi="Times New Roman"/>
          <w:lang w:val="en-US"/>
        </w:rPr>
        <w:t>. The rationale is that a household demand series superposes components of very different character, and that a model given the components separately need not learn to separate them. Variational mode decomposition is a frequent choice because it produces a fixed number of band-limited components with an explicit optimization objective (</w:t>
      </w:r>
      <w:proofErr w:type="spellStart"/>
      <w:r w:rsidR="00DD392A">
        <w:fldChar w:fldCharType="begin"/>
      </w:r>
      <w:r w:rsidR="00DD392A" w:rsidRPr="00DD392A">
        <w:rPr>
          <w:lang w:val="en-US"/>
        </w:rPr>
        <w:instrText xml:space="preserve"> HYPERLINK \l "ref_dragomiretskiy_2014" \h </w:instrText>
      </w:r>
      <w:r w:rsidR="00DD392A">
        <w:fldChar w:fldCharType="separate"/>
      </w:r>
      <w:r>
        <w:rPr>
          <w:rFonts w:ascii="Times New Roman" w:hAnsi="Times New Roman"/>
          <w:color w:val="0563C1"/>
          <w:lang w:val="en-US"/>
        </w:rPr>
        <w:t>Dragomiretskiy</w:t>
      </w:r>
      <w:proofErr w:type="spellEnd"/>
      <w:r>
        <w:rPr>
          <w:rFonts w:ascii="Times New Roman" w:hAnsi="Times New Roman"/>
          <w:color w:val="0563C1"/>
          <w:lang w:val="en-US"/>
        </w:rPr>
        <w:t xml:space="preserve"> &amp; </w:t>
      </w:r>
      <w:proofErr w:type="spellStart"/>
      <w:r>
        <w:rPr>
          <w:rFonts w:ascii="Times New Roman" w:hAnsi="Times New Roman"/>
          <w:color w:val="0563C1"/>
          <w:lang w:val="en-US"/>
        </w:rPr>
        <w:t>Zosso</w:t>
      </w:r>
      <w:proofErr w:type="spellEnd"/>
      <w:r>
        <w:rPr>
          <w:rFonts w:ascii="Times New Roman" w:hAnsi="Times New Roman"/>
          <w:color w:val="0563C1"/>
          <w:lang w:val="en-US"/>
        </w:rPr>
        <w:t>, 2014)</w:t>
      </w:r>
      <w:r w:rsidR="00DD392A">
        <w:rPr>
          <w:rFonts w:ascii="Times New Roman" w:hAnsi="Times New Roman"/>
          <w:color w:val="0563C1"/>
          <w:lang w:val="en-US"/>
        </w:rPr>
        <w:fldChar w:fldCharType="end"/>
      </w:r>
      <w:r>
        <w:rPr>
          <w:rFonts w:ascii="Times New Roman" w:hAnsi="Times New Roman"/>
          <w:lang w:val="en-US"/>
        </w:rPr>
        <w:t>, and has been combined with deep forecasters specifically for household-level load prediction (</w:t>
      </w:r>
      <w:proofErr w:type="spellStart"/>
      <w:r w:rsidR="00DD392A">
        <w:fldChar w:fldCharType="begin"/>
      </w:r>
      <w:r w:rsidR="00DD392A" w:rsidRPr="00DD392A">
        <w:rPr>
          <w:lang w:val="en-US"/>
        </w:rPr>
        <w:instrText xml:space="preserve"> HYPERLINK \l "ref_ahajjam_2022" \h </w:instrText>
      </w:r>
      <w:r w:rsidR="00DD392A">
        <w:fldChar w:fldCharType="separate"/>
      </w:r>
      <w:r>
        <w:rPr>
          <w:rFonts w:ascii="Times New Roman" w:hAnsi="Times New Roman"/>
          <w:color w:val="0563C1"/>
          <w:lang w:val="en-US"/>
        </w:rPr>
        <w:t>Ahajjam</w:t>
      </w:r>
      <w:proofErr w:type="spellEnd"/>
      <w:r>
        <w:rPr>
          <w:rFonts w:ascii="Times New Roman" w:hAnsi="Times New Roman"/>
          <w:color w:val="0563C1"/>
          <w:lang w:val="en-US"/>
        </w:rPr>
        <w:t xml:space="preserve"> et al., 2022)</w:t>
      </w:r>
      <w:r w:rsidR="00DD392A">
        <w:rPr>
          <w:rFonts w:ascii="Times New Roman" w:hAnsi="Times New Roman"/>
          <w:color w:val="0563C1"/>
          <w:lang w:val="en-US"/>
        </w:rPr>
        <w:fldChar w:fldCharType="end"/>
      </w:r>
      <w:r>
        <w:rPr>
          <w:rFonts w:ascii="Times New Roman" w:hAnsi="Times New Roman"/>
          <w:lang w:val="en-US"/>
        </w:rPr>
        <w:t>.</w:t>
      </w:r>
    </w:p>
    <w:p w14:paraId="641C4771" w14:textId="77777777" w:rsidR="003A471E" w:rsidRPr="00F22774" w:rsidRDefault="003A471E" w:rsidP="003A471E">
      <w:pPr>
        <w:jc w:val="both"/>
        <w:rPr>
          <w:lang w:val="en-US"/>
        </w:rPr>
      </w:pPr>
      <w:r>
        <w:rPr>
          <w:rFonts w:ascii="Times New Roman" w:hAnsi="Times New Roman"/>
          <w:lang w:val="en-US"/>
        </w:rPr>
        <w:t>Two properties of this literature bear on the present work. First, the decomposed components are usually processed by an encoder whose weights are shared across components, which makes the model compact but also makes it blind, by construction, to which component it is currently processing. Second, the benefit of decomposition is almost always established by an ablation on a single dataset and a small number of households, and typically by a single training run per configuration. We take both properties as given rather than as objects of criticism in themselves; what we examine is whether the conclusions such a design supports are as firm as they appear.</w:t>
      </w:r>
    </w:p>
    <w:p w14:paraId="2BED9EE8" w14:textId="77777777" w:rsidR="003A471E" w:rsidRPr="00F22774" w:rsidRDefault="00CD2C2E" w:rsidP="00E64F55">
      <w:pPr>
        <w:pStyle w:val="2"/>
        <w:numPr>
          <w:ilvl w:val="1"/>
          <w:numId w:val="1"/>
        </w:numPr>
        <w:rPr>
          <w:lang w:val="en-US"/>
        </w:rPr>
      </w:pPr>
      <w:r>
        <w:rPr>
          <w:lang w:val="en-US"/>
        </w:rPr>
        <w:t xml:space="preserve"> Identity mechanisms for weight-shared encoders</w:t>
      </w:r>
    </w:p>
    <w:p w14:paraId="55F5F07D" w14:textId="77777777" w:rsidR="003A471E" w:rsidRPr="00F22774" w:rsidRDefault="003A471E" w:rsidP="003A471E">
      <w:pPr>
        <w:jc w:val="both"/>
        <w:rPr>
          <w:lang w:val="en-US"/>
        </w:rPr>
      </w:pPr>
      <w:r>
        <w:rPr>
          <w:rFonts w:ascii="Times New Roman" w:hAnsi="Times New Roman"/>
          <w:lang w:val="en-US"/>
        </w:rPr>
        <w:t>The problem that a weight-shared encoder cannot distinguish its inputs has been addressed independently in several places. In multivariate forecasting, iTransformer treats each variate as a token and thereby gives the attention mechanism an explicit notion of which series it is attending to (</w:t>
      </w:r>
      <w:hyperlink w:anchor="ref_liu_2024">
        <w:r>
          <w:rPr>
            <w:rFonts w:ascii="Times New Roman" w:hAnsi="Times New Roman"/>
            <w:color w:val="0563C1"/>
            <w:lang w:val="en-US"/>
          </w:rPr>
          <w:t>Liu et al., 2024)</w:t>
        </w:r>
      </w:hyperlink>
      <w:r>
        <w:rPr>
          <w:rFonts w:ascii="Times New Roman" w:hAnsi="Times New Roman"/>
          <w:lang w:val="en-US"/>
        </w:rPr>
        <w:t>; other recent architectures supply a learned per-channel representation to a shared encoder for the same reason (</w:t>
      </w:r>
      <w:proofErr w:type="spellStart"/>
      <w:r w:rsidR="00DD392A">
        <w:fldChar w:fldCharType="begin"/>
      </w:r>
      <w:r w:rsidR="00DD392A" w:rsidRPr="00DD392A">
        <w:rPr>
          <w:lang w:val="en-US"/>
        </w:rPr>
        <w:instrText xml:space="preserve"> HYPERLINK \l "ref_xue_2024" \h </w:instrText>
      </w:r>
      <w:r w:rsidR="00DD392A">
        <w:fldChar w:fldCharType="separate"/>
      </w:r>
      <w:r>
        <w:rPr>
          <w:rFonts w:ascii="Times New Roman" w:hAnsi="Times New Roman"/>
          <w:color w:val="0563C1"/>
          <w:lang w:val="en-US"/>
        </w:rPr>
        <w:t>Xue</w:t>
      </w:r>
      <w:proofErr w:type="spellEnd"/>
      <w:r>
        <w:rPr>
          <w:rFonts w:ascii="Times New Roman" w:hAnsi="Times New Roman"/>
          <w:color w:val="0563C1"/>
          <w:lang w:val="en-US"/>
        </w:rPr>
        <w:t xml:space="preserve"> et al., 2024</w:t>
      </w:r>
      <w:r w:rsidR="00DD392A">
        <w:rPr>
          <w:rFonts w:ascii="Times New Roman" w:hAnsi="Times New Roman"/>
          <w:color w:val="0563C1"/>
          <w:lang w:val="en-US"/>
        </w:rPr>
        <w:fldChar w:fldCharType="end"/>
      </w:r>
      <w:r>
        <w:rPr>
          <w:rFonts w:ascii="Times New Roman" w:hAnsi="Times New Roman"/>
          <w:lang w:val="en-US"/>
        </w:rPr>
        <w:t xml:space="preserve">; </w:t>
      </w:r>
      <w:hyperlink w:anchor="ref_han_2024">
        <w:r>
          <w:rPr>
            <w:rFonts w:ascii="Times New Roman" w:hAnsi="Times New Roman"/>
            <w:color w:val="0563C1"/>
            <w:lang w:val="en-US"/>
          </w:rPr>
          <w:t>Han et al., 2024)</w:t>
        </w:r>
      </w:hyperlink>
      <w:r>
        <w:rPr>
          <w:rFonts w:ascii="Times New Roman" w:hAnsi="Times New Roman"/>
          <w:lang w:val="en-US"/>
        </w:rPr>
        <w:t>. The mechanism studied here belongs to this family: a learned vector is added to the representation of each decomposition mode so that the shared encoder can condition on the mode’s identity.</w:t>
      </w:r>
    </w:p>
    <w:p w14:paraId="5717CCD1" w14:textId="77777777" w:rsidR="003A471E" w:rsidRPr="00F22774" w:rsidRDefault="003A471E" w:rsidP="003A471E">
      <w:pPr>
        <w:jc w:val="both"/>
        <w:rPr>
          <w:lang w:val="en-US"/>
        </w:rPr>
      </w:pPr>
      <w:r>
        <w:rPr>
          <w:rFonts w:ascii="Times New Roman" w:hAnsi="Times New Roman"/>
          <w:lang w:val="en-US"/>
        </w:rPr>
        <w:t>The justification offered for these mechanisms is generally an ablation showing that the end-task metric degrades when the identity signal is removed. Of the mechanisms we examined, none pairs a direct test of what the mechanism represents with an estimate of how much of the reported degradation is attributable to training randomness rather than to the mechanism itself: iTransformer supports its claim with attention-map and CKA-similarity analysis (</w:t>
      </w:r>
      <w:hyperlink w:anchor="ref_liu_2024">
        <w:r>
          <w:rPr>
            <w:rFonts w:ascii="Times New Roman" w:hAnsi="Times New Roman"/>
            <w:color w:val="0563C1"/>
            <w:lang w:val="en-US"/>
          </w:rPr>
          <w:t>Liu et al., 2024)</w:t>
        </w:r>
      </w:hyperlink>
      <w:r>
        <w:rPr>
          <w:rFonts w:ascii="Times New Roman" w:hAnsi="Times New Roman"/>
          <w:lang w:val="en-US"/>
        </w:rPr>
        <w:t>, and SOFTS visualizes the learned channel embeddings via t-SNE (</w:t>
      </w:r>
      <w:hyperlink w:anchor="ref_han_2024">
        <w:r>
          <w:rPr>
            <w:rFonts w:ascii="Times New Roman" w:hAnsi="Times New Roman"/>
            <w:color w:val="0563C1"/>
            <w:lang w:val="en-US"/>
          </w:rPr>
          <w:t>Han et al., 2024)</w:t>
        </w:r>
      </w:hyperlink>
      <w:r>
        <w:rPr>
          <w:rFonts w:ascii="Times New Roman" w:hAnsi="Times New Roman"/>
          <w:lang w:val="en-US"/>
        </w:rPr>
        <w:t>, but neither reports seed variance for the ablation that isolates the mechanism, and CARD (</w:t>
      </w:r>
      <w:proofErr w:type="spellStart"/>
      <w:r w:rsidR="00DD392A">
        <w:fldChar w:fldCharType="begin"/>
      </w:r>
      <w:r w:rsidR="00DD392A" w:rsidRPr="00DD392A">
        <w:rPr>
          <w:lang w:val="en-US"/>
        </w:rPr>
        <w:instrText xml:space="preserve"> HYPERLINK \l "ref_xue_2024" \h </w:instrText>
      </w:r>
      <w:r w:rsidR="00DD392A">
        <w:fldChar w:fldCharType="separate"/>
      </w:r>
      <w:r>
        <w:rPr>
          <w:rFonts w:ascii="Times New Roman" w:hAnsi="Times New Roman"/>
          <w:color w:val="0563C1"/>
          <w:lang w:val="en-US"/>
        </w:rPr>
        <w:t>Xue</w:t>
      </w:r>
      <w:proofErr w:type="spellEnd"/>
      <w:r>
        <w:rPr>
          <w:rFonts w:ascii="Times New Roman" w:hAnsi="Times New Roman"/>
          <w:color w:val="0563C1"/>
          <w:lang w:val="en-US"/>
        </w:rPr>
        <w:t xml:space="preserve"> et al., 2024)</w:t>
      </w:r>
      <w:r w:rsidR="00DD392A">
        <w:rPr>
          <w:rFonts w:ascii="Times New Roman" w:hAnsi="Times New Roman"/>
          <w:color w:val="0563C1"/>
          <w:lang w:val="en-US"/>
        </w:rPr>
        <w:fldChar w:fldCharType="end"/>
      </w:r>
      <w:r>
        <w:rPr>
          <w:rFonts w:ascii="Times New Roman" w:hAnsi="Times New Roman"/>
          <w:lang w:val="en-US"/>
        </w:rPr>
        <w:t xml:space="preserve"> and Client (</w:t>
      </w:r>
      <w:hyperlink w:anchor="ref_gao_2023">
        <w:r>
          <w:rPr>
            <w:rFonts w:ascii="Times New Roman" w:hAnsi="Times New Roman"/>
            <w:color w:val="0563C1"/>
            <w:lang w:val="en-US"/>
          </w:rPr>
          <w:t>Gao et al., 2023)</w:t>
        </w:r>
      </w:hyperlink>
      <w:r>
        <w:rPr>
          <w:rFonts w:ascii="Times New Roman" w:hAnsi="Times New Roman"/>
          <w:lang w:val="en-US"/>
        </w:rPr>
        <w:t xml:space="preserve"> report neither a mechanistic test nor a variance estimate for their channel ablations. Our results do not licence a conclusion about those architectures, which we have not studied directly; they do indicate that, among the papers we examined, the evidence customarily offered for such mechanisms is weaker than it appears.</w:t>
      </w:r>
    </w:p>
    <w:p w14:paraId="47194CDC" w14:textId="77777777" w:rsidR="003A471E" w:rsidRPr="00F22774" w:rsidRDefault="00CD2C2E" w:rsidP="00E64F55">
      <w:pPr>
        <w:pStyle w:val="2"/>
        <w:numPr>
          <w:ilvl w:val="1"/>
          <w:numId w:val="1"/>
        </w:numPr>
        <w:rPr>
          <w:lang w:val="en-US"/>
        </w:rPr>
      </w:pPr>
      <w:r>
        <w:rPr>
          <w:lang w:val="en-US"/>
        </w:rPr>
        <w:t xml:space="preserve"> Disentanglement and the gap between representation and use</w:t>
      </w:r>
    </w:p>
    <w:p w14:paraId="30A67315" w14:textId="77777777" w:rsidR="003A471E" w:rsidRPr="00F22774" w:rsidRDefault="003A471E" w:rsidP="003A471E">
      <w:pPr>
        <w:jc w:val="both"/>
        <w:rPr>
          <w:lang w:val="en-US"/>
        </w:rPr>
      </w:pPr>
      <w:r>
        <w:rPr>
          <w:rFonts w:ascii="Times New Roman" w:hAnsi="Times New Roman"/>
          <w:lang w:val="en-US"/>
        </w:rPr>
        <w:t>A parallel line of work argues that forecasting benefits from representations in which distinct factors of the series are separated, and evaluates the claim partly through the separability of the learned representation (</w:t>
      </w:r>
      <w:hyperlink w:anchor="ref_woo_2022a">
        <w:r>
          <w:rPr>
            <w:rFonts w:ascii="Times New Roman" w:hAnsi="Times New Roman"/>
            <w:color w:val="0563C1"/>
            <w:lang w:val="en-US"/>
          </w:rPr>
          <w:t>Woo et al., 2022a</w:t>
        </w:r>
      </w:hyperlink>
      <w:r>
        <w:rPr>
          <w:rFonts w:ascii="Times New Roman" w:hAnsi="Times New Roman"/>
          <w:lang w:val="en-US"/>
        </w:rPr>
        <w:t xml:space="preserve">; </w:t>
      </w:r>
      <w:hyperlink w:anchor="ref_wang_2022">
        <w:r>
          <w:rPr>
            <w:rFonts w:ascii="Times New Roman" w:hAnsi="Times New Roman"/>
            <w:color w:val="0563C1"/>
            <w:lang w:val="en-US"/>
          </w:rPr>
          <w:t>Wang et al., 2022)</w:t>
        </w:r>
      </w:hyperlink>
      <w:r>
        <w:rPr>
          <w:rFonts w:ascii="Times New Roman" w:hAnsi="Times New Roman"/>
          <w:lang w:val="en-US"/>
        </w:rPr>
        <w:t>. The step from separability to usefulness is rarely tested directly.</w:t>
      </w:r>
    </w:p>
    <w:p w14:paraId="7C99BA54" w14:textId="77777777" w:rsidR="003A471E" w:rsidRPr="00F22774" w:rsidRDefault="003A471E" w:rsidP="003A471E">
      <w:pPr>
        <w:jc w:val="both"/>
        <w:rPr>
          <w:lang w:val="en-US"/>
        </w:rPr>
      </w:pPr>
      <w:r>
        <w:rPr>
          <w:rFonts w:ascii="Times New Roman" w:hAnsi="Times New Roman"/>
          <w:lang w:val="en-US"/>
        </w:rPr>
        <w:t>The probing literature has made the corresponding point for language models: a property being linearly decodable from a representation does not establish that the model uses it, and a probe must be accompanied by a control task before its accuracy can be interpreted at all (</w:t>
      </w:r>
      <w:hyperlink w:anchor="ref_hewitt_2019">
        <w:r>
          <w:rPr>
            <w:rFonts w:ascii="Times New Roman" w:hAnsi="Times New Roman"/>
            <w:color w:val="0563C1"/>
            <w:lang w:val="en-US"/>
          </w:rPr>
          <w:t>Hewitt &amp; Liang, 2019</w:t>
        </w:r>
      </w:hyperlink>
      <w:r>
        <w:rPr>
          <w:rFonts w:ascii="Times New Roman" w:hAnsi="Times New Roman"/>
          <w:lang w:val="en-US"/>
        </w:rPr>
        <w:t xml:space="preserve">; </w:t>
      </w:r>
      <w:hyperlink w:anchor="ref_belinkov_2022">
        <w:proofErr w:type="spellStart"/>
        <w:r>
          <w:rPr>
            <w:rFonts w:ascii="Times New Roman" w:hAnsi="Times New Roman"/>
            <w:color w:val="0563C1"/>
            <w:lang w:val="en-US"/>
          </w:rPr>
          <w:t>Belinkov</w:t>
        </w:r>
        <w:proofErr w:type="spellEnd"/>
        <w:r>
          <w:rPr>
            <w:rFonts w:ascii="Times New Roman" w:hAnsi="Times New Roman"/>
            <w:color w:val="0563C1"/>
            <w:lang w:val="en-US"/>
          </w:rPr>
          <w:t>, 2022)</w:t>
        </w:r>
      </w:hyperlink>
      <w:r>
        <w:rPr>
          <w:rFonts w:ascii="Times New Roman" w:hAnsi="Times New Roman"/>
          <w:lang w:val="en-US"/>
        </w:rPr>
        <w:t>. We adopt that discipline here, and report a case in which the two criteria come apart sharply and, in the configuration where the mechanism matters most, come apart in the direction opposite to the one usually assumed.</w:t>
      </w:r>
    </w:p>
    <w:p w14:paraId="308E1038" w14:textId="77777777" w:rsidR="003A471E" w:rsidRPr="00F22774" w:rsidRDefault="00CD2C2E" w:rsidP="00E64F55">
      <w:pPr>
        <w:pStyle w:val="2"/>
        <w:numPr>
          <w:ilvl w:val="1"/>
          <w:numId w:val="1"/>
        </w:numPr>
        <w:rPr>
          <w:lang w:val="en-US"/>
        </w:rPr>
      </w:pPr>
      <w:r>
        <w:rPr>
          <w:lang w:val="en-US"/>
        </w:rPr>
        <w:lastRenderedPageBreak/>
        <w:t xml:space="preserve"> Evaluation validity and the variance of deep-learning comparisons</w:t>
      </w:r>
    </w:p>
    <w:p w14:paraId="5510F6CE" w14:textId="77777777" w:rsidR="003A471E" w:rsidRPr="00F22774" w:rsidRDefault="003A471E" w:rsidP="003A471E">
      <w:pPr>
        <w:jc w:val="both"/>
        <w:rPr>
          <w:lang w:val="en-US"/>
        </w:rPr>
      </w:pPr>
      <w:r>
        <w:rPr>
          <w:rFonts w:ascii="Times New Roman" w:hAnsi="Times New Roman"/>
          <w:lang w:val="en-US"/>
        </w:rPr>
        <w:t>That the outcome of a deep-learning experiment varies substantially with the random seed is well documented (</w:t>
      </w:r>
      <w:hyperlink w:anchor="ref_henderson_2018">
        <w:r>
          <w:rPr>
            <w:rFonts w:ascii="Times New Roman" w:hAnsi="Times New Roman"/>
            <w:color w:val="0563C1"/>
            <w:lang w:val="en-US"/>
          </w:rPr>
          <w:t>Henderson et al., 2018</w:t>
        </w:r>
      </w:hyperlink>
      <w:r>
        <w:rPr>
          <w:rFonts w:ascii="Times New Roman" w:hAnsi="Times New Roman"/>
          <w:lang w:val="en-US"/>
        </w:rPr>
        <w:t xml:space="preserve">; </w:t>
      </w:r>
      <w:hyperlink w:anchor="ref_dodge_2020">
        <w:r>
          <w:rPr>
            <w:rFonts w:ascii="Times New Roman" w:hAnsi="Times New Roman"/>
            <w:color w:val="0563C1"/>
            <w:lang w:val="en-US"/>
          </w:rPr>
          <w:t>Dodge et al., 2020</w:t>
        </w:r>
      </w:hyperlink>
      <w:r>
        <w:rPr>
          <w:rFonts w:ascii="Times New Roman" w:hAnsi="Times New Roman"/>
          <w:lang w:val="en-US"/>
        </w:rPr>
        <w:t xml:space="preserve">; </w:t>
      </w:r>
      <w:hyperlink w:anchor="ref_picard_2021">
        <w:r>
          <w:rPr>
            <w:rFonts w:ascii="Times New Roman" w:hAnsi="Times New Roman"/>
            <w:color w:val="0563C1"/>
            <w:lang w:val="en-US"/>
          </w:rPr>
          <w:t>Picard, 2021</w:t>
        </w:r>
      </w:hyperlink>
      <w:r>
        <w:rPr>
          <w:rFonts w:ascii="Times New Roman" w:hAnsi="Times New Roman"/>
          <w:lang w:val="en-US"/>
        </w:rPr>
        <w:t xml:space="preserve">; </w:t>
      </w:r>
      <w:hyperlink w:anchor="ref_summers_2021">
        <w:r>
          <w:rPr>
            <w:rFonts w:ascii="Times New Roman" w:hAnsi="Times New Roman"/>
            <w:color w:val="0563C1"/>
            <w:lang w:val="en-US"/>
          </w:rPr>
          <w:t>Summers &amp; Dinneen, 2021)</w:t>
        </w:r>
      </w:hyperlink>
      <w:r>
        <w:rPr>
          <w:rFonts w:ascii="Times New Roman" w:hAnsi="Times New Roman"/>
          <w:lang w:val="en-US"/>
        </w:rPr>
        <w:t>, including within time-series forecasting specifically, where seed choice alone has been shown to alter which model appears best (</w:t>
      </w:r>
      <w:hyperlink w:anchor="ref_gundersen_2023">
        <w:r>
          <w:rPr>
            <w:rFonts w:ascii="Times New Roman" w:hAnsi="Times New Roman"/>
            <w:color w:val="0563C1"/>
            <w:lang w:val="en-US"/>
          </w:rPr>
          <w:t>Gundersen et al., 2023)</w:t>
        </w:r>
      </w:hyperlink>
      <w:r>
        <w:rPr>
          <w:rFonts w:ascii="Times New Roman" w:hAnsi="Times New Roman"/>
          <w:lang w:val="en-US"/>
        </w:rPr>
        <w:t>. It is also documented that reported improvements in several applied fields shrink or vanish under careful re-evaluation (</w:t>
      </w:r>
      <w:hyperlink w:anchor="ref_ferraridacrema_2019">
        <w:r>
          <w:rPr>
            <w:rFonts w:ascii="Times New Roman" w:hAnsi="Times New Roman"/>
            <w:color w:val="0563C1"/>
            <w:lang w:val="en-US"/>
          </w:rPr>
          <w:t xml:space="preserve">Ferrari </w:t>
        </w:r>
        <w:proofErr w:type="spellStart"/>
        <w:r>
          <w:rPr>
            <w:rFonts w:ascii="Times New Roman" w:hAnsi="Times New Roman"/>
            <w:color w:val="0563C1"/>
            <w:lang w:val="en-US"/>
          </w:rPr>
          <w:t>Dacrema</w:t>
        </w:r>
        <w:proofErr w:type="spellEnd"/>
        <w:r>
          <w:rPr>
            <w:rFonts w:ascii="Times New Roman" w:hAnsi="Times New Roman"/>
            <w:color w:val="0563C1"/>
            <w:lang w:val="en-US"/>
          </w:rPr>
          <w:t xml:space="preserve"> et al., 2019</w:t>
        </w:r>
      </w:hyperlink>
      <w:r>
        <w:rPr>
          <w:rFonts w:ascii="Times New Roman" w:hAnsi="Times New Roman"/>
          <w:lang w:val="en-US"/>
        </w:rPr>
        <w:t xml:space="preserve">; </w:t>
      </w:r>
      <w:hyperlink w:anchor="ref_musgrave_2020">
        <w:r>
          <w:rPr>
            <w:rFonts w:ascii="Times New Roman" w:hAnsi="Times New Roman"/>
            <w:color w:val="0563C1"/>
            <w:lang w:val="en-US"/>
          </w:rPr>
          <w:t>Musgrave et al., 2020</w:t>
        </w:r>
      </w:hyperlink>
      <w:r>
        <w:rPr>
          <w:rFonts w:ascii="Times New Roman" w:hAnsi="Times New Roman"/>
          <w:lang w:val="en-US"/>
        </w:rPr>
        <w:t xml:space="preserve">; </w:t>
      </w:r>
      <w:hyperlink w:anchor="ref_errica_2020">
        <w:proofErr w:type="spellStart"/>
        <w:r>
          <w:rPr>
            <w:rFonts w:ascii="Times New Roman" w:hAnsi="Times New Roman"/>
            <w:color w:val="0563C1"/>
            <w:lang w:val="en-US"/>
          </w:rPr>
          <w:t>Errica</w:t>
        </w:r>
        <w:proofErr w:type="spellEnd"/>
        <w:r>
          <w:rPr>
            <w:rFonts w:ascii="Times New Roman" w:hAnsi="Times New Roman"/>
            <w:color w:val="0563C1"/>
            <w:lang w:val="en-US"/>
          </w:rPr>
          <w:t xml:space="preserve"> et al., 2020)</w:t>
        </w:r>
      </w:hyperlink>
      <w:r>
        <w:rPr>
          <w:rFonts w:ascii="Times New Roman" w:hAnsi="Times New Roman"/>
          <w:lang w:val="en-US"/>
        </w:rPr>
        <w:t>. The recommended remedies are usually to train several times and report a distribution rather than a point.</w:t>
      </w:r>
    </w:p>
    <w:p w14:paraId="06D91B19" w14:textId="77777777" w:rsidR="003A471E" w:rsidRPr="00F22774" w:rsidRDefault="003A471E" w:rsidP="003A471E">
      <w:pPr>
        <w:jc w:val="both"/>
        <w:rPr>
          <w:lang w:val="en-US"/>
        </w:rPr>
      </w:pPr>
      <w:r>
        <w:rPr>
          <w:rFonts w:ascii="Times New Roman" w:hAnsi="Times New Roman"/>
          <w:lang w:val="en-US"/>
        </w:rPr>
        <w:t xml:space="preserve">Our contribution to this line is closest in spirit to </w:t>
      </w:r>
      <w:hyperlink w:anchor="ref_bouthillier_2021">
        <w:r>
          <w:rPr>
            <w:rFonts w:ascii="Times New Roman" w:hAnsi="Times New Roman"/>
            <w:color w:val="0563C1"/>
            <w:lang w:val="en-US"/>
          </w:rPr>
          <w:t>Bouthillier et al. (2021)</w:t>
        </w:r>
      </w:hyperlink>
      <w:r>
        <w:rPr>
          <w:rFonts w:ascii="Times New Roman" w:hAnsi="Times New Roman"/>
          <w:lang w:val="en-US"/>
        </w:rPr>
        <w:t>, who decompose machine-learning benchmark variance into components attributable to data sampling, weight initialization, hyperparameter selection, and related training-procedure sources, and show that these typically dominate the widely-reported weight-initialization-only variance. Our decomposition differs in two respects: we isolate training stochasticity as a single term set directly against evaluation-set variance, rather than folding it into a broader learning-procedure category, and we give an exact interval for their ratio rather than a bootstrap probability-of-outperformance statistic. To our knowledge, this is also the first time such a decomposition has been applied to time-series forecasting, a domain in which seed sensitivity has so far been documented only qualitatively, through non-parametric seed-count recommendations rather than a variance decomposition (</w:t>
      </w:r>
      <w:hyperlink w:anchor="ref_gundersen_2023">
        <w:r>
          <w:rPr>
            <w:rFonts w:ascii="Times New Roman" w:hAnsi="Times New Roman"/>
            <w:color w:val="0563C1"/>
            <w:lang w:val="en-US"/>
          </w:rPr>
          <w:t>Gundersen et al., 2023)</w:t>
        </w:r>
      </w:hyperlink>
      <w:r>
        <w:rPr>
          <w:rFonts w:ascii="Times New Roman" w:hAnsi="Times New Roman"/>
          <w:lang w:val="en-US"/>
        </w:rPr>
        <w:t xml:space="preserve">. </w:t>
      </w:r>
    </w:p>
    <w:p w14:paraId="51F154E3" w14:textId="77777777" w:rsidR="003A471E" w:rsidRPr="00F22774" w:rsidRDefault="003A471E" w:rsidP="003A471E">
      <w:pPr>
        <w:jc w:val="both"/>
        <w:rPr>
          <w:lang w:val="en-US"/>
        </w:rPr>
      </w:pPr>
      <w:r>
        <w:rPr>
          <w:rFonts w:ascii="Times New Roman" w:hAnsi="Times New Roman"/>
          <w:lang w:val="en-US"/>
        </w:rPr>
        <w:t>We estimate each component with an interval and show that, under the sample sizes customary in this field, the training component dominates the evaluation-set component by an order of magnitude. That reframes the usual advice: reporting a distribution over a handful of seeds is not merely good practice but the difference between a defensible conclusion and an artefact, and the number of seeds required to make the seed contribution negligible is far larger than the number typically used.</w:t>
      </w:r>
    </w:p>
    <w:p w14:paraId="32527B42" w14:textId="77777777" w:rsidR="003A471E" w:rsidRPr="00F22774" w:rsidRDefault="003A471E" w:rsidP="00B611D3">
      <w:pPr>
        <w:pStyle w:val="1"/>
        <w:numPr>
          <w:ilvl w:val="0"/>
          <w:numId w:val="1"/>
        </w:numPr>
        <w:spacing w:before="400" w:after="200"/>
        <w:jc w:val="both"/>
        <w:rPr>
          <w:lang w:val="en-US"/>
        </w:rPr>
      </w:pPr>
      <w:r>
        <w:rPr>
          <w:lang w:val="en-US"/>
        </w:rPr>
        <w:t>The architecture under study</w:t>
      </w:r>
    </w:p>
    <w:p w14:paraId="214F50F2" w14:textId="77777777" w:rsidR="003A471E" w:rsidRPr="00F22774" w:rsidRDefault="00EF5D14" w:rsidP="003A471E">
      <w:pPr>
        <w:jc w:val="both"/>
        <w:rPr>
          <w:rFonts w:ascii="Times New Roman" w:hAnsi="Times New Roman"/>
          <w:lang w:val="en-US"/>
        </w:rPr>
      </w:pPr>
      <w:r>
        <w:rPr>
          <w:rFonts w:ascii="Times New Roman" w:hAnsi="Times New Roman"/>
          <w:lang w:val="en-US"/>
        </w:rPr>
        <w:t>The architecture under study (Fig. 1) was developed in earlier work by two of the present authors and reported as an improvement over an undecomposed baseline. We describe it in the detail needed to follow the experiments, and we make no claim for it here; where the analysis identifies defects in it, those are findings about the architecture and about what an ablation can reveal, not proposals for a better forecaster.</w:t>
      </w:r>
    </w:p>
    <w:p w14:paraId="7AE10FB4" w14:textId="77777777" w:rsidR="00CA4BED" w:rsidRPr="00F22774" w:rsidRDefault="003A4620" w:rsidP="00CA4BED">
      <w:pPr>
        <w:jc w:val="both"/>
        <w:rPr>
          <w:rFonts w:ascii="Times New Roman" w:hAnsi="Times New Roman"/>
          <w:lang w:val="en-US"/>
        </w:rPr>
      </w:pPr>
      <w:r>
        <w:rPr>
          <w:rFonts w:ascii="Times New Roman" w:hAnsi="Times New Roman"/>
          <w:noProof/>
          <w:lang w:val="en-US"/>
        </w:rPr>
        <w:drawing>
          <wp:inline distT="0" distB="0" distL="0" distR="0" wp14:anchorId="3951615B" wp14:editId="0210B661">
            <wp:extent cx="5940425" cy="2940050"/>
            <wp:effectExtent l="0" t="0" r="3175" b="0"/>
            <wp:docPr id="12" name="Рисунок 12" descr="Architecture under study with decomposition and direct forecasting paths, gated fusion, and three experimental toggles." title="Architecture under study with decomposition and direct forecasting paths, gated fusion, and three experimental tog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2940050"/>
                    </a:xfrm>
                    <a:prstGeom prst="rect">
                      <a:avLst/>
                    </a:prstGeom>
                  </pic:spPr>
                </pic:pic>
              </a:graphicData>
            </a:graphic>
          </wp:inline>
        </w:drawing>
      </w:r>
    </w:p>
    <w:p w14:paraId="27246AA6" w14:textId="77777777" w:rsidR="00CA4BED" w:rsidRPr="00F22774" w:rsidRDefault="00CA4BED" w:rsidP="00CA4BED">
      <w:pPr>
        <w:jc w:val="both"/>
        <w:rPr>
          <w:rFonts w:ascii="Times New Roman" w:hAnsi="Times New Roman"/>
          <w:lang w:val="en-US"/>
        </w:rPr>
      </w:pPr>
      <w:r>
        <w:rPr>
          <w:rFonts w:ascii="Times New Roman" w:hAnsi="Times New Roman"/>
          <w:lang w:val="en-US"/>
        </w:rPr>
        <w:t xml:space="preserve">Fig. 1. Architecture under study. An input window is decomposed into six modes, each passed through a weight‑tied patch Transformer; per‑mode forecasts are aggregated and combined with a direct‑path forecast by a learned gate. Toggles A–C are the binary design factors (§4.3.1): auxiliary objective, aggregation rule, </w:t>
      </w:r>
      <w:r>
        <w:rPr>
          <w:rFonts w:ascii="Times New Roman" w:hAnsi="Times New Roman"/>
          <w:lang w:val="en-US"/>
        </w:rPr>
        <w:lastRenderedPageBreak/>
        <w:t>and identity embeddings. A and B align when both are sum or when per‑mode meets convex; the other pairings are misaligned cells (§5.1.2). Circled numbers mark inference‑time interventions (§5.3).</w:t>
      </w:r>
    </w:p>
    <w:p w14:paraId="3B1C1854" w14:textId="77777777" w:rsidR="003A471E" w:rsidRPr="00F22774" w:rsidRDefault="00CD2C2E" w:rsidP="00E64F55">
      <w:pPr>
        <w:pStyle w:val="2"/>
        <w:numPr>
          <w:ilvl w:val="1"/>
          <w:numId w:val="1"/>
        </w:numPr>
        <w:rPr>
          <w:lang w:val="en-US"/>
        </w:rPr>
      </w:pPr>
      <w:r>
        <w:rPr>
          <w:lang w:val="en-US"/>
        </w:rPr>
        <w:t xml:space="preserve"> Decomposition and the shared encoder</w:t>
      </w:r>
    </w:p>
    <w:p w14:paraId="3FDE26EE" w14:textId="77777777" w:rsidR="003A471E" w:rsidRPr="00F22774" w:rsidRDefault="003A471E" w:rsidP="003A471E">
      <w:pPr>
        <w:jc w:val="both"/>
        <w:rPr>
          <w:lang w:val="en-US"/>
        </w:rPr>
      </w:pPr>
      <w:r>
        <w:rPr>
          <w:rFonts w:ascii="Times New Roman" w:hAnsi="Times New Roman"/>
          <w:lang w:val="en-US"/>
        </w:rPr>
        <w:t>An input window of L = 168 hourly observations is decomposed into K = 6 modes by variational mode decomposition applied within the window, so that no information beyond the window enters the decomposition. Each mode is passed through a patch-based Transformer encoder whose weights are shared across modes, producing a per-mode forecast of the following T = 24 hours. The direct path applies a structurally similar encoder to the undecomposed window.</w:t>
      </w:r>
    </w:p>
    <w:p w14:paraId="48885F30" w14:textId="77777777" w:rsidR="003A471E" w:rsidRPr="00F22774" w:rsidRDefault="003A471E" w:rsidP="00E64F55">
      <w:pPr>
        <w:pStyle w:val="2"/>
        <w:numPr>
          <w:ilvl w:val="1"/>
          <w:numId w:val="1"/>
        </w:numPr>
        <w:rPr>
          <w:lang w:val="en-US"/>
        </w:rPr>
      </w:pPr>
      <w:r>
        <w:rPr>
          <w:lang w:val="en-US"/>
        </w:rPr>
        <w:t xml:space="preserve"> The identity mechanism and the hypothesis it embodies</w:t>
      </w:r>
    </w:p>
    <w:p w14:paraId="32B88F67" w14:textId="77777777" w:rsidR="003A471E" w:rsidRPr="00F22774" w:rsidRDefault="003A471E" w:rsidP="003A471E">
      <w:pPr>
        <w:jc w:val="both"/>
        <w:rPr>
          <w:lang w:val="en-US"/>
        </w:rPr>
      </w:pPr>
      <w:r>
        <w:rPr>
          <w:rFonts w:ascii="Times New Roman" w:hAnsi="Times New Roman"/>
          <w:lang w:val="en-US"/>
        </w:rPr>
        <w:t xml:space="preserve">Because the encoder is weight-shared, it receives six inputs that differ in spectral content but carries no information about which is which. The identity mechanism adds a learned vector e(k) to the patch representations of mode k, giving the encoder </w:t>
      </w:r>
      <w:proofErr w:type="gramStart"/>
      <w:r>
        <w:rPr>
          <w:rFonts w:ascii="Times New Roman" w:hAnsi="Times New Roman"/>
          <w:lang w:val="en-US"/>
        </w:rPr>
        <w:t>an explicit signal of the mode</w:t>
      </w:r>
      <w:proofErr w:type="gramEnd"/>
      <w:r>
        <w:rPr>
          <w:rFonts w:ascii="Times New Roman" w:hAnsi="Times New Roman"/>
          <w:lang w:val="en-US"/>
        </w:rPr>
        <w:t xml:space="preserve"> it is processing.</w:t>
      </w:r>
    </w:p>
    <w:p w14:paraId="6D622986" w14:textId="77777777" w:rsidR="003A471E" w:rsidRPr="00F22774" w:rsidRDefault="003A471E" w:rsidP="003A471E">
      <w:pPr>
        <w:jc w:val="both"/>
        <w:rPr>
          <w:lang w:val="en-US"/>
        </w:rPr>
      </w:pPr>
      <w:r>
        <w:rPr>
          <w:rFonts w:ascii="Times New Roman" w:hAnsi="Times New Roman"/>
          <w:lang w:val="en-US"/>
        </w:rPr>
        <w:t>The earlier work formulated this as a hypothesis rather than an implementation detail: that a weight-shared, channel-independent encoder cannot benefit from decomposition unless each component carries an explicit identity signal, and that the mechanism is therefore not an optional refinement but the condition under which decomposition helps at all. The evidence was a component-wise ablation on one dataset, in which the identity embedding was the dominant term and reversed the sign of the effect of decomposition. That hypothesis, and that form of evidence, are what the present study examines.</w:t>
      </w:r>
    </w:p>
    <w:p w14:paraId="69DFE1FA" w14:textId="77777777" w:rsidR="003A471E" w:rsidRPr="00F22774" w:rsidRDefault="0011569C" w:rsidP="0011569C">
      <w:pPr>
        <w:pStyle w:val="2"/>
        <w:numPr>
          <w:ilvl w:val="1"/>
          <w:numId w:val="1"/>
        </w:numPr>
        <w:rPr>
          <w:lang w:val="en-US"/>
        </w:rPr>
      </w:pPr>
      <w:r>
        <w:rPr>
          <w:lang w:val="en-US"/>
        </w:rPr>
        <w:t xml:space="preserve"> Aggregation and gated fusion</w:t>
      </w:r>
    </w:p>
    <w:p w14:paraId="4CED2E07" w14:textId="77777777" w:rsidR="003A471E" w:rsidRPr="00F22774" w:rsidRDefault="003A471E" w:rsidP="003A471E">
      <w:pPr>
        <w:jc w:val="both"/>
        <w:rPr>
          <w:lang w:val="en-US"/>
        </w:rPr>
      </w:pPr>
      <w:r>
        <w:rPr>
          <w:rFonts w:ascii="Times New Roman" w:hAnsi="Times New Roman"/>
          <w:lang w:val="en-US"/>
        </w:rPr>
        <w:t>The per-mode forecasts are combined by an aggregation module that learns a weight for each mode at each forecast horizon, normalised across modes by a SoftMax. The result and the direct-path forecast are then combined by a gate computed from the two outputs themselves,</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1"/>
      </w:tblGrid>
      <w:tr w:rsidR="008A2606" w14:paraId="488CDF7F" w14:textId="77777777" w:rsidTr="00220724">
        <w:tc>
          <w:tcPr>
            <w:tcW w:w="8784" w:type="dxa"/>
          </w:tcPr>
          <w:p w14:paraId="420BA633" w14:textId="77777777" w:rsidR="008A2606" w:rsidRPr="00490BC6" w:rsidRDefault="008A2606" w:rsidP="00F47CC9">
            <w:pPr>
              <w:jc w:val="both"/>
              <w:rPr>
                <w:lang w:val="en-US"/>
              </w:rPr>
            </w:pPr>
            <m:oMathPara>
              <m:oMathParaPr>
                <m:jc m:val="center"/>
              </m:oMathParaPr>
              <m:oMath>
                <m:r>
                  <m:rPr>
                    <m:sty m:val="p"/>
                  </m:rPr>
                  <w:rPr>
                    <w:rFonts w:ascii="Cambria Math" w:hAnsi="Cambria Math"/>
                    <w:lang w:val="en-US"/>
                  </w:rPr>
                  <m:t>y=g∙</m:t>
                </m:r>
                <m:sSub>
                  <m:sSubPr>
                    <m:ctrlPr>
                      <w:rPr>
                        <w:rFonts w:ascii="Cambria Math" w:hAnsi="Cambria Math"/>
                        <w:i/>
                        <w:lang w:val="en-US"/>
                      </w:rPr>
                    </m:ctrlPr>
                  </m:sSubPr>
                  <m:e>
                    <m:r>
                      <m:rPr>
                        <m:sty m:val="p"/>
                      </m:rPr>
                      <w:rPr>
                        <w:rFonts w:ascii="Cambria Math" w:hAnsi="Cambria Math"/>
                        <w:lang w:val="en-US"/>
                      </w:rPr>
                      <m:t>y</m:t>
                    </m:r>
                  </m:e>
                  <m:sub>
                    <m:r>
                      <m:rPr>
                        <m:sty m:val="p"/>
                      </m:rPr>
                      <w:rPr>
                        <w:rFonts w:ascii="Cambria Math" w:hAnsi="Cambria Math"/>
                        <w:lang w:val="en-US"/>
                      </w:rPr>
                      <m:t>vmd</m:t>
                    </m:r>
                  </m:sub>
                </m:sSub>
                <m:r>
                  <m:rPr>
                    <m:sty m:val="p"/>
                  </m:rPr>
                  <w:rPr>
                    <w:rFonts w:ascii="Cambria Math" w:hAnsi="Cambria Math"/>
                    <w:lang w:val="en-US"/>
                  </w:rPr>
                  <m:t>+(1-g)∙</m:t>
                </m:r>
                <m:sSub>
                  <m:sSubPr>
                    <m:ctrlPr>
                      <w:rPr>
                        <w:rFonts w:ascii="Cambria Math" w:hAnsi="Cambria Math"/>
                        <w:i/>
                        <w:lang w:val="en-US"/>
                      </w:rPr>
                    </m:ctrlPr>
                  </m:sSubPr>
                  <m:e>
                    <m:r>
                      <m:rPr>
                        <m:sty m:val="p"/>
                      </m:rPr>
                      <w:rPr>
                        <w:rFonts w:ascii="Cambria Math" w:hAnsi="Cambria Math"/>
                        <w:lang w:val="en-US"/>
                      </w:rPr>
                      <m:t>y</m:t>
                    </m:r>
                  </m:e>
                  <m:sub>
                    <m:r>
                      <m:rPr>
                        <m:sty m:val="p"/>
                      </m:rPr>
                      <w:rPr>
                        <w:rFonts w:ascii="Cambria Math" w:hAnsi="Cambria Math"/>
                        <w:lang w:val="en-US"/>
                      </w:rPr>
                      <m:t>skip</m:t>
                    </m:r>
                  </m:sub>
                </m:sSub>
              </m:oMath>
            </m:oMathPara>
          </w:p>
        </w:tc>
        <w:tc>
          <w:tcPr>
            <w:tcW w:w="561" w:type="dxa"/>
          </w:tcPr>
          <w:p w14:paraId="53F3BC55" w14:textId="77777777" w:rsidR="008A2606" w:rsidRPr="00490BC6" w:rsidRDefault="008A2606" w:rsidP="00F47CC9">
            <w:pPr>
              <w:jc w:val="right"/>
              <w:rPr>
                <w:rFonts w:ascii="Times New Roman" w:hAnsi="Times New Roman"/>
                <w:lang w:val="en-US"/>
              </w:rPr>
            </w:pPr>
            <w:r>
              <w:rPr>
                <w:rFonts w:ascii="Times New Roman" w:hAnsi="Times New Roman"/>
                <w:lang w:val="en-US"/>
              </w:rPr>
              <w:t>(1)</w:t>
            </w:r>
          </w:p>
        </w:tc>
      </w:tr>
    </w:tbl>
    <w:p w14:paraId="5F66E413" w14:textId="77777777" w:rsidR="003A471E" w:rsidRPr="00F22774" w:rsidRDefault="003A471E" w:rsidP="008A2606">
      <w:pPr>
        <w:spacing w:before="160"/>
        <w:jc w:val="both"/>
        <w:rPr>
          <w:lang w:val="en-US"/>
        </w:rPr>
      </w:pPr>
      <w:r>
        <w:rPr>
          <w:rFonts w:ascii="Times New Roman" w:hAnsi="Times New Roman"/>
          <w:lang w:val="en-US"/>
        </w:rPr>
        <w:t xml:space="preserve">where </w:t>
      </w:r>
      <w:r>
        <w:rPr>
          <w:rFonts w:ascii="Times New Roman" w:eastAsia="Times New Roman" w:hAnsi="Times New Roman" w:cs="Times New Roman"/>
          <w:lang w:val="en-US"/>
        </w:rPr>
        <w:t xml:space="preserve"> </w:t>
      </w:r>
      <m:oMath>
        <m:sSub>
          <m:sSubPr>
            <m:ctrlPr>
              <w:rPr>
                <w:rFonts w:ascii="Cambria Math" w:hAnsi="Cambria Math"/>
                <w:i/>
                <w:lang w:val="en-US"/>
              </w:rPr>
            </m:ctrlPr>
          </m:sSubPr>
          <m:e>
            <m:r>
              <m:rPr>
                <m:sty m:val="p"/>
              </m:rPr>
              <w:rPr>
                <w:rFonts w:ascii="Cambria Math" w:hAnsi="Cambria Math"/>
                <w:lang w:val="en-US"/>
              </w:rPr>
              <m:t>y</m:t>
            </m:r>
          </m:e>
          <m:sub>
            <m:r>
              <m:rPr>
                <m:sty m:val="p"/>
              </m:rPr>
              <w:rPr>
                <w:rFonts w:ascii="Cambria Math" w:hAnsi="Cambria Math"/>
                <w:lang w:val="en-US"/>
              </w:rPr>
              <m:t>vmd</m:t>
            </m:r>
          </m:sub>
        </m:sSub>
      </m:oMath>
      <w:r>
        <w:rPr>
          <w:rFonts w:ascii="Times New Roman" w:hAnsi="Times New Roman"/>
          <w:lang w:val="en-US"/>
        </w:rPr>
        <w:t xml:space="preserve"> aggregates the per-mode forecasts produced from the decomposition, </w:t>
      </w:r>
      <m:oMath>
        <m:sSub>
          <m:sSubPr>
            <m:ctrlPr>
              <w:rPr>
                <w:rFonts w:ascii="Cambria Math" w:hAnsi="Cambria Math"/>
                <w:i/>
                <w:lang w:val="en-US"/>
              </w:rPr>
            </m:ctrlPr>
          </m:sSubPr>
          <m:e>
            <m:r>
              <m:rPr>
                <m:sty m:val="p"/>
              </m:rPr>
              <w:rPr>
                <w:rFonts w:ascii="Cambria Math" w:hAnsi="Cambria Math"/>
                <w:lang w:val="en-US"/>
              </w:rPr>
              <m:t>y</m:t>
            </m:r>
          </m:e>
          <m:sub>
            <m:r>
              <m:rPr>
                <m:sty m:val="p"/>
              </m:rPr>
              <w:rPr>
                <w:rFonts w:ascii="Cambria Math" w:hAnsi="Cambria Math"/>
                <w:lang w:val="en-US"/>
              </w:rPr>
              <m:t>skip</m:t>
            </m:r>
          </m:sub>
        </m:sSub>
      </m:oMath>
      <w:r>
        <w:rPr>
          <w:rFonts w:ascii="Times New Roman" w:hAnsi="Times New Roman"/>
          <w:lang w:val="en-US"/>
        </w:rPr>
        <w:t xml:space="preserve"> is the direct-path forecast from the undecomposed window, and the gate g is computed from the two path outputs themselves. Training minimizes a Huber loss on y together with an auxiliary reconstruction term on the per-mode forecasts, weighted at 0.2. The exact form of that auxiliary term turns out to matter considerably and is treated as an experimental factor in Section 5 rather than as a fixed property of the architecture.</w:t>
      </w:r>
    </w:p>
    <w:p w14:paraId="09489E0C" w14:textId="77777777" w:rsidR="003A471E" w:rsidRPr="00F22774" w:rsidRDefault="0011569C" w:rsidP="0011569C">
      <w:pPr>
        <w:pStyle w:val="2"/>
        <w:numPr>
          <w:ilvl w:val="1"/>
          <w:numId w:val="1"/>
        </w:numPr>
        <w:rPr>
          <w:lang w:val="en-US"/>
        </w:rPr>
      </w:pPr>
      <w:r>
        <w:rPr>
          <w:lang w:val="en-US"/>
        </w:rPr>
        <w:t xml:space="preserve"> Why this architecture is a useful test case</w:t>
      </w:r>
    </w:p>
    <w:p w14:paraId="41E3F07A" w14:textId="77777777" w:rsidR="00300032" w:rsidRPr="00F22774" w:rsidRDefault="003A471E" w:rsidP="003A471E">
      <w:pPr>
        <w:jc w:val="both"/>
        <w:rPr>
          <w:rFonts w:ascii="Times New Roman" w:hAnsi="Times New Roman"/>
          <w:lang w:val="en-US"/>
        </w:rPr>
      </w:pPr>
      <w:r>
        <w:rPr>
          <w:rFonts w:ascii="Times New Roman" w:hAnsi="Times New Roman"/>
          <w:lang w:val="en-US"/>
        </w:rPr>
        <w:t xml:space="preserve">Three features make it well suited to the questions of this paper, and none of them is unusual. The component under study sits inside one branch of a two-branch model, so its effect on the reported metric is mediated by a learned combination rather than observed directly. </w:t>
      </w:r>
    </w:p>
    <w:p w14:paraId="608D420C" w14:textId="77777777" w:rsidR="003A471E" w:rsidRPr="00F22774" w:rsidRDefault="003A471E" w:rsidP="003A471E">
      <w:pPr>
        <w:jc w:val="both"/>
        <w:rPr>
          <w:lang w:val="en-US"/>
        </w:rPr>
      </w:pPr>
      <w:r>
        <w:rPr>
          <w:rFonts w:ascii="Times New Roman" w:hAnsi="Times New Roman"/>
          <w:lang w:val="en-US"/>
        </w:rPr>
        <w:t>Gated or attention-weighted fusion of decomposition branches is an established, if still minority, pattern in the literature: of thirteen decomposition-based forecasting architectures we surveyed, three (23 per cent) combine branches through an instance-dependent gate or attention weighting analogous to the one studied here — TimesNet’s softmax-weighted period fusion (</w:t>
      </w:r>
      <w:hyperlink w:anchor="ref_wu_2023">
        <w:r>
          <w:rPr>
            <w:rFonts w:ascii="Times New Roman" w:hAnsi="Times New Roman"/>
            <w:color w:val="0563C1"/>
            <w:lang w:val="en-US"/>
          </w:rPr>
          <w:t>Wu et al., 2023)</w:t>
        </w:r>
      </w:hyperlink>
      <w:r>
        <w:rPr>
          <w:rFonts w:ascii="Times New Roman" w:hAnsi="Times New Roman"/>
          <w:lang w:val="en-US"/>
        </w:rPr>
        <w:t>, MDMixer’s learned multi-granularity gate (</w:t>
      </w:r>
      <w:hyperlink w:anchor="ref_gao_2025">
        <w:r>
          <w:rPr>
            <w:rFonts w:ascii="Times New Roman" w:hAnsi="Times New Roman"/>
            <w:color w:val="0563C1"/>
            <w:lang w:val="en-US"/>
          </w:rPr>
          <w:t>Gao et al., 2025)</w:t>
        </w:r>
      </w:hyperlink>
      <w:r>
        <w:rPr>
          <w:rFonts w:ascii="Times New Roman" w:hAnsi="Times New Roman"/>
          <w:lang w:val="en-US"/>
        </w:rPr>
        <w:t>, and FEDformer’s internal mixture-of-experts trend block (</w:t>
      </w:r>
      <w:hyperlink w:anchor="ref_zhou_2022a">
        <w:r>
          <w:rPr>
            <w:rFonts w:ascii="Times New Roman" w:hAnsi="Times New Roman"/>
            <w:color w:val="0563C1"/>
            <w:lang w:val="en-US"/>
          </w:rPr>
          <w:t>Zhou et al., 2022a)</w:t>
        </w:r>
      </w:hyperlink>
      <w:r>
        <w:rPr>
          <w:rFonts w:ascii="Times New Roman" w:hAnsi="Times New Roman"/>
          <w:lang w:val="en-US"/>
        </w:rPr>
        <w:t xml:space="preserve"> — while the remaining ten rely on fixed summation or a statically learned weighting (</w:t>
      </w:r>
      <w:hyperlink w:anchor="ref_wu_2021">
        <w:r>
          <w:rPr>
            <w:rFonts w:ascii="Times New Roman" w:hAnsi="Times New Roman"/>
            <w:color w:val="0563C1"/>
            <w:lang w:val="en-US"/>
          </w:rPr>
          <w:t>Wu et al., 2021</w:t>
        </w:r>
      </w:hyperlink>
      <w:r>
        <w:rPr>
          <w:rFonts w:ascii="Times New Roman" w:hAnsi="Times New Roman"/>
          <w:lang w:val="en-US"/>
        </w:rPr>
        <w:t xml:space="preserve">; </w:t>
      </w:r>
      <w:hyperlink w:anchor="ref_zeng_2023">
        <w:r>
          <w:rPr>
            <w:rFonts w:ascii="Times New Roman" w:hAnsi="Times New Roman"/>
            <w:color w:val="0563C1"/>
            <w:lang w:val="en-US"/>
          </w:rPr>
          <w:t>Zeng et al., 2023</w:t>
        </w:r>
      </w:hyperlink>
      <w:r>
        <w:rPr>
          <w:rFonts w:ascii="Times New Roman" w:hAnsi="Times New Roman"/>
          <w:lang w:val="en-US"/>
        </w:rPr>
        <w:t xml:space="preserve">; </w:t>
      </w:r>
      <w:hyperlink w:anchor="ref_oreshkin_2020">
        <w:proofErr w:type="spellStart"/>
        <w:r>
          <w:rPr>
            <w:rFonts w:ascii="Times New Roman" w:hAnsi="Times New Roman"/>
            <w:color w:val="0563C1"/>
            <w:lang w:val="en-US"/>
          </w:rPr>
          <w:t>Oreshkin</w:t>
        </w:r>
        <w:proofErr w:type="spellEnd"/>
        <w:r>
          <w:rPr>
            <w:rFonts w:ascii="Times New Roman" w:hAnsi="Times New Roman"/>
            <w:color w:val="0563C1"/>
            <w:lang w:val="en-US"/>
          </w:rPr>
          <w:t xml:space="preserve"> et al., 2020</w:t>
        </w:r>
      </w:hyperlink>
      <w:r>
        <w:rPr>
          <w:rFonts w:ascii="Times New Roman" w:hAnsi="Times New Roman"/>
          <w:lang w:val="en-US"/>
        </w:rPr>
        <w:t xml:space="preserve">; </w:t>
      </w:r>
      <w:hyperlink w:anchor="ref_challu_2023">
        <w:proofErr w:type="spellStart"/>
        <w:r>
          <w:rPr>
            <w:rFonts w:ascii="Times New Roman" w:hAnsi="Times New Roman"/>
            <w:color w:val="0563C1"/>
            <w:lang w:val="en-US"/>
          </w:rPr>
          <w:t>Challu</w:t>
        </w:r>
        <w:proofErr w:type="spellEnd"/>
        <w:r>
          <w:rPr>
            <w:rFonts w:ascii="Times New Roman" w:hAnsi="Times New Roman"/>
            <w:color w:val="0563C1"/>
            <w:lang w:val="en-US"/>
          </w:rPr>
          <w:t xml:space="preserve"> et al., 2023</w:t>
        </w:r>
      </w:hyperlink>
      <w:r>
        <w:rPr>
          <w:rFonts w:ascii="Times New Roman" w:hAnsi="Times New Roman"/>
          <w:lang w:val="en-US"/>
        </w:rPr>
        <w:t xml:space="preserve">; </w:t>
      </w:r>
      <w:hyperlink w:anchor="ref_woo_2022b">
        <w:r>
          <w:rPr>
            <w:rFonts w:ascii="Times New Roman" w:hAnsi="Times New Roman"/>
            <w:color w:val="0563C1"/>
            <w:lang w:val="en-US"/>
          </w:rPr>
          <w:t>Woo et al., 2022b</w:t>
        </w:r>
      </w:hyperlink>
      <w:r>
        <w:rPr>
          <w:rFonts w:ascii="Times New Roman" w:hAnsi="Times New Roman"/>
          <w:lang w:val="en-US"/>
        </w:rPr>
        <w:t xml:space="preserve">; </w:t>
      </w:r>
      <w:hyperlink w:anchor="ref_wang_2023">
        <w:r>
          <w:rPr>
            <w:rFonts w:ascii="Times New Roman" w:hAnsi="Times New Roman"/>
            <w:color w:val="0563C1"/>
            <w:lang w:val="en-US"/>
          </w:rPr>
          <w:t>Wang et al., 2023</w:t>
        </w:r>
      </w:hyperlink>
      <w:r>
        <w:rPr>
          <w:rFonts w:ascii="Times New Roman" w:hAnsi="Times New Roman"/>
          <w:lang w:val="en-US"/>
        </w:rPr>
        <w:t xml:space="preserve">; </w:t>
      </w:r>
      <w:hyperlink w:anchor="ref_wang_2024">
        <w:r>
          <w:rPr>
            <w:rFonts w:ascii="Times New Roman" w:hAnsi="Times New Roman"/>
            <w:color w:val="0563C1"/>
            <w:lang w:val="en-US"/>
          </w:rPr>
          <w:t>Wang et al., 2024</w:t>
        </w:r>
      </w:hyperlink>
      <w:r>
        <w:rPr>
          <w:rFonts w:ascii="Times New Roman" w:hAnsi="Times New Roman"/>
          <w:lang w:val="en-US"/>
        </w:rPr>
        <w:t xml:space="preserve">; </w:t>
      </w:r>
      <w:hyperlink w:anchor="ref_zhou_2022b">
        <w:r>
          <w:rPr>
            <w:rFonts w:ascii="Times New Roman" w:hAnsi="Times New Roman"/>
            <w:color w:val="0563C1"/>
            <w:lang w:val="en-US"/>
          </w:rPr>
          <w:t>Zhou et al., 2022b</w:t>
        </w:r>
      </w:hyperlink>
      <w:r>
        <w:rPr>
          <w:rFonts w:ascii="Times New Roman" w:hAnsi="Times New Roman"/>
          <w:lang w:val="en-US"/>
        </w:rPr>
        <w:t xml:space="preserve">; </w:t>
      </w:r>
      <w:hyperlink w:anchor="ref_zhang_2023">
        <w:r>
          <w:rPr>
            <w:rFonts w:ascii="Times New Roman" w:hAnsi="Times New Roman"/>
            <w:color w:val="0563C1"/>
            <w:lang w:val="en-US"/>
          </w:rPr>
          <w:t>Zhang &amp; Yan, 2023</w:t>
        </w:r>
      </w:hyperlink>
      <w:r>
        <w:rPr>
          <w:rFonts w:ascii="Times New Roman" w:hAnsi="Times New Roman"/>
          <w:lang w:val="en-US"/>
        </w:rPr>
        <w:t xml:space="preserve">; </w:t>
      </w:r>
      <w:hyperlink w:anchor="ref_murad_2025">
        <w:r>
          <w:rPr>
            <w:rFonts w:ascii="Times New Roman" w:hAnsi="Times New Roman"/>
            <w:color w:val="0563C1"/>
            <w:lang w:val="en-US"/>
          </w:rPr>
          <w:t>Murad et al., 2025)</w:t>
        </w:r>
      </w:hyperlink>
      <w:r>
        <w:rPr>
          <w:rFonts w:ascii="Times New Roman" w:hAnsi="Times New Roman"/>
          <w:lang w:val="en-US"/>
        </w:rPr>
        <w:t>. Adaptive fusion is therefore neither idiosyncratic to this architecture nor yet the majority design, which bears directly on how broadly the present findings should be expected to generalize. The component has an explicit representational purpose, which makes it possible to test whether it achieves that purpose separately from whether it helps. And the natural unit of replication, the household, is available in quantity across independently collected datasets, which is what allows the variance of the comparison to be decomposed at all.</w:t>
      </w:r>
    </w:p>
    <w:p w14:paraId="262BBC60" w14:textId="77777777" w:rsidR="003A471E" w:rsidRPr="00F22774" w:rsidRDefault="003A471E" w:rsidP="003A471E">
      <w:pPr>
        <w:jc w:val="both"/>
        <w:rPr>
          <w:lang w:val="en-US"/>
        </w:rPr>
      </w:pPr>
      <w:r>
        <w:rPr>
          <w:rFonts w:ascii="Times New Roman" w:hAnsi="Times New Roman"/>
          <w:lang w:val="en-US"/>
        </w:rPr>
        <w:lastRenderedPageBreak/>
        <w:t>The findings that follow therefore concern a specific model, and the conditions that produce them — mediated observation of a component through a learned, input-dependent combination — are common to a substantial minority of the broader family, though not yet to most of it.</w:t>
      </w:r>
    </w:p>
    <w:p w14:paraId="76E66592" w14:textId="77777777" w:rsidR="00CE1755" w:rsidRPr="00F22774" w:rsidRDefault="00E64F55" w:rsidP="00E64F55">
      <w:pPr>
        <w:pStyle w:val="1"/>
        <w:numPr>
          <w:ilvl w:val="0"/>
          <w:numId w:val="1"/>
        </w:numPr>
        <w:spacing w:before="400" w:after="200"/>
        <w:jc w:val="both"/>
        <w:rPr>
          <w:lang w:val="en-US"/>
        </w:rPr>
      </w:pPr>
      <w:r>
        <w:rPr>
          <w:lang w:val="en-US"/>
        </w:rPr>
        <w:t>Experimental protocol</w:t>
      </w:r>
    </w:p>
    <w:p w14:paraId="7FD382CD" w14:textId="77777777" w:rsidR="00E64F55" w:rsidRPr="00F22774" w:rsidRDefault="00E64F55" w:rsidP="00882A45">
      <w:pPr>
        <w:pStyle w:val="2"/>
        <w:numPr>
          <w:ilvl w:val="1"/>
          <w:numId w:val="1"/>
        </w:numPr>
        <w:rPr>
          <w:lang w:val="en-US"/>
        </w:rPr>
      </w:pPr>
      <w:r>
        <w:rPr>
          <w:lang w:val="en-US"/>
        </w:rPr>
        <w:t xml:space="preserve"> Datasets and households</w:t>
      </w:r>
    </w:p>
    <w:p w14:paraId="704E00E9" w14:textId="77777777" w:rsidR="00E64F55" w:rsidRPr="00F22774" w:rsidRDefault="00E64F55" w:rsidP="00E64F55">
      <w:pPr>
        <w:jc w:val="both"/>
        <w:rPr>
          <w:lang w:val="en-US"/>
        </w:rPr>
      </w:pPr>
      <w:r>
        <w:rPr>
          <w:rFonts w:ascii="Times New Roman" w:eastAsia="Times New Roman" w:hAnsi="Times New Roman" w:cs="Times New Roman"/>
          <w:lang w:val="en-US"/>
        </w:rPr>
        <w:t>We use three publicly available collections of household electricity measurements from two countries: UK-DALE (</w:t>
      </w:r>
      <w:hyperlink w:anchor="ref_kelly_2015">
        <w:r>
          <w:rPr>
            <w:rFonts w:ascii="Times New Roman" w:eastAsia="Times New Roman" w:hAnsi="Times New Roman" w:cs="Times New Roman"/>
            <w:color w:val="0563C1"/>
            <w:lang w:val="en-US"/>
          </w:rPr>
          <w:t>Kelly and Knottenbelt 2015)</w:t>
        </w:r>
      </w:hyperlink>
      <w:r>
        <w:rPr>
          <w:rFonts w:ascii="Times New Roman" w:eastAsia="Times New Roman" w:hAnsi="Times New Roman" w:cs="Times New Roman"/>
          <w:lang w:val="en-US"/>
        </w:rPr>
        <w:t xml:space="preserve"> and REFIT (</w:t>
      </w:r>
      <w:hyperlink w:anchor="ref_murray_2017">
        <w:r>
          <w:rPr>
            <w:rFonts w:ascii="Times New Roman" w:eastAsia="Times New Roman" w:hAnsi="Times New Roman" w:cs="Times New Roman"/>
            <w:color w:val="0563C1"/>
            <w:lang w:val="en-US"/>
          </w:rPr>
          <w:t>Murray et al. 2017)</w:t>
        </w:r>
      </w:hyperlink>
      <w:r>
        <w:rPr>
          <w:rFonts w:ascii="Times New Roman" w:eastAsia="Times New Roman" w:hAnsi="Times New Roman" w:cs="Times New Roman"/>
          <w:lang w:val="en-US"/>
        </w:rPr>
        <w:t xml:space="preserve"> from the United Kingdom, and SHEERM (</w:t>
      </w:r>
      <w:hyperlink w:anchor="ref_fernandes_2024">
        <w:r>
          <w:rPr>
            <w:rFonts w:ascii="Times New Roman" w:eastAsia="Times New Roman" w:hAnsi="Times New Roman" w:cs="Times New Roman"/>
            <w:color w:val="0563C1"/>
            <w:lang w:val="en-US"/>
          </w:rPr>
          <w:t>Fernandes et al. 2024)</w:t>
        </w:r>
      </w:hyperlink>
      <w:r>
        <w:rPr>
          <w:rFonts w:ascii="Times New Roman" w:eastAsia="Times New Roman" w:hAnsi="Times New Roman" w:cs="Times New Roman"/>
          <w:lang w:val="en-US"/>
        </w:rPr>
        <w:t xml:space="preserve"> from Portugal. REFIT has been used for household-level load forecasting by our group in earlier work on a different architecture </w:t>
      </w:r>
      <w:hyperlink w:anchor="ref_tokhmetov_2026">
        <w:r>
          <w:rPr>
            <w:rFonts w:ascii="Times New Roman" w:eastAsia="Times New Roman" w:hAnsi="Times New Roman" w:cs="Times New Roman"/>
            <w:color w:val="0563C1"/>
            <w:lang w:val="en-US"/>
          </w:rPr>
          <w:t>(Tokhmetov et al., 2026)</w:t>
        </w:r>
      </w:hyperlink>
      <w:r>
        <w:rPr>
          <w:rFonts w:ascii="Times New Roman" w:eastAsia="Times New Roman" w:hAnsi="Times New Roman" w:cs="Times New Roman"/>
          <w:lang w:val="en-US"/>
        </w:rPr>
        <w:t>. Only the aggregate household demand is used; appliance-level channels are not, and the task throughout is the forecasting of total household load rather than its disaggregation.</w:t>
      </w:r>
    </w:p>
    <w:p w14:paraId="7B85D005" w14:textId="77777777" w:rsidR="00E64F55" w:rsidRPr="00F22774" w:rsidRDefault="00E64F55" w:rsidP="00E64F55">
      <w:pPr>
        <w:jc w:val="both"/>
        <w:rPr>
          <w:lang w:val="en-US"/>
        </w:rPr>
      </w:pPr>
      <w:r>
        <w:rPr>
          <w:rFonts w:ascii="Times New Roman" w:eastAsia="Times New Roman" w:hAnsi="Times New Roman" w:cs="Times New Roman"/>
          <w:lang w:val="en-US"/>
        </w:rPr>
        <w:t>Households enter the study if their series supports a chronological split with a test segment of at least 50 disjoint windows, that is at least fifty days of forecast. The rule is applied before any model is fitted. It removes two SHEERM households with approximately five months of record, and four UK-DALE households whose records or test segments fall below the threshold, the largest of them admitting 23 windows. Seventeen households remain.</w:t>
      </w:r>
    </w:p>
    <w:p w14:paraId="578A46E0" w14:textId="77777777" w:rsidR="00E64F55" w:rsidRPr="00F22774" w:rsidRDefault="00E64F55" w:rsidP="00E64F55">
      <w:pPr>
        <w:jc w:val="both"/>
        <w:rPr>
          <w:lang w:val="en-US"/>
        </w:rPr>
      </w:pPr>
      <w:r>
        <w:rPr>
          <w:rFonts w:ascii="Times New Roman" w:eastAsia="Times New Roman" w:hAnsi="Times New Roman" w:cs="Times New Roman"/>
          <w:b/>
          <w:bCs/>
          <w:lang w:val="en-US"/>
        </w:rPr>
        <w:t xml:space="preserve">The threshold is not finely tuned. </w:t>
      </w:r>
      <w:r>
        <w:rPr>
          <w:rFonts w:ascii="Times New Roman" w:eastAsia="Times New Roman" w:hAnsi="Times New Roman" w:cs="Times New Roman"/>
          <w:lang w:val="en-US"/>
        </w:rPr>
        <w:t>No household in any of the three collections has a test segment of between 24 and 77 windows, so every threshold in that range partitions the households identically; the figure of 50 is stated for definiteness rather than because the boundary matters. We note this because one of the excluded households, with 23 windows, is close to the cut in a way that the raw number does not convey.</w:t>
      </w:r>
    </w:p>
    <w:p w14:paraId="6ECDF157" w14:textId="77777777" w:rsidR="00E64F55" w:rsidRPr="00F22774" w:rsidRDefault="00E64F55" w:rsidP="00E64F55">
      <w:pPr>
        <w:jc w:val="both"/>
        <w:rPr>
          <w:rFonts w:ascii="Times New Roman" w:eastAsia="Times New Roman" w:hAnsi="Times New Roman" w:cs="Times New Roman"/>
          <w:lang w:val="en-US"/>
        </w:rPr>
      </w:pPr>
      <w:r>
        <w:rPr>
          <w:rFonts w:ascii="Times New Roman" w:eastAsia="Times New Roman" w:hAnsi="Times New Roman" w:cs="Times New Roman"/>
          <w:b/>
          <w:bCs/>
          <w:lang w:val="en-US"/>
        </w:rPr>
        <w:t xml:space="preserve">The household is the unit of observation throughout. </w:t>
      </w:r>
      <w:r>
        <w:rPr>
          <w:rFonts w:ascii="Times New Roman" w:eastAsia="Times New Roman" w:hAnsi="Times New Roman" w:cs="Times New Roman"/>
          <w:lang w:val="en-US"/>
        </w:rPr>
        <w:t>Datasets enter as a source of households and as a check that the findings are not peculiar to one collection or one country, and no claim in this paper concerns differences between datasets. The three collections consequently contribute unequal numbers of households, one, five and eleven, and no weighting is applied to compensate: weighting by dataset would give a single household the influence of eleven, which is not warranted by anything we measure.</w:t>
      </w:r>
    </w:p>
    <w:p w14:paraId="6DB07B02" w14:textId="77777777" w:rsidR="00D5053E" w:rsidRPr="00F22774" w:rsidRDefault="00D5053E" w:rsidP="00E64F55">
      <w:pPr>
        <w:jc w:val="both"/>
        <w:rPr>
          <w:lang w:val="en-US"/>
        </w:rPr>
      </w:pPr>
      <w:r>
        <w:rPr>
          <w:rFonts w:ascii="Times New Roman" w:eastAsia="Times New Roman" w:hAnsi="Times New Roman" w:cs="Times New Roman"/>
          <w:lang w:val="en-US"/>
        </w:rPr>
        <w:t>Table 1. Households included in the study. Entry requires at least 50 disjoint 24‑hour test windows, applied before model fitting. No household has 24–77 windows, so thresholds in that range yield the same partition. Excluded households: UK‑DALE 2, 3, 5 (short record) and 4 (small test segment).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3306"/>
        <w:gridCol w:w="839"/>
        <w:gridCol w:w="1617"/>
        <w:gridCol w:w="1462"/>
      </w:tblGrid>
      <w:tr w:rsidR="00E64F55" w:rsidRPr="00F22774" w14:paraId="51B35086" w14:textId="77777777" w:rsidTr="00AE3E64">
        <w:trPr>
          <w:tblHeader w:val="true"/>
        </w:trPr>
        <w:tc>
          <w:tcPr>
            <w:tcW w:w="2400" w:type="dxa"/>
          </w:tcPr>
          <w:p w14:paraId="266BE4DA" w14:textId="77777777" w:rsidR="00E64F55" w:rsidRPr="00F22774" w:rsidRDefault="00E64F55" w:rsidP="00AE3E64">
            <w:pPr>
              <w:spacing w:before="40" w:after="40"/>
            </w:pPr>
            <w:r>
              <w:rPr>
                <w:rFonts w:ascii="Times New Roman" w:eastAsia="Times New Roman" w:hAnsi="Times New Roman" w:cs="Times New Roman"/>
                <w:b/>
                <w:bCs/>
                <w:sz w:val="20"/>
                <w:szCs w:val="20"/>
              </w:rPr>
              <w:t>Dataset</w:t>
            </w:r>
          </w:p>
        </w:tc>
        <w:tc>
          <w:tcPr>
            <w:tcW w:w="3800" w:type="dxa"/>
          </w:tcPr>
          <w:p w14:paraId="1437530B" w14:textId="77777777" w:rsidR="00E64F55" w:rsidRPr="00F22774" w:rsidRDefault="00E64F55" w:rsidP="00AE3E64">
            <w:pPr>
              <w:spacing w:before="40" w:after="40"/>
              <w:jc w:val="center"/>
            </w:pPr>
            <w:r>
              <w:rPr>
                <w:rFonts w:ascii="Times New Roman" w:eastAsia="Times New Roman" w:hAnsi="Times New Roman" w:cs="Times New Roman"/>
                <w:b/>
                <w:bCs/>
                <w:sz w:val="20"/>
                <w:szCs w:val="20"/>
              </w:rPr>
              <w:t>Households used</w:t>
            </w:r>
          </w:p>
        </w:tc>
        <w:tc>
          <w:tcPr>
            <w:tcW w:w="900" w:type="dxa"/>
          </w:tcPr>
          <w:p w14:paraId="29798A4A" w14:textId="77777777" w:rsidR="00E64F55" w:rsidRPr="00F22774" w:rsidRDefault="00E64F55" w:rsidP="00AE3E64">
            <w:pPr>
              <w:spacing w:before="40" w:after="40"/>
              <w:jc w:val="center"/>
            </w:pPr>
            <w:r>
              <w:rPr>
                <w:rFonts w:ascii="Times New Roman" w:eastAsia="Times New Roman" w:hAnsi="Times New Roman" w:cs="Times New Roman"/>
                <w:b/>
                <w:bCs/>
                <w:sz w:val="20"/>
                <w:szCs w:val="20"/>
              </w:rPr>
              <w:t>Count</w:t>
            </w:r>
          </w:p>
        </w:tc>
        <w:tc>
          <w:tcPr>
            <w:tcW w:w="1800" w:type="dxa"/>
          </w:tcPr>
          <w:p w14:paraId="36BB02B0" w14:textId="77777777" w:rsidR="00E64F55" w:rsidRPr="00F22774" w:rsidRDefault="00E64F55" w:rsidP="00AE3E64">
            <w:pPr>
              <w:spacing w:before="40" w:after="40"/>
              <w:jc w:val="center"/>
            </w:pPr>
            <w:r>
              <w:rPr>
                <w:rFonts w:ascii="Times New Roman" w:eastAsia="Times New Roman" w:hAnsi="Times New Roman" w:cs="Times New Roman"/>
                <w:b/>
                <w:bCs/>
                <w:sz w:val="20"/>
                <w:szCs w:val="20"/>
              </w:rPr>
              <w:t>Test windows</w:t>
            </w:r>
          </w:p>
        </w:tc>
        <w:tc>
          <w:tcPr>
            <w:tcW w:w="1600" w:type="dxa"/>
          </w:tcPr>
          <w:p w14:paraId="3F62F08E" w14:textId="77777777" w:rsidR="00E64F55" w:rsidRPr="00F22774" w:rsidRDefault="00E64F55" w:rsidP="00AE3E64">
            <w:pPr>
              <w:spacing w:before="40" w:after="40"/>
              <w:jc w:val="center"/>
            </w:pPr>
            <w:r>
              <w:rPr>
                <w:rFonts w:ascii="Times New Roman" w:eastAsia="Times New Roman" w:hAnsi="Times New Roman" w:cs="Times New Roman"/>
                <w:b/>
                <w:bCs/>
                <w:sz w:val="20"/>
                <w:szCs w:val="20"/>
              </w:rPr>
              <w:t>Excluded</w:t>
            </w:r>
          </w:p>
        </w:tc>
      </w:tr>
      <w:tr w:rsidR="00E64F55" w:rsidRPr="00F22774" w14:paraId="3D268A09" w14:textId="77777777" w:rsidTr="00AE3E64">
        <w:tc>
          <w:tcPr>
            <w:tcW w:w="2400" w:type="dxa"/>
          </w:tcPr>
          <w:p w14:paraId="672515D2" w14:textId="77777777" w:rsidR="00E64F55" w:rsidRPr="00F22774" w:rsidRDefault="00E64F55" w:rsidP="00AE3E64">
            <w:pPr>
              <w:spacing w:before="40" w:after="40"/>
            </w:pPr>
            <w:r>
              <w:rPr>
                <w:rFonts w:ascii="Times New Roman" w:eastAsia="Times New Roman" w:hAnsi="Times New Roman" w:cs="Times New Roman"/>
                <w:sz w:val="20"/>
                <w:szCs w:val="20"/>
              </w:rPr>
              <w:t>UK-DALE (UK)</w:t>
            </w:r>
          </w:p>
        </w:tc>
        <w:tc>
          <w:tcPr>
            <w:tcW w:w="3800" w:type="dxa"/>
          </w:tcPr>
          <w:p w14:paraId="14C2FDC5" w14:textId="77777777" w:rsidR="00E64F55" w:rsidRPr="00F22774" w:rsidRDefault="00E64F55" w:rsidP="00AE3E64">
            <w:pPr>
              <w:spacing w:before="40" w:after="40"/>
              <w:jc w:val="center"/>
            </w:pPr>
            <w:r>
              <w:rPr>
                <w:rFonts w:ascii="Times New Roman" w:eastAsia="Times New Roman" w:hAnsi="Times New Roman" w:cs="Times New Roman"/>
                <w:sz w:val="20"/>
                <w:szCs w:val="20"/>
              </w:rPr>
              <w:t>1</w:t>
            </w:r>
          </w:p>
        </w:tc>
        <w:tc>
          <w:tcPr>
            <w:tcW w:w="900" w:type="dxa"/>
          </w:tcPr>
          <w:p w14:paraId="178E384C" w14:textId="77777777" w:rsidR="00E64F55" w:rsidRPr="00F22774" w:rsidRDefault="00E64F55" w:rsidP="00AE3E64">
            <w:pPr>
              <w:spacing w:before="40" w:after="40"/>
              <w:jc w:val="center"/>
            </w:pPr>
            <w:r>
              <w:rPr>
                <w:rFonts w:ascii="Times New Roman" w:eastAsia="Times New Roman" w:hAnsi="Times New Roman" w:cs="Times New Roman"/>
                <w:sz w:val="20"/>
                <w:szCs w:val="20"/>
              </w:rPr>
              <w:t>1</w:t>
            </w:r>
          </w:p>
        </w:tc>
        <w:tc>
          <w:tcPr>
            <w:tcW w:w="1800" w:type="dxa"/>
          </w:tcPr>
          <w:p w14:paraId="46128B42" w14:textId="77777777" w:rsidR="00E64F55" w:rsidRPr="00F22774" w:rsidRDefault="00E64F55" w:rsidP="00AE3E64">
            <w:pPr>
              <w:spacing w:before="40" w:after="40"/>
              <w:jc w:val="center"/>
            </w:pPr>
            <w:r>
              <w:rPr>
                <w:rFonts w:ascii="Times New Roman" w:eastAsia="Times New Roman" w:hAnsi="Times New Roman" w:cs="Times New Roman"/>
                <w:sz w:val="20"/>
                <w:szCs w:val="20"/>
              </w:rPr>
              <w:t>218</w:t>
            </w:r>
          </w:p>
        </w:tc>
        <w:tc>
          <w:tcPr>
            <w:tcW w:w="1600" w:type="dxa"/>
          </w:tcPr>
          <w:p w14:paraId="50754009" w14:textId="77777777" w:rsidR="00E64F55" w:rsidRPr="00F22774" w:rsidRDefault="00E64F55" w:rsidP="00AE3E64">
            <w:pPr>
              <w:spacing w:before="40" w:after="40"/>
              <w:jc w:val="center"/>
            </w:pPr>
            <w:r>
              <w:rPr>
                <w:rFonts w:ascii="Times New Roman" w:eastAsia="Times New Roman" w:hAnsi="Times New Roman" w:cs="Times New Roman"/>
                <w:sz w:val="20"/>
                <w:szCs w:val="20"/>
              </w:rPr>
              <w:t>2, 3, 4, 5</w:t>
            </w:r>
          </w:p>
        </w:tc>
      </w:tr>
      <w:tr w:rsidR="00E64F55" w:rsidRPr="00F22774" w14:paraId="7B018906" w14:textId="77777777" w:rsidTr="00AE3E64">
        <w:tc>
          <w:tcPr>
            <w:tcW w:w="2400" w:type="dxa"/>
          </w:tcPr>
          <w:p w14:paraId="0A8A6346" w14:textId="77777777" w:rsidR="00E64F55" w:rsidRPr="00F22774" w:rsidRDefault="00E64F55" w:rsidP="00AE3E64">
            <w:pPr>
              <w:spacing w:before="40" w:after="40"/>
            </w:pPr>
            <w:r>
              <w:rPr>
                <w:rFonts w:ascii="Times New Roman" w:eastAsia="Times New Roman" w:hAnsi="Times New Roman" w:cs="Times New Roman"/>
                <w:sz w:val="20"/>
                <w:szCs w:val="20"/>
              </w:rPr>
              <w:t>REFIT (UK)</w:t>
            </w:r>
          </w:p>
        </w:tc>
        <w:tc>
          <w:tcPr>
            <w:tcW w:w="3800" w:type="dxa"/>
          </w:tcPr>
          <w:p w14:paraId="7A0F2C66" w14:textId="77777777" w:rsidR="00E64F55" w:rsidRPr="00F22774" w:rsidRDefault="00E64F55" w:rsidP="00AE3E64">
            <w:pPr>
              <w:spacing w:before="40" w:after="40"/>
              <w:jc w:val="center"/>
            </w:pPr>
            <w:r>
              <w:rPr>
                <w:rFonts w:ascii="Times New Roman" w:eastAsia="Times New Roman" w:hAnsi="Times New Roman" w:cs="Times New Roman"/>
                <w:sz w:val="20"/>
                <w:szCs w:val="20"/>
              </w:rPr>
              <w:t>2, 4, 6, 9, 10</w:t>
            </w:r>
          </w:p>
        </w:tc>
        <w:tc>
          <w:tcPr>
            <w:tcW w:w="900" w:type="dxa"/>
          </w:tcPr>
          <w:p w14:paraId="33273932" w14:textId="77777777" w:rsidR="00E64F55" w:rsidRPr="00F22774" w:rsidRDefault="00E64F55" w:rsidP="00AE3E64">
            <w:pPr>
              <w:spacing w:before="40" w:after="40"/>
              <w:jc w:val="center"/>
            </w:pPr>
            <w:r>
              <w:rPr>
                <w:rFonts w:ascii="Times New Roman" w:eastAsia="Times New Roman" w:hAnsi="Times New Roman" w:cs="Times New Roman"/>
                <w:sz w:val="20"/>
                <w:szCs w:val="20"/>
              </w:rPr>
              <w:t>5</w:t>
            </w:r>
          </w:p>
        </w:tc>
        <w:tc>
          <w:tcPr>
            <w:tcW w:w="1800" w:type="dxa"/>
          </w:tcPr>
          <w:p w14:paraId="02C9FBA0" w14:textId="77777777" w:rsidR="00E64F55" w:rsidRPr="00F22774" w:rsidRDefault="00E64F55" w:rsidP="00AE3E64">
            <w:pPr>
              <w:spacing w:before="40" w:after="40"/>
              <w:jc w:val="center"/>
            </w:pPr>
            <w:r>
              <w:rPr>
                <w:rFonts w:ascii="Times New Roman" w:eastAsia="Times New Roman" w:hAnsi="Times New Roman" w:cs="Times New Roman"/>
                <w:sz w:val="20"/>
                <w:szCs w:val="20"/>
              </w:rPr>
              <w:t>78 to 88</w:t>
            </w:r>
          </w:p>
        </w:tc>
        <w:tc>
          <w:tcPr>
            <w:tcW w:w="1600" w:type="dxa"/>
          </w:tcPr>
          <w:p w14:paraId="19C6CF0B" w14:textId="77777777" w:rsidR="00E64F55" w:rsidRPr="00F22774" w:rsidRDefault="00E64F55" w:rsidP="00AE3E64">
            <w:pPr>
              <w:spacing w:before="40" w:after="40"/>
              <w:jc w:val="center"/>
            </w:pPr>
            <w:r>
              <w:rPr>
                <w:rFonts w:ascii="Times New Roman" w:eastAsia="Times New Roman" w:hAnsi="Times New Roman" w:cs="Times New Roman"/>
                <w:sz w:val="20"/>
                <w:szCs w:val="20"/>
              </w:rPr>
              <w:t>none</w:t>
            </w:r>
          </w:p>
        </w:tc>
      </w:tr>
      <w:tr w:rsidR="00E64F55" w:rsidRPr="00F22774" w14:paraId="700E7062" w14:textId="77777777" w:rsidTr="00AE3E64">
        <w:tc>
          <w:tcPr>
            <w:tcW w:w="2400" w:type="dxa"/>
          </w:tcPr>
          <w:p w14:paraId="04F2AC96" w14:textId="77777777" w:rsidR="00E64F55" w:rsidRPr="00F22774" w:rsidRDefault="00E64F55" w:rsidP="00AE3E64">
            <w:pPr>
              <w:spacing w:before="40" w:after="40"/>
            </w:pPr>
            <w:r>
              <w:rPr>
                <w:rFonts w:ascii="Times New Roman" w:eastAsia="Times New Roman" w:hAnsi="Times New Roman" w:cs="Times New Roman"/>
                <w:sz w:val="20"/>
                <w:szCs w:val="20"/>
              </w:rPr>
              <w:t>SHEERM (Portugal)</w:t>
            </w:r>
          </w:p>
        </w:tc>
        <w:tc>
          <w:tcPr>
            <w:tcW w:w="3800" w:type="dxa"/>
          </w:tcPr>
          <w:p w14:paraId="6CD39E47" w14:textId="77777777" w:rsidR="00E64F55" w:rsidRPr="00F22774" w:rsidRDefault="00E64F55" w:rsidP="00AE3E64">
            <w:pPr>
              <w:spacing w:before="40" w:after="40"/>
              <w:jc w:val="center"/>
            </w:pPr>
            <w:r>
              <w:rPr>
                <w:rFonts w:ascii="Times New Roman" w:eastAsia="Times New Roman" w:hAnsi="Times New Roman" w:cs="Times New Roman"/>
                <w:sz w:val="20"/>
                <w:szCs w:val="20"/>
              </w:rPr>
              <w:t>1, 2, 3, 4, 5, 8, 9, 10, 11, 12, 13</w:t>
            </w:r>
          </w:p>
        </w:tc>
        <w:tc>
          <w:tcPr>
            <w:tcW w:w="900" w:type="dxa"/>
          </w:tcPr>
          <w:p w14:paraId="0D6BF4F2" w14:textId="77777777" w:rsidR="00E64F55" w:rsidRPr="00F22774" w:rsidRDefault="00E64F55" w:rsidP="00AE3E64">
            <w:pPr>
              <w:spacing w:before="40" w:after="40"/>
              <w:jc w:val="center"/>
            </w:pPr>
            <w:r>
              <w:rPr>
                <w:rFonts w:ascii="Times New Roman" w:eastAsia="Times New Roman" w:hAnsi="Times New Roman" w:cs="Times New Roman"/>
                <w:sz w:val="20"/>
                <w:szCs w:val="20"/>
              </w:rPr>
              <w:t>11</w:t>
            </w:r>
          </w:p>
        </w:tc>
        <w:tc>
          <w:tcPr>
            <w:tcW w:w="1800" w:type="dxa"/>
          </w:tcPr>
          <w:p w14:paraId="01A091CE" w14:textId="77777777" w:rsidR="00E64F55" w:rsidRPr="00F22774" w:rsidRDefault="00E64F55" w:rsidP="00AE3E64">
            <w:pPr>
              <w:spacing w:before="40" w:after="40"/>
              <w:jc w:val="center"/>
            </w:pPr>
            <w:r>
              <w:rPr>
                <w:rFonts w:ascii="Times New Roman" w:eastAsia="Times New Roman" w:hAnsi="Times New Roman" w:cs="Times New Roman"/>
                <w:sz w:val="20"/>
                <w:szCs w:val="20"/>
              </w:rPr>
              <w:t>102 to 171</w:t>
            </w:r>
          </w:p>
        </w:tc>
        <w:tc>
          <w:tcPr>
            <w:tcW w:w="1600" w:type="dxa"/>
          </w:tcPr>
          <w:p w14:paraId="08062D8F" w14:textId="77777777" w:rsidR="00E64F55" w:rsidRPr="00F22774" w:rsidRDefault="00E64F55" w:rsidP="00AE3E64">
            <w:pPr>
              <w:spacing w:before="40" w:after="40"/>
              <w:jc w:val="center"/>
            </w:pPr>
            <w:r>
              <w:rPr>
                <w:rFonts w:ascii="Times New Roman" w:eastAsia="Times New Roman" w:hAnsi="Times New Roman" w:cs="Times New Roman"/>
                <w:sz w:val="20"/>
                <w:szCs w:val="20"/>
              </w:rPr>
              <w:t>6, 7</w:t>
            </w:r>
          </w:p>
        </w:tc>
      </w:tr>
    </w:tbl>
    <w:p w14:paraId="74FA5619" w14:textId="77777777" w:rsidR="00E64F55" w:rsidRPr="00F22774" w:rsidRDefault="00E64F55" w:rsidP="00882A45">
      <w:pPr>
        <w:pStyle w:val="2"/>
        <w:numPr>
          <w:ilvl w:val="1"/>
          <w:numId w:val="1"/>
        </w:numPr>
        <w:rPr>
          <w:lang w:val="en-US"/>
        </w:rPr>
      </w:pPr>
      <w:r>
        <w:rPr>
          <w:lang w:val="en-US"/>
        </w:rPr>
        <w:t xml:space="preserve"> Preprocessing</w:t>
      </w:r>
    </w:p>
    <w:p w14:paraId="42C5F44B" w14:textId="77777777" w:rsidR="00E64F55" w:rsidRPr="00F22774" w:rsidRDefault="00E64F55" w:rsidP="00E64F55">
      <w:pPr>
        <w:jc w:val="both"/>
        <w:rPr>
          <w:lang w:val="en-US"/>
        </w:rPr>
      </w:pPr>
      <w:r>
        <w:rPr>
          <w:rFonts w:ascii="Times New Roman" w:eastAsia="Times New Roman" w:hAnsi="Times New Roman" w:cs="Times New Roman"/>
          <w:lang w:val="en-US"/>
        </w:rPr>
        <w:t>All three datasets pass through one implementation. The dataset-specific code is confined to parsing the raw files; hourly resampling, gap filling, outlier handling, scaling, splitting and windowing are performed by the same functions in every case, so that any difference between datasets in the results is a property of the data and not of the code path.</w:t>
      </w:r>
    </w:p>
    <w:p w14:paraId="3F39BAC9" w14:textId="77777777" w:rsidR="00E64F55" w:rsidRPr="00F22774" w:rsidRDefault="00E64F55" w:rsidP="00E64F55">
      <w:pPr>
        <w:jc w:val="both"/>
        <w:rPr>
          <w:lang w:val="en-US"/>
        </w:rPr>
      </w:pPr>
      <w:r>
        <w:rPr>
          <w:rFonts w:ascii="Times New Roman" w:eastAsia="Times New Roman" w:hAnsi="Times New Roman" w:cs="Times New Roman"/>
          <w:lang w:val="en-US"/>
        </w:rPr>
        <w:t>Series are resampled to hourly resolution. Gaps of up to six hours are filled by linear interpolation; longer gaps are not filled. The series is then split chronologically into training, validation and test segments in the proportions 70, 15 and 15 per cent. A three-sigma clipping threshold and a min-max scaler are fitted on the training segment only and applied to all three, so that no information from the validation or test period influences the transformation.</w:t>
      </w:r>
    </w:p>
    <w:p w14:paraId="24BF8D2F" w14:textId="77777777" w:rsidR="00E64F55" w:rsidRPr="00F22774" w:rsidRDefault="00E64F55" w:rsidP="00E64F55">
      <w:pPr>
        <w:jc w:val="both"/>
        <w:rPr>
          <w:lang w:val="en-US"/>
        </w:rPr>
      </w:pPr>
      <w:r>
        <w:rPr>
          <w:rFonts w:ascii="Times New Roman" w:eastAsia="Times New Roman" w:hAnsi="Times New Roman" w:cs="Times New Roman"/>
          <w:lang w:val="en-US"/>
        </w:rPr>
        <w:lastRenderedPageBreak/>
        <w:t>Inputs are windows of 168 consecutive hourly observations and targets are the following 24 hours. Training and validation windows are formed at unit stride; test windows are formed at a stride of 24, so that the test windows are disjoint and each corresponds to one day of forecast. Signal decomposition into six modes is applied within each window, so that no information from beyond the input window enters the decomposition.</w:t>
      </w:r>
    </w:p>
    <w:p w14:paraId="63980795" w14:textId="77777777" w:rsidR="00E64F55" w:rsidRPr="00F22774" w:rsidRDefault="00B611D3" w:rsidP="00882A45">
      <w:pPr>
        <w:pStyle w:val="3"/>
        <w:ind w:firstLine="426"/>
        <w:rPr>
          <w:lang w:val="en-US"/>
        </w:rPr>
      </w:pPr>
      <w:r>
        <w:rPr>
          <w:lang w:val="en-US"/>
        </w:rPr>
        <w:t>4.2.1. Data-quality audit</w:t>
      </w:r>
    </w:p>
    <w:p w14:paraId="5A67D238" w14:textId="77777777" w:rsidR="00E64F55" w:rsidRPr="00F22774" w:rsidRDefault="00E64F55" w:rsidP="00E64F55">
      <w:pPr>
        <w:jc w:val="both"/>
        <w:rPr>
          <w:lang w:val="en-US"/>
        </w:rPr>
      </w:pPr>
      <w:r>
        <w:rPr>
          <w:rFonts w:ascii="Times New Roman" w:eastAsia="Times New Roman" w:hAnsi="Times New Roman" w:cs="Times New Roman"/>
          <w:b/>
          <w:bCs/>
          <w:lang w:val="en-US"/>
        </w:rPr>
        <w:t xml:space="preserve">We audit the resulting windows rather than assume their quality, and report the audit because it bears on the interpretation of three households. </w:t>
      </w:r>
      <w:r>
        <w:rPr>
          <w:rFonts w:ascii="Times New Roman" w:eastAsia="Times New Roman" w:hAnsi="Times New Roman" w:cs="Times New Roman"/>
          <w:lang w:val="en-US"/>
        </w:rPr>
        <w:t>No missing values survive preprocessing in any dataset. The fraction of training data that is locally linear, and therefore either interpolated or constant, varies considerably: it reaches 29.2 per cent on one REFIT household, mostly interpolated, and stays below 1.5 per cent on most SHEERM households. Runs of constant meter readings up to 168 hours long occur in the training segments of four households and, in one REFIT household, in the test segment as well, where 14.8 per cent of test targets are constant across the full forecast horizon and are therefore trivially predictable. That household behaves as an outlier throughout the results, and we flag it wherever it matters rather than removing it.</w:t>
      </w:r>
    </w:p>
    <w:p w14:paraId="5BF8882E" w14:textId="77777777" w:rsidR="00E64F55" w:rsidRPr="00F22774" w:rsidRDefault="00E64F55" w:rsidP="00882A45">
      <w:pPr>
        <w:pStyle w:val="2"/>
        <w:numPr>
          <w:ilvl w:val="1"/>
          <w:numId w:val="1"/>
        </w:numPr>
        <w:rPr>
          <w:lang w:val="en-US"/>
        </w:rPr>
      </w:pPr>
      <w:r>
        <w:rPr>
          <w:lang w:val="en-US"/>
        </w:rPr>
        <w:t xml:space="preserve"> Model, training and configurations</w:t>
      </w:r>
    </w:p>
    <w:p w14:paraId="688D44BE" w14:textId="77777777" w:rsidR="00E64F55" w:rsidRPr="00F22774" w:rsidRDefault="00E64F55" w:rsidP="00E64F55">
      <w:pPr>
        <w:jc w:val="both"/>
        <w:rPr>
          <w:lang w:val="en-US"/>
        </w:rPr>
      </w:pPr>
      <w:r>
        <w:rPr>
          <w:rFonts w:ascii="Times New Roman" w:eastAsia="Times New Roman" w:hAnsi="Times New Roman" w:cs="Times New Roman"/>
          <w:lang w:val="en-US"/>
        </w:rPr>
        <w:t>The architecture combines a decomposition path and a direct path through a learned gate, as described in Section 3. The decomposition path applies a weight-shared patch-based Transformer encoder to each mode, optionally supplying each mode with a learned identity embedding, and aggregates the per-mode forecasts by learned weights. The direct path forecasts from the undecomposed window. Both paths and the gate are trained jointly.</w:t>
      </w:r>
    </w:p>
    <w:p w14:paraId="0E932CC8" w14:textId="77777777" w:rsidR="00E64F55" w:rsidRPr="00F22774" w:rsidRDefault="00E64F55" w:rsidP="00E64F55">
      <w:pPr>
        <w:jc w:val="both"/>
        <w:rPr>
          <w:lang w:val="en-US"/>
        </w:rPr>
      </w:pPr>
      <w:r>
        <w:rPr>
          <w:rFonts w:ascii="Times New Roman" w:eastAsia="Times New Roman" w:hAnsi="Times New Roman" w:cs="Times New Roman"/>
          <w:lang w:val="en-US"/>
        </w:rPr>
        <w:t>Training uses AdamW with a learning rate of 5 × 10⁻⁴ and weight decay 10⁻⁴, cosine annealing with warm restarts, gradient-norm clipping at 1.0, a batch size of 64 and 60 epochs. The reported model is the epoch with the lowest validation mean absolute error in watts. The loss is a Huber term on the fused forecast plus an auxiliary reconstruction term with weight 0.2. Architectural and training hyperparameters are collected in Table B1 of Appendix B.</w:t>
      </w:r>
    </w:p>
    <w:p w14:paraId="3F299C85" w14:textId="77777777" w:rsidR="00E64F55" w:rsidRPr="00F22774" w:rsidRDefault="00E64F55" w:rsidP="00E64F55">
      <w:pPr>
        <w:jc w:val="both"/>
        <w:rPr>
          <w:lang w:val="en-US"/>
        </w:rPr>
      </w:pPr>
      <w:r>
        <w:rPr>
          <w:rFonts w:ascii="Times New Roman" w:eastAsia="Times New Roman" w:hAnsi="Times New Roman" w:cs="Times New Roman"/>
          <w:lang w:val="en-US"/>
        </w:rPr>
        <w:t>Every configuration is trained with five independent seeds (42, 7, 13, 99, 2025). Unless stated otherwise, reported predictions are the average of the five seed predictions, and reported errors are computed from that average. Where the analysis requires per-seed quantities, they are computed from the same five runs; no configuration is trained more than once per seed.</w:t>
      </w:r>
    </w:p>
    <w:p w14:paraId="3A666612" w14:textId="77777777" w:rsidR="00E64F55" w:rsidRPr="00F22774" w:rsidRDefault="00B611D3" w:rsidP="00882A45">
      <w:pPr>
        <w:pStyle w:val="3"/>
        <w:ind w:firstLine="426"/>
        <w:rPr>
          <w:lang w:val="en-US"/>
        </w:rPr>
      </w:pPr>
      <w:r>
        <w:rPr>
          <w:lang w:val="en-US"/>
        </w:rPr>
        <w:t>4.3.1. Factorial design</w:t>
      </w:r>
    </w:p>
    <w:p w14:paraId="05668C85" w14:textId="77777777" w:rsidR="00E64F55" w:rsidRPr="00F22774" w:rsidRDefault="00E64F55" w:rsidP="00E64F55">
      <w:pPr>
        <w:jc w:val="both"/>
        <w:rPr>
          <w:lang w:val="en-US"/>
        </w:rPr>
      </w:pPr>
      <w:r>
        <w:rPr>
          <w:rFonts w:ascii="Times New Roman" w:eastAsia="Times New Roman" w:hAnsi="Times New Roman" w:cs="Times New Roman"/>
          <w:lang w:val="en-US"/>
        </w:rPr>
        <w:t>Three binary factors are crossed. The auxiliary objective either drives the sum of the per-mode forecasts towards the target or requires each mode to predict the target individually. The aggregation either forms a convex combination of the per-mode forecasts or a sum. The identity embeddings are present or absent. Two of the four objective-aggregation cells are internally consistent and two are not, which is used in Section 5 to establish the mechanism. The full eight-cell design was run on six households; the two cells relevant to the ablation effect were run on all 17. A third cell was added as a control for effective loss weighting: the per-mode objective with convex aggregation and identity embeddings present, but with auxiliary weight 0.2/K rather than 0.2, trained on all 17 households with the same five seeds. Because the per-mode objective sums K Huber terms, at equal weight it carries roughly K times the auxiliary gradient of the summed objective; the control equalises that without reintroducing the dimensional inconsistency of Section 5.1.2. The value 0.2/K follows from K and was not tuned.</w:t>
      </w:r>
    </w:p>
    <w:p w14:paraId="4A2984D6" w14:textId="77777777" w:rsidR="00E64F55" w:rsidRPr="00F22774" w:rsidRDefault="00B611D3" w:rsidP="00882A45">
      <w:pPr>
        <w:pStyle w:val="3"/>
        <w:ind w:firstLine="426"/>
        <w:rPr>
          <w:lang w:val="en-US"/>
        </w:rPr>
      </w:pPr>
      <w:r>
        <w:rPr>
          <w:lang w:val="en-US"/>
        </w:rPr>
        <w:t>4.3.2. Interventions</w:t>
      </w:r>
    </w:p>
    <w:p w14:paraId="35D9DA43" w14:textId="77777777" w:rsidR="00E64F55" w:rsidRPr="00F22774" w:rsidRDefault="00E64F55" w:rsidP="00E64F55">
      <w:pPr>
        <w:jc w:val="both"/>
        <w:rPr>
          <w:lang w:val="en-US"/>
        </w:rPr>
      </w:pPr>
      <w:r>
        <w:rPr>
          <w:rFonts w:ascii="Times New Roman" w:eastAsia="Times New Roman" w:hAnsi="Times New Roman" w:cs="Times New Roman"/>
          <w:lang w:val="en-US"/>
        </w:rPr>
        <w:t>Interventions are applied to trained models at inference and require no retraining. The correspondence between modes and identity embeddings is altered by cyclic shift, by random permutation averaged over fifty draws, by setting the embeddings to zero, or by permuting the modes independently in each window; separately, the aggregation weights alone are permuted. A null control permutes modes, embeddings and aggregation weights consistently, which is a pure relabelling and must leave the output unchanged; it is reported alongside every intervention.</w:t>
      </w:r>
    </w:p>
    <w:p w14:paraId="019711FD" w14:textId="77777777" w:rsidR="00E64F55" w:rsidRPr="00F22774" w:rsidRDefault="00E64F55" w:rsidP="00882A45">
      <w:pPr>
        <w:pStyle w:val="2"/>
        <w:numPr>
          <w:ilvl w:val="1"/>
          <w:numId w:val="1"/>
        </w:numPr>
        <w:rPr>
          <w:lang w:val="en-US"/>
        </w:rPr>
      </w:pPr>
      <w:r>
        <w:rPr>
          <w:lang w:val="en-US"/>
        </w:rPr>
        <w:lastRenderedPageBreak/>
        <w:t xml:space="preserve"> Metrics</w:t>
      </w:r>
    </w:p>
    <w:p w14:paraId="1B99BBA1" w14:textId="77777777" w:rsidR="00E64F55" w:rsidRPr="00F22774" w:rsidRDefault="00E64F55" w:rsidP="00E64F55">
      <w:pPr>
        <w:jc w:val="both"/>
        <w:rPr>
          <w:lang w:val="en-US"/>
        </w:rPr>
      </w:pPr>
      <w:r>
        <w:rPr>
          <w:rFonts w:ascii="Times New Roman" w:eastAsia="Times New Roman" w:hAnsi="Times New Roman" w:cs="Times New Roman"/>
          <w:lang w:val="en-US"/>
        </w:rPr>
        <w:t>Errors are reported in watts as mean absolute error and root mean squared error, and additionally as a ratio to the error of a predictor that always returns the training mean. The ratio makes households of very different scale comparable and identifies configurations that are worse than a trivial forecast, which occurs frequently enough in this study to matter.</w:t>
      </w:r>
    </w:p>
    <w:p w14:paraId="73BFC31D" w14:textId="77777777" w:rsidR="00E64F55" w:rsidRPr="00F22774" w:rsidRDefault="00E64F55" w:rsidP="00E64F55">
      <w:pPr>
        <w:jc w:val="both"/>
        <w:rPr>
          <w:lang w:val="en-US"/>
        </w:rPr>
      </w:pPr>
      <w:r>
        <w:rPr>
          <w:rFonts w:ascii="Times New Roman" w:eastAsia="Times New Roman" w:hAnsi="Times New Roman" w:cs="Times New Roman"/>
          <w:lang w:val="en-US"/>
        </w:rPr>
        <w:t xml:space="preserve">For diagnosing the internal state of the </w:t>
      </w:r>
      <w:proofErr w:type="gramStart"/>
      <w:r>
        <w:rPr>
          <w:rFonts w:ascii="Times New Roman" w:eastAsia="Times New Roman" w:hAnsi="Times New Roman" w:cs="Times New Roman"/>
          <w:lang w:val="en-US"/>
        </w:rPr>
        <w:t>model</w:t>
      </w:r>
      <w:proofErr w:type="gramEnd"/>
      <w:r>
        <w:rPr>
          <w:rFonts w:ascii="Times New Roman" w:eastAsia="Times New Roman" w:hAnsi="Times New Roman" w:cs="Times New Roman"/>
          <w:lang w:val="en-US"/>
        </w:rPr>
        <w:t xml:space="preserve"> we also report, for each output, the ratio of its standard deviation to that of the target, its bias, and its correlation with the target. These separate a path that carries no signal from one that carries signal at the wrong scale or level, a distinction that mean absolute error alone does not make.</w:t>
      </w:r>
    </w:p>
    <w:p w14:paraId="1EAD1AA6" w14:textId="77777777" w:rsidR="00E64F55" w:rsidRPr="00F22774" w:rsidRDefault="00E64F55" w:rsidP="00E64F55">
      <w:pPr>
        <w:jc w:val="both"/>
        <w:rPr>
          <w:lang w:val="en-US"/>
        </w:rPr>
      </w:pPr>
      <w:r>
        <w:rPr>
          <w:rFonts w:ascii="Times New Roman" w:eastAsia="Times New Roman" w:hAnsi="Times New Roman" w:cs="Times New Roman"/>
          <w:b/>
          <w:bCs/>
          <w:lang w:val="en-US"/>
        </w:rPr>
        <w:t xml:space="preserve">Threshold of practical significance. </w:t>
      </w:r>
      <w:r>
        <w:rPr>
          <w:rFonts w:ascii="Times New Roman" w:eastAsia="Times New Roman" w:hAnsi="Times New Roman" w:cs="Times New Roman"/>
          <w:lang w:val="en-US"/>
        </w:rPr>
        <w:t>We regard a change in forecast error as practically meaningful when it reaches 2 per cent of the error of the household in question. This threshold is fixed here, before any result is presented, and is applied uniformly; it is the same threshold used in the earlier study from which this work proceeds. Household errors in this study range from about 40 to about 490 W, so the threshold corresponds to roughly 0.8 to 9.8 W depending on the household. Statistical detectability and practical significance are reported separately throughout, and neither is used to argue for the other. The conclusion does not depend on the exact figure: the ablation effect exceeds the threshold on 7 households of 17 at one per cent, on 4 at two per cent and on none at five, the largest being 4.5 per cent, so the reading is unchanged anywhere between two and five per cent and only a threshold of one per cent would make the effect practically meaningful on a substantial minority of households.</w:t>
      </w:r>
    </w:p>
    <w:p w14:paraId="71E40BC6"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Why two per cent. The figure is a judgement about </w:t>
      </w:r>
      <w:r w:rsidRPr="00DD392A">
        <w:rPr>
          <w:rFonts w:ascii="Times New Roman" w:hAnsi="Times New Roman" w:cs="Times New Roman"/>
          <w:lang w:val="en-US"/>
        </w:rPr>
        <w:t xml:space="preserve">what a household-level forecast is worth, and three considerations fix it. First, the economic estimates usually quoted in this literature are system-level and do not transfer: a reduction of one percentage point of MAPE lowers variable generation cost by </w:t>
      </w:r>
      <w:r w:rsidRPr="00DD392A">
        <w:rPr>
          <w:rFonts w:ascii="Times New Roman" w:hAnsi="Times New Roman" w:cs="Times New Roman"/>
          <w:lang w:val="en-US"/>
        </w:rPr>
        <w:t xml:space="preserve">0.1 to 0.3 per cent for a dispatchable system (Hobbs et al., 1999), and one percentage point of error costs </w:t>
      </w:r>
      <w:proofErr w:type="gramStart"/>
      <w:r w:rsidRPr="00DD392A">
        <w:rPr>
          <w:rFonts w:ascii="Times New Roman" w:hAnsi="Times New Roman" w:cs="Times New Roman"/>
          <w:lang w:val="en-US"/>
        </w:rPr>
        <w:t>a 3.1 GW system some 590 dollars</w:t>
      </w:r>
      <w:proofErr w:type="gramEnd"/>
      <w:r w:rsidRPr="00DD392A">
        <w:rPr>
          <w:rFonts w:ascii="Times New Roman" w:hAnsi="Times New Roman" w:cs="Times New Roman"/>
          <w:lang w:val="en-US"/>
        </w:rPr>
        <w:t xml:space="preserve"> a day (Ortega-Vazquez and </w:t>
      </w:r>
      <w:proofErr w:type="spellStart"/>
      <w:r w:rsidRPr="00DD392A">
        <w:rPr>
          <w:rFonts w:ascii="Times New Roman" w:hAnsi="Times New Roman" w:cs="Times New Roman"/>
          <w:lang w:val="en-US"/>
        </w:rPr>
        <w:t>Kirschen</w:t>
      </w:r>
      <w:proofErr w:type="spellEnd"/>
      <w:r w:rsidRPr="00DD392A">
        <w:rPr>
          <w:rFonts w:ascii="Times New Roman" w:hAnsi="Times New Roman" w:cs="Times New Roman"/>
          <w:lang w:val="en-US"/>
        </w:rPr>
        <w:t>, 2006), but a single household is not dispatched and captures none of this. Seco</w:t>
      </w:r>
      <w:r w:rsidRPr="00DD392A">
        <w:rPr>
          <w:rFonts w:ascii="Times New Roman" w:hAnsi="Times New Roman" w:cs="Times New Roman"/>
          <w:lang w:val="en-US"/>
        </w:rPr>
        <w:t xml:space="preserve">nd, at the level at which a per-household forecast is actually consumed - a home or community energy management system - the documented stake is small. </w:t>
      </w:r>
      <w:proofErr w:type="spellStart"/>
      <w:r w:rsidRPr="00DD392A">
        <w:rPr>
          <w:rFonts w:ascii="Times New Roman" w:hAnsi="Times New Roman" w:cs="Times New Roman"/>
          <w:lang w:val="en-US"/>
        </w:rPr>
        <w:t>Moosbrugger</w:t>
      </w:r>
      <w:proofErr w:type="spellEnd"/>
      <w:r w:rsidRPr="00DD392A">
        <w:rPr>
          <w:rFonts w:ascii="Times New Roman" w:hAnsi="Times New Roman" w:cs="Times New Roman"/>
          <w:lang w:val="en-US"/>
        </w:rPr>
        <w:t xml:space="preserve"> et al. (2025) report that 1.1 percentage points of normalized MAE are worth about 600 euro a</w:t>
      </w:r>
      <w:r w:rsidRPr="00DD392A">
        <w:rPr>
          <w:rFonts w:ascii="Times New Roman" w:hAnsi="Times New Roman" w:cs="Times New Roman"/>
          <w:lang w:val="en-US"/>
        </w:rPr>
        <w:t xml:space="preserve"> year to an energy community of fifty households with battery storage, of the order of ten euro per household per year per percentage point, so a two per cent band corresponds to roughly twenty euro per household per year, and only where storage and a powe</w:t>
      </w:r>
      <w:r w:rsidRPr="00DD392A">
        <w:rPr>
          <w:rFonts w:ascii="Times New Roman" w:hAnsi="Times New Roman" w:cs="Times New Roman"/>
          <w:lang w:val="en-US"/>
        </w:rPr>
        <w:t xml:space="preserve">r-based tariff are both present. </w:t>
      </w:r>
      <w:proofErr w:type="spellStart"/>
      <w:r w:rsidRPr="00DD392A">
        <w:rPr>
          <w:rFonts w:ascii="Times New Roman" w:hAnsi="Times New Roman" w:cs="Times New Roman"/>
          <w:lang w:val="en-US"/>
        </w:rPr>
        <w:t>Koskela</w:t>
      </w:r>
      <w:proofErr w:type="spellEnd"/>
      <w:r w:rsidRPr="00DD392A">
        <w:rPr>
          <w:rFonts w:ascii="Times New Roman" w:hAnsi="Times New Roman" w:cs="Times New Roman"/>
          <w:lang w:val="en-US"/>
        </w:rPr>
        <w:t xml:space="preserve"> et al. (2020) find that under a conventional energy-only tariff the dependence of savings on forecast error is marginal, and that knowing when a household's peaks occur matters more than the value of any error crite</w:t>
      </w:r>
      <w:r w:rsidRPr="00DD392A">
        <w:rPr>
          <w:rFonts w:ascii="Times New Roman" w:hAnsi="Times New Roman" w:cs="Times New Roman"/>
          <w:lang w:val="en-US"/>
        </w:rPr>
        <w:t>rion. Third, a threshold must be verifiable: with training variance propagated, detecting a mean effect of two per cent of household error at eighty per cent power requires between 3 and 11 households in our sample, and one per cent between 11 and 41 (Sect</w:t>
      </w:r>
      <w:r w:rsidRPr="00DD392A">
        <w:rPr>
          <w:rFonts w:ascii="Times New Roman" w:hAnsi="Times New Roman" w:cs="Times New Roman"/>
          <w:lang w:val="en-US"/>
        </w:rPr>
        <w:t>ion 5.2.4). A threshold below two per cent could not be tested at any sample size this literature attains, so setting one would substitute an undetectable criterion for a decidable one.</w:t>
      </w:r>
    </w:p>
    <w:p w14:paraId="54A490FB" w14:textId="77777777" w:rsidR="007F05BC" w:rsidRPr="00DD392A" w:rsidRDefault="00DD392A">
      <w:pPr>
        <w:rPr>
          <w:lang w:val="en-US"/>
        </w:rPr>
      </w:pPr>
      <w:r w:rsidRPr="00DD392A">
        <w:rPr>
          <w:lang w:val="en-US"/>
        </w:rPr>
        <w:t>We do not claim that two per cent marks an economic discontinuity, and</w:t>
      </w:r>
      <w:r w:rsidRPr="00DD392A">
        <w:rPr>
          <w:lang w:val="en-US"/>
        </w:rPr>
        <w:t xml:space="preserve"> none of the three considerations alone would fix it; taken together they place the threshold within a range in which the reading of the results is stable, which is what the sensitivity analysis above establishes directly.</w:t>
      </w:r>
    </w:p>
    <w:p w14:paraId="485AD64F" w14:textId="77777777" w:rsidR="00E64F55" w:rsidRPr="00F22774" w:rsidRDefault="00E64F55" w:rsidP="00882A45">
      <w:pPr>
        <w:pStyle w:val="2"/>
        <w:numPr>
          <w:ilvl w:val="1"/>
          <w:numId w:val="1"/>
        </w:numPr>
        <w:rPr>
          <w:lang w:val="en-US"/>
        </w:rPr>
      </w:pPr>
      <w:r>
        <w:rPr>
          <w:lang w:val="en-US"/>
        </w:rPr>
        <w:t xml:space="preserve"> Statistical procedures</w:t>
      </w:r>
    </w:p>
    <w:p w14:paraId="5FDC6878" w14:textId="77777777" w:rsidR="00E64F55" w:rsidRPr="00F22774" w:rsidRDefault="00E64F55" w:rsidP="00E64F55">
      <w:pPr>
        <w:jc w:val="both"/>
        <w:rPr>
          <w:lang w:val="en-US"/>
        </w:rPr>
      </w:pPr>
      <w:r>
        <w:rPr>
          <w:rFonts w:ascii="Times New Roman" w:eastAsia="Times New Roman" w:hAnsi="Times New Roman" w:cs="Times New Roman"/>
          <w:lang w:val="en-US"/>
        </w:rPr>
        <w:t>The symbols used in this section and in Section 5 are collected in Table A1 of Appendix A. Uncertainty within a household is estimated from two sources. Variation across test windows is estimated by a moving block bootstrap with a block length of three windows, which allows for dependence between forecasts on adjacent days. Variation across training seeds is estimated from the same five runs. The two components are obtained from a single analysis-of-variance decomposition and are therefore orthogonal by construction; the identity is verified numerically for every household. Confidence intervals for a household effect use the sum of the two components.</w:t>
      </w:r>
    </w:p>
    <w:p w14:paraId="25A0A048" w14:textId="77777777" w:rsidR="00E64F55" w:rsidRPr="00F22774" w:rsidRDefault="00E64F55" w:rsidP="00E64F55">
      <w:pPr>
        <w:jc w:val="both"/>
        <w:rPr>
          <w:lang w:val="en-US"/>
        </w:rPr>
      </w:pPr>
      <w:r>
        <w:rPr>
          <w:rFonts w:ascii="Times New Roman" w:eastAsia="Times New Roman" w:hAnsi="Times New Roman" w:cs="Times New Roman"/>
          <w:lang w:val="en-US"/>
        </w:rPr>
        <w:lastRenderedPageBreak/>
        <w:t>Intervals for the seed share of variance use the exact result available for balanced one-way random effects, in which the ratio of mean squares divided by one plus the number of windows times the variance ratio follows an F distribution. A nonparametric bootstrap on this quantity is not usable at five seeds, for reasons set out in Section 5.2.2, and is reported only for comparison.</w:t>
      </w:r>
    </w:p>
    <w:p w14:paraId="1E31B816" w14:textId="77777777" w:rsidR="00E64F55" w:rsidRPr="00F22774" w:rsidRDefault="00E64F55" w:rsidP="00E64F55">
      <w:pPr>
        <w:jc w:val="both"/>
        <w:rPr>
          <w:lang w:val="en-US"/>
        </w:rPr>
      </w:pPr>
      <w:r>
        <w:t>Units are pooled by random-effects meta-analysis with between-unit variance estimated by restricted maximum likelihood (REML). The primary interval for the pooled mean uses the modified Hartung–Knapp adjustment and a t quantile with k−1 degrees of freedom; normal-quantile random-effects intervals are retained only as a sensitivity analysis. We report τ, I², Cochran’s Q and a prediction interval for a new unit. A dataset-clustered/three-level sensitivity analysis checks the dependence induced by multiple units from the same collection. Exact sign tests are used when direction rather than magnitude is at issue, and Wilcoxon signed-rank tests compare paired unit-level quantities. Sample-size requirements are evaluated by simulation at 80% power and a two-sided level of 0.05 using the estimated variance components.</w:t>
      </w:r>
    </w:p>
    <w:p w14:paraId="746FD3DE" w14:textId="77777777" w:rsidR="00E64F55" w:rsidRPr="00F22774" w:rsidRDefault="00B611D3" w:rsidP="00882A45">
      <w:pPr>
        <w:pStyle w:val="3"/>
        <w:ind w:firstLine="426"/>
        <w:rPr>
          <w:lang w:val="en-US"/>
        </w:rPr>
      </w:pPr>
      <w:r>
        <w:rPr>
          <w:lang w:val="en-US"/>
        </w:rPr>
        <w:t>4.5.1. Pre-specified and post-hoc analyses</w:t>
      </w:r>
    </w:p>
    <w:p w14:paraId="011FEE7A" w14:textId="77777777" w:rsidR="00E64F55" w:rsidRPr="00F22774" w:rsidRDefault="00E64F55" w:rsidP="00E64F55">
      <w:pPr>
        <w:jc w:val="both"/>
        <w:rPr>
          <w:lang w:val="en-US"/>
        </w:rPr>
      </w:pPr>
      <w:r>
        <w:t>The preregistered ECL replication is separated from the exploratory analyses of the original household study. Within the OpenML-CC18 extension, the task set, exclusions, seeds, primary balanced-error metric, secondary cross-entropy metric and success criterion were registered before inspection of the final ablation outcomes. The restrictions to tasks with at least 150 or 250 test observations and the prediction-flip diagnostic are post-hoc sensitivity analyses. This classification is reported explicitly rather than presenting the complete project as planned from the outset.</w:t>
      </w:r>
    </w:p>
    <w:p w14:paraId="410C777E" w14:textId="77777777" w:rsidR="00E64F55" w:rsidRPr="00F22774" w:rsidRDefault="00E64F55" w:rsidP="00882A45">
      <w:pPr>
        <w:pStyle w:val="2"/>
        <w:numPr>
          <w:ilvl w:val="1"/>
          <w:numId w:val="1"/>
        </w:numPr>
        <w:rPr>
          <w:lang w:val="en-US"/>
        </w:rPr>
      </w:pPr>
      <w:r>
        <w:rPr>
          <w:lang w:val="en-US"/>
        </w:rPr>
        <w:t xml:space="preserve"> Reproducibility</w:t>
      </w:r>
    </w:p>
    <w:p w14:paraId="1650E6F5" w14:textId="77777777" w:rsidR="00E64F55" w:rsidRPr="00F22774" w:rsidRDefault="00E64F55" w:rsidP="00E64F55">
      <w:pPr>
        <w:jc w:val="both"/>
        <w:rPr>
          <w:lang w:val="en-US"/>
        </w:rPr>
      </w:pPr>
      <w:r>
        <w:t>Code, configurations, manifests and compact result tables are maintained in the public reproducibility repository https://github.com/tohmetovakylbek-creator/training-randomness-ablation-validity. The 17 OpenML-CC18 per-task NPZ artifacts are included with a recorded checksum; larger energy-domain checkpoints will be linked through a versioned archival release. Every reported table and figure is generated by a released script; the OpenML summary was independently reproduced from all 17 per-task artifacts without numerical differences above 10⁻¹². Parts of the analysis code were drafted with generative-AI assistance, then reviewed, tested and verified by the authors.</w:t>
      </w:r>
    </w:p>
    <w:p>
      <w:pPr>
        <w:pStyle w:val="2"/>
      </w:pPr>
      <w:r>
        <w:t>Non-energy feature-identity benchmark</w:t>
      </w:r>
    </w:p>
    <w:p>
      <w:pPr/>
      <w:r>
        <w:t>To assess whether the identity question extends beyond energy forecasting, we selected 17 classification tasks from OpenML-CC18 (suite 99). Energy, image-derived, anonymous-feature, windowed-sensor and near-duplicate datasets were excluded because they either overlap the primary domain or do not admit a meaningful feature-identity intervention. The task list and exclusions were frozen before the final outcomes were inspected. Each task used the official OpenML repeat-0, fold-0, sample-0 split; a fixed stratified 10% validation subset was carved from the training fold, and all preprocessing was fitted on the remaining training observations only (Vanschoren et al., 2014; Bischl et al., 2021).</w:t>
      </w:r>
    </w:p>
    <w:p>
      <w:pPr/>
      <w:r>
        <w:t>We used a compact FT-Transformer (Gorishniy et al., 2021). The intervention removes the per-feature bias b_j from the tokenizer T_j(x_j)=b_j+f_j(x_j), leaving the value-dependent transformation f_j and the Transformer encoder unchanged. Five paired seeds (42, 7, 13, 99 and 2025) and two configurations yield 170 fits. Models use class-weighted cross-entropy and early stopping on validation balanced accuracy. Balanced error in percentage points is primary; per-example cross-entropy is secondary because it responds continuously to probability changes that do not alter the predicted class.</w:t>
      </w:r>
    </w:p>
    <w:p>
      <w:pPr/>
      <w:r>
        <w:t>For each task, training-seed and finite-test-sample components are estimated from paired per-example effects. OpenML-CC18 excludes time series, so test examples are treated as exchangeable and an ordinary paired bootstrap is used. Per-task effect intervals use t₄. Task effects are pooled by REML with modified Hartung–Knapp inference. Restrictions to n_test≥150 and n_test≥250 assess the smaller-than-anticipated official test folds.</w:t>
      </w:r>
    </w:p>
    <w:p w14:paraId="38B8FD33" w14:textId="77777777" w:rsidR="000E7118" w:rsidRPr="00F22774" w:rsidRDefault="000E7118" w:rsidP="000E7118">
      <w:pPr>
        <w:pStyle w:val="1"/>
        <w:numPr>
          <w:ilvl w:val="0"/>
          <w:numId w:val="1"/>
        </w:numPr>
        <w:spacing w:before="400" w:after="200"/>
        <w:jc w:val="both"/>
        <w:rPr>
          <w:lang w:val="en-US"/>
        </w:rPr>
      </w:pPr>
      <w:r>
        <w:rPr>
          <w:lang w:val="en-US"/>
        </w:rPr>
        <w:t>Results and discussion</w:t>
      </w:r>
    </w:p>
    <w:p w14:paraId="2BD67036" w14:textId="77777777" w:rsidR="000E7118" w:rsidRPr="00F22774" w:rsidRDefault="000E7118" w:rsidP="00B72CE3">
      <w:pPr>
        <w:pStyle w:val="2"/>
        <w:numPr>
          <w:ilvl w:val="1"/>
          <w:numId w:val="1"/>
        </w:numPr>
        <w:rPr>
          <w:lang w:val="en-US"/>
        </w:rPr>
      </w:pPr>
      <w:r>
        <w:rPr>
          <w:lang w:val="en-US"/>
        </w:rPr>
        <w:t xml:space="preserve"> Result 1: Adaptive fusion masks the component state</w:t>
      </w:r>
    </w:p>
    <w:p w14:paraId="5C9B838F" w14:textId="77777777" w:rsidR="000E7118" w:rsidRPr="00F22774" w:rsidRDefault="000E7118" w:rsidP="000E7118">
      <w:pPr>
        <w:jc w:val="both"/>
        <w:rPr>
          <w:lang w:val="en-US"/>
        </w:rPr>
      </w:pPr>
      <w:r>
        <w:rPr>
          <w:rFonts w:ascii="Times New Roman" w:eastAsia="Times New Roman" w:hAnsi="Times New Roman" w:cs="Times New Roman"/>
          <w:lang w:val="en-US"/>
        </w:rPr>
        <w:t>The architecture forms its forecast by combining the decomposition path and the direct path through the learned gate of Eq. (1). Every component under study, including the mode-identity mechanism, acts inside the first path. An ablation evaluated on the fused output y alone therefore observes the component only through the gate.</w:t>
      </w:r>
    </w:p>
    <w:p w14:paraId="5512EAC7" w14:textId="77777777" w:rsidR="000E7118" w:rsidRPr="00F22774" w:rsidRDefault="000E7118" w:rsidP="000E7118">
      <w:pPr>
        <w:jc w:val="both"/>
        <w:rPr>
          <w:lang w:val="en-US"/>
        </w:rPr>
      </w:pPr>
      <w:r>
        <w:rPr>
          <w:rFonts w:ascii="Times New Roman" w:eastAsia="Times New Roman" w:hAnsi="Times New Roman" w:cs="Times New Roman"/>
          <w:lang w:val="en-US"/>
        </w:rPr>
        <w:t>We report all three quantities separately, and we do so under two settings of the auxiliary objective: the original one, in which the sum of the per-mode forecasts is driven towards the target, and a corrected one, in which each mode is required to predict the target individually. The comparison of these two settings is the cleanest demonstration of the effect described in this section, because it changes the internal state of the model without changing the task, the data or the training budget.</w:t>
      </w:r>
    </w:p>
    <w:p w14:paraId="51C5A85D" w14:textId="77777777" w:rsidR="000E7118" w:rsidRPr="00F22774" w:rsidRDefault="000E7118" w:rsidP="00B611D3">
      <w:pPr>
        <w:pStyle w:val="3"/>
        <w:ind w:firstLine="426"/>
        <w:rPr>
          <w:lang w:val="en-US"/>
        </w:rPr>
      </w:pPr>
      <w:r>
        <w:rPr>
          <w:lang w:val="en-US"/>
        </w:rPr>
        <w:t xml:space="preserve"> 5.1.1. The internal state of the model</w:t>
      </w:r>
    </w:p>
    <w:p w14:paraId="26D8C9FC" w14:textId="77777777" w:rsidR="000E7118" w:rsidRPr="00F22774" w:rsidRDefault="000E7118" w:rsidP="000E7118">
      <w:pPr>
        <w:jc w:val="both"/>
        <w:rPr>
          <w:rFonts w:ascii="Times New Roman" w:eastAsia="Times New Roman" w:hAnsi="Times New Roman" w:cs="Times New Roman"/>
          <w:lang w:val="en-US"/>
        </w:rPr>
      </w:pPr>
      <w:r>
        <w:rPr>
          <w:rFonts w:ascii="Times New Roman" w:eastAsia="Times New Roman" w:hAnsi="Times New Roman" w:cs="Times New Roman"/>
          <w:lang w:val="en-US"/>
        </w:rPr>
        <w:t>Table 2 characterizes the three outputs against a trivial baseline that predicts the training mean, pooled over all 17 households.</w:t>
      </w:r>
    </w:p>
    <w:p w14:paraId="65C985FC" w14:textId="77777777" w:rsidR="00D5053E" w:rsidRPr="00F22774" w:rsidRDefault="00D5053E" w:rsidP="000E7118">
      <w:pPr>
        <w:jc w:val="both"/>
        <w:rPr>
          <w:lang w:val="en-US"/>
        </w:rPr>
      </w:pPr>
      <w:r>
        <w:rPr>
          <w:rFonts w:ascii="Times New Roman" w:eastAsia="Times New Roman" w:hAnsi="Times New Roman" w:cs="Times New Roman"/>
          <w:lang w:val="en-US"/>
        </w:rPr>
        <w:t xml:space="preserve">Table 2. State of the three model outputs under two </w:t>
      </w:r>
      <w:proofErr w:type="gramStart"/>
      <w:r>
        <w:rPr>
          <w:rFonts w:ascii="Times New Roman" w:eastAsia="Times New Roman" w:hAnsi="Times New Roman" w:cs="Times New Roman"/>
          <w:lang w:val="en-US"/>
        </w:rPr>
        <w:t>auxiliary</w:t>
      </w:r>
      <w:proofErr w:type="gramEnd"/>
      <w:r>
        <w:rPr>
          <w:rFonts w:ascii="Times New Roman" w:eastAsia="Times New Roman" w:hAnsi="Times New Roman" w:cs="Times New Roman"/>
          <w:lang w:val="en-US"/>
        </w:rPr>
        <w:t>‑objective settings, pooled over 17 households. Reference is a constant‑mean predictor. Under the original objective neither path works individually, while their gated combination does; correction repairs the decomposition path and compensatory bias of the direct path, without changing fused‑forecast error.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3"/>
        <w:gridCol w:w="2336"/>
        <w:gridCol w:w="2336"/>
      </w:tblGrid>
      <w:tr w:rsidR="000E7118" w:rsidRPr="00F22774" w14:paraId="500E9D7D" w14:textId="77777777" w:rsidTr="006F4216">
        <w:trPr>
          <w:tblHeader w:val="true"/>
        </w:trPr>
        <w:tc>
          <w:tcPr>
            <w:tcW w:w="4673" w:type="dxa"/>
          </w:tcPr>
          <w:p w14:paraId="7F2612A6" w14:textId="77777777" w:rsidR="000E7118" w:rsidRPr="00F22774" w:rsidRDefault="000E7118" w:rsidP="00AE3E64">
            <w:pPr>
              <w:spacing w:before="40" w:after="40"/>
            </w:pPr>
            <w:r>
              <w:rPr>
                <w:rFonts w:ascii="Times New Roman" w:eastAsia="Times New Roman" w:hAnsi="Times New Roman" w:cs="Times New Roman"/>
                <w:b/>
                <w:bCs/>
                <w:sz w:val="20"/>
                <w:szCs w:val="20"/>
              </w:rPr>
              <w:lastRenderedPageBreak/>
              <w:t>Quantity (17 households)</w:t>
            </w:r>
          </w:p>
        </w:tc>
        <w:tc>
          <w:tcPr>
            <w:tcW w:w="2336" w:type="dxa"/>
          </w:tcPr>
          <w:p w14:paraId="72A65F0A" w14:textId="77777777" w:rsidR="000E7118" w:rsidRPr="00F22774" w:rsidRDefault="000E7118" w:rsidP="00AE3E64">
            <w:pPr>
              <w:spacing w:before="40" w:after="40"/>
              <w:jc w:val="center"/>
            </w:pPr>
            <w:r>
              <w:rPr>
                <w:rFonts w:ascii="Times New Roman" w:eastAsia="Times New Roman" w:hAnsi="Times New Roman" w:cs="Times New Roman"/>
                <w:b/>
                <w:bCs/>
                <w:sz w:val="20"/>
                <w:szCs w:val="20"/>
              </w:rPr>
              <w:t>Original objective</w:t>
            </w:r>
          </w:p>
        </w:tc>
        <w:tc>
          <w:tcPr>
            <w:tcW w:w="2336" w:type="dxa"/>
          </w:tcPr>
          <w:p w14:paraId="739902D5" w14:textId="77777777" w:rsidR="000E7118" w:rsidRPr="00F22774" w:rsidRDefault="000E7118" w:rsidP="00AE3E64">
            <w:pPr>
              <w:spacing w:before="40" w:after="40"/>
              <w:jc w:val="center"/>
            </w:pPr>
            <w:r>
              <w:rPr>
                <w:rFonts w:ascii="Times New Roman" w:eastAsia="Times New Roman" w:hAnsi="Times New Roman" w:cs="Times New Roman"/>
                <w:b/>
                <w:bCs/>
                <w:sz w:val="20"/>
                <w:szCs w:val="20"/>
              </w:rPr>
              <w:t>Corrected objective</w:t>
            </w:r>
          </w:p>
        </w:tc>
      </w:tr>
      <w:tr w:rsidR="000E7118" w:rsidRPr="00F22774" w14:paraId="0D79E4C6" w14:textId="77777777" w:rsidTr="006F4216">
        <w:tc>
          <w:tcPr>
            <w:tcW w:w="4673" w:type="dxa"/>
          </w:tcPr>
          <w:p w14:paraId="5BBCA4D7"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Decomposition path worse than constant</w:t>
            </w:r>
          </w:p>
        </w:tc>
        <w:tc>
          <w:tcPr>
            <w:tcW w:w="2336" w:type="dxa"/>
          </w:tcPr>
          <w:p w14:paraId="6F0CC38A" w14:textId="77777777" w:rsidR="000E7118" w:rsidRPr="00F22774" w:rsidRDefault="000E7118" w:rsidP="00AE3E64">
            <w:pPr>
              <w:spacing w:before="40" w:after="40"/>
              <w:jc w:val="center"/>
            </w:pPr>
            <w:r>
              <w:rPr>
                <w:rFonts w:ascii="Times New Roman" w:eastAsia="Times New Roman" w:hAnsi="Times New Roman" w:cs="Times New Roman"/>
                <w:sz w:val="20"/>
                <w:szCs w:val="20"/>
              </w:rPr>
              <w:t>11 of 17</w:t>
            </w:r>
          </w:p>
        </w:tc>
        <w:tc>
          <w:tcPr>
            <w:tcW w:w="2336" w:type="dxa"/>
          </w:tcPr>
          <w:p w14:paraId="57B67380" w14:textId="77777777" w:rsidR="000E7118" w:rsidRPr="00F22774" w:rsidRDefault="000E7118" w:rsidP="00AE3E64">
            <w:pPr>
              <w:spacing w:before="40" w:after="40"/>
              <w:jc w:val="center"/>
            </w:pPr>
            <w:r>
              <w:rPr>
                <w:rFonts w:ascii="Times New Roman" w:eastAsia="Times New Roman" w:hAnsi="Times New Roman" w:cs="Times New Roman"/>
                <w:sz w:val="20"/>
                <w:szCs w:val="20"/>
              </w:rPr>
              <w:t>1 of 17</w:t>
            </w:r>
          </w:p>
        </w:tc>
      </w:tr>
      <w:tr w:rsidR="000E7118" w:rsidRPr="00F22774" w14:paraId="49433168" w14:textId="77777777" w:rsidTr="006F4216">
        <w:tc>
          <w:tcPr>
            <w:tcW w:w="4673" w:type="dxa"/>
          </w:tcPr>
          <w:p w14:paraId="184A294B"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Skip path worse than constant</w:t>
            </w:r>
          </w:p>
        </w:tc>
        <w:tc>
          <w:tcPr>
            <w:tcW w:w="2336" w:type="dxa"/>
          </w:tcPr>
          <w:p w14:paraId="701EDFE9" w14:textId="77777777" w:rsidR="000E7118" w:rsidRPr="00F22774" w:rsidRDefault="000E7118" w:rsidP="00AE3E64">
            <w:pPr>
              <w:spacing w:before="40" w:after="40"/>
              <w:jc w:val="center"/>
            </w:pPr>
            <w:r>
              <w:rPr>
                <w:rFonts w:ascii="Times New Roman" w:eastAsia="Times New Roman" w:hAnsi="Times New Roman" w:cs="Times New Roman"/>
                <w:sz w:val="20"/>
                <w:szCs w:val="20"/>
              </w:rPr>
              <w:t>16 of 17</w:t>
            </w:r>
          </w:p>
        </w:tc>
        <w:tc>
          <w:tcPr>
            <w:tcW w:w="2336" w:type="dxa"/>
          </w:tcPr>
          <w:p w14:paraId="6B80DA4A" w14:textId="77777777" w:rsidR="000E7118" w:rsidRPr="00F22774" w:rsidRDefault="000E7118" w:rsidP="00AE3E64">
            <w:pPr>
              <w:spacing w:before="40" w:after="40"/>
              <w:jc w:val="center"/>
            </w:pPr>
            <w:r>
              <w:rPr>
                <w:rFonts w:ascii="Times New Roman" w:eastAsia="Times New Roman" w:hAnsi="Times New Roman" w:cs="Times New Roman"/>
                <w:sz w:val="20"/>
                <w:szCs w:val="20"/>
              </w:rPr>
              <w:t>9 of 17</w:t>
            </w:r>
          </w:p>
        </w:tc>
      </w:tr>
      <w:tr w:rsidR="000E7118" w:rsidRPr="00F22774" w14:paraId="152D4B43" w14:textId="77777777" w:rsidTr="006F4216">
        <w:tc>
          <w:tcPr>
            <w:tcW w:w="4673" w:type="dxa"/>
          </w:tcPr>
          <w:p w14:paraId="31CB4B9B"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Fused forecast worse than constant</w:t>
            </w:r>
          </w:p>
        </w:tc>
        <w:tc>
          <w:tcPr>
            <w:tcW w:w="2336" w:type="dxa"/>
          </w:tcPr>
          <w:p w14:paraId="5F205791" w14:textId="77777777" w:rsidR="000E7118" w:rsidRPr="00F22774" w:rsidRDefault="000E7118" w:rsidP="00AE3E64">
            <w:pPr>
              <w:spacing w:before="40" w:after="40"/>
              <w:jc w:val="center"/>
            </w:pPr>
            <w:r>
              <w:rPr>
                <w:rFonts w:ascii="Times New Roman" w:eastAsia="Times New Roman" w:hAnsi="Times New Roman" w:cs="Times New Roman"/>
                <w:sz w:val="20"/>
                <w:szCs w:val="20"/>
              </w:rPr>
              <w:t>0 of 17</w:t>
            </w:r>
          </w:p>
        </w:tc>
        <w:tc>
          <w:tcPr>
            <w:tcW w:w="2336" w:type="dxa"/>
          </w:tcPr>
          <w:p w14:paraId="76CC42D8" w14:textId="77777777" w:rsidR="000E7118" w:rsidRPr="00F22774" w:rsidRDefault="000E7118" w:rsidP="00AE3E64">
            <w:pPr>
              <w:spacing w:before="40" w:after="40"/>
              <w:jc w:val="center"/>
            </w:pPr>
            <w:r>
              <w:rPr>
                <w:rFonts w:ascii="Times New Roman" w:eastAsia="Times New Roman" w:hAnsi="Times New Roman" w:cs="Times New Roman"/>
                <w:sz w:val="20"/>
                <w:szCs w:val="20"/>
              </w:rPr>
              <w:t>1 of 17</w:t>
            </w:r>
          </w:p>
        </w:tc>
      </w:tr>
      <w:tr w:rsidR="000E7118" w:rsidRPr="00F22774" w14:paraId="12105013" w14:textId="77777777" w:rsidTr="006F4216">
        <w:tc>
          <w:tcPr>
            <w:tcW w:w="4673" w:type="dxa"/>
          </w:tcPr>
          <w:p w14:paraId="05AD074F"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Median sd ratio of decomposition path</w:t>
            </w:r>
          </w:p>
        </w:tc>
        <w:tc>
          <w:tcPr>
            <w:tcW w:w="2336" w:type="dxa"/>
          </w:tcPr>
          <w:p w14:paraId="59FE1D7E" w14:textId="77777777" w:rsidR="000E7118" w:rsidRPr="00F22774" w:rsidRDefault="000E7118" w:rsidP="00AE3E64">
            <w:pPr>
              <w:spacing w:before="40" w:after="40"/>
              <w:jc w:val="center"/>
            </w:pPr>
            <w:r>
              <w:rPr>
                <w:rFonts w:ascii="Times New Roman" w:eastAsia="Times New Roman" w:hAnsi="Times New Roman" w:cs="Times New Roman"/>
                <w:sz w:val="20"/>
                <w:szCs w:val="20"/>
              </w:rPr>
              <w:t>0.086</w:t>
            </w:r>
          </w:p>
        </w:tc>
        <w:tc>
          <w:tcPr>
            <w:tcW w:w="2336" w:type="dxa"/>
          </w:tcPr>
          <w:p w14:paraId="04BE42AB" w14:textId="77777777" w:rsidR="000E7118" w:rsidRPr="00F22774" w:rsidRDefault="000E7118" w:rsidP="00AE3E64">
            <w:pPr>
              <w:spacing w:before="40" w:after="40"/>
              <w:jc w:val="center"/>
            </w:pPr>
            <w:r>
              <w:rPr>
                <w:rFonts w:ascii="Times New Roman" w:eastAsia="Times New Roman" w:hAnsi="Times New Roman" w:cs="Times New Roman"/>
                <w:sz w:val="20"/>
                <w:szCs w:val="20"/>
              </w:rPr>
              <w:t>0.313</w:t>
            </w:r>
          </w:p>
        </w:tc>
      </w:tr>
      <w:tr w:rsidR="000E7118" w:rsidRPr="00F22774" w14:paraId="2137FAC9" w14:textId="77777777" w:rsidTr="006F4216">
        <w:tc>
          <w:tcPr>
            <w:tcW w:w="4673" w:type="dxa"/>
          </w:tcPr>
          <w:p w14:paraId="16DC93FD"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Median absolute bias of skip path, W</w:t>
            </w:r>
          </w:p>
        </w:tc>
        <w:tc>
          <w:tcPr>
            <w:tcW w:w="2336" w:type="dxa"/>
          </w:tcPr>
          <w:p w14:paraId="27261565" w14:textId="77777777" w:rsidR="000E7118" w:rsidRPr="00F22774" w:rsidRDefault="000E7118" w:rsidP="00AE3E64">
            <w:pPr>
              <w:spacing w:before="40" w:after="40"/>
              <w:jc w:val="center"/>
            </w:pPr>
            <w:r>
              <w:rPr>
                <w:rFonts w:ascii="Times New Roman" w:eastAsia="Times New Roman" w:hAnsi="Times New Roman" w:cs="Times New Roman"/>
                <w:sz w:val="20"/>
                <w:szCs w:val="20"/>
              </w:rPr>
              <w:t>461</w:t>
            </w:r>
          </w:p>
        </w:tc>
        <w:tc>
          <w:tcPr>
            <w:tcW w:w="2336" w:type="dxa"/>
          </w:tcPr>
          <w:p w14:paraId="7B0F9E47" w14:textId="77777777" w:rsidR="000E7118" w:rsidRPr="00F22774" w:rsidRDefault="000E7118" w:rsidP="00AE3E64">
            <w:pPr>
              <w:spacing w:before="40" w:after="40"/>
              <w:jc w:val="center"/>
            </w:pPr>
            <w:r>
              <w:rPr>
                <w:rFonts w:ascii="Times New Roman" w:eastAsia="Times New Roman" w:hAnsi="Times New Roman" w:cs="Times New Roman"/>
                <w:sz w:val="20"/>
                <w:szCs w:val="20"/>
              </w:rPr>
              <w:t>29</w:t>
            </w:r>
          </w:p>
        </w:tc>
      </w:tr>
      <w:tr w:rsidR="000E7118" w:rsidRPr="00F22774" w14:paraId="30F508B8" w14:textId="77777777" w:rsidTr="006F4216">
        <w:tc>
          <w:tcPr>
            <w:tcW w:w="4673" w:type="dxa"/>
          </w:tcPr>
          <w:p w14:paraId="7B9CC78F"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Median error ratio of fused forecast</w:t>
            </w:r>
          </w:p>
        </w:tc>
        <w:tc>
          <w:tcPr>
            <w:tcW w:w="2336" w:type="dxa"/>
          </w:tcPr>
          <w:p w14:paraId="48A0B149" w14:textId="77777777" w:rsidR="000E7118" w:rsidRPr="00F22774" w:rsidRDefault="000E7118" w:rsidP="00AE3E64">
            <w:pPr>
              <w:spacing w:before="40" w:after="40"/>
              <w:jc w:val="center"/>
            </w:pPr>
            <w:r>
              <w:rPr>
                <w:rFonts w:ascii="Times New Roman" w:eastAsia="Times New Roman" w:hAnsi="Times New Roman" w:cs="Times New Roman"/>
                <w:sz w:val="20"/>
                <w:szCs w:val="20"/>
              </w:rPr>
              <w:t>0.726</w:t>
            </w:r>
          </w:p>
        </w:tc>
        <w:tc>
          <w:tcPr>
            <w:tcW w:w="2336" w:type="dxa"/>
          </w:tcPr>
          <w:p w14:paraId="57BE0C91" w14:textId="77777777" w:rsidR="000E7118" w:rsidRPr="00F22774" w:rsidRDefault="000E7118" w:rsidP="00AE3E64">
            <w:pPr>
              <w:spacing w:before="40" w:after="40"/>
              <w:jc w:val="center"/>
            </w:pPr>
            <w:r>
              <w:rPr>
                <w:rFonts w:ascii="Times New Roman" w:eastAsia="Times New Roman" w:hAnsi="Times New Roman" w:cs="Times New Roman"/>
                <w:sz w:val="20"/>
                <w:szCs w:val="20"/>
              </w:rPr>
              <w:t>0.767</w:t>
            </w:r>
          </w:p>
        </w:tc>
      </w:tr>
      <w:tr w:rsidR="000E7118" w:rsidRPr="00F22774" w14:paraId="348182A6" w14:textId="77777777" w:rsidTr="006F4216">
        <w:tc>
          <w:tcPr>
            <w:tcW w:w="4673" w:type="dxa"/>
          </w:tcPr>
          <w:p w14:paraId="435C3FDA" w14:textId="77777777" w:rsidR="000E7118" w:rsidRPr="00F22774" w:rsidRDefault="000E7118" w:rsidP="00AE3E64">
            <w:pPr>
              <w:spacing w:before="40" w:after="40"/>
              <w:rPr>
                <w:lang w:val="en-US"/>
              </w:rPr>
            </w:pPr>
            <w:r>
              <w:rPr>
                <w:rFonts w:ascii="Times New Roman" w:eastAsia="Times New Roman" w:hAnsi="Times New Roman" w:cs="Times New Roman"/>
                <w:sz w:val="20"/>
                <w:szCs w:val="20"/>
                <w:lang w:val="en-US"/>
              </w:rPr>
              <w:t>Median MASE of fused forecast</w:t>
            </w:r>
          </w:p>
        </w:tc>
        <w:tc>
          <w:tcPr>
            <w:tcW w:w="2336" w:type="dxa"/>
          </w:tcPr>
          <w:p w14:paraId="450A7333" w14:textId="77777777" w:rsidR="000E7118" w:rsidRPr="00F22774" w:rsidRDefault="000E7118" w:rsidP="00AE3E64">
            <w:pPr>
              <w:spacing w:before="40" w:after="40"/>
              <w:jc w:val="center"/>
            </w:pPr>
            <w:r>
              <w:rPr>
                <w:rFonts w:ascii="Times New Roman" w:eastAsia="Times New Roman" w:hAnsi="Times New Roman" w:cs="Times New Roman"/>
                <w:sz w:val="20"/>
                <w:szCs w:val="20"/>
              </w:rPr>
              <w:t>0.84</w:t>
            </w:r>
          </w:p>
        </w:tc>
        <w:tc>
          <w:tcPr>
            <w:tcW w:w="2336" w:type="dxa"/>
          </w:tcPr>
          <w:p w14:paraId="3CF23FAC" w14:textId="77777777" w:rsidR="000E7118" w:rsidRPr="00F22774" w:rsidRDefault="000E7118" w:rsidP="00AE3E64">
            <w:pPr>
              <w:spacing w:before="40" w:after="40"/>
              <w:jc w:val="center"/>
            </w:pPr>
            <w:r>
              <w:rPr>
                <w:rFonts w:ascii="Times New Roman" w:eastAsia="Times New Roman" w:hAnsi="Times New Roman" w:cs="Times New Roman"/>
                <w:sz w:val="20"/>
                <w:szCs w:val="20"/>
              </w:rPr>
              <w:t>0.87</w:t>
            </w:r>
          </w:p>
        </w:tc>
      </w:tr>
    </w:tbl>
    <w:p w14:paraId="677DF9FC" w14:textId="77777777" w:rsidR="000E7118" w:rsidRPr="00F22774" w:rsidRDefault="006F4216" w:rsidP="000E7118">
      <w:pPr>
        <w:jc w:val="both"/>
        <w:rPr>
          <w:lang w:val="en-US"/>
        </w:rPr>
      </w:pPr>
      <w:r>
        <w:rPr>
          <w:rFonts w:ascii="Times New Roman" w:eastAsia="Times New Roman" w:hAnsi="Times New Roman" w:cs="Times New Roman"/>
          <w:lang w:val="en-US"/>
        </w:rPr>
        <w:t>Under the original objective, the decomposition path is a near-constant signal: its standard deviation is around nine per cent of the target standard deviation, and on 11 of 17 households, its error exceeds that of the constant predictor. The skip path errs in the opposite direction, over-dispersed and biased upward on every household without exception, by between 149 and 618 W and worse than the constant predictor on 16 of 17. Neither path is individually a working forecast for most households; their combination is one everywhere.</w:t>
      </w:r>
    </w:p>
    <w:p w14:paraId="66EC3706" w14:textId="77777777" w:rsidR="000E7118" w:rsidRPr="00F22774" w:rsidRDefault="006F4216" w:rsidP="000E7118">
      <w:pPr>
        <w:jc w:val="both"/>
        <w:rPr>
          <w:lang w:val="en-US"/>
        </w:rPr>
      </w:pPr>
      <w:r>
        <w:rPr>
          <w:rFonts w:ascii="Times New Roman" w:eastAsia="Times New Roman" w:hAnsi="Times New Roman" w:cs="Times New Roman"/>
          <w:lang w:val="en-US"/>
        </w:rPr>
        <w:t>The correlations with the target locate the defect. Under the original objective, the decomposition path correlates with the target at a median of 0.49 across households, the skip path at 0.52, and the fused forecast at 0.53; the median gain in correlation from either path to the fused output is 0.044 and never exceeds 0.124. Each path tracks the target almost as well as the model does as a whole. The paths therefore carry the shape of the signal and lack only scale and level, and the gate is not selecting between two forecasts but performing an affine recalibration of two mis-scaled ones, which is how a convex combination can outperform both of its inputs.</w:t>
      </w:r>
    </w:p>
    <w:p w14:paraId="0F07D266" w14:textId="77777777" w:rsidR="000E7118" w:rsidRPr="00F22774" w:rsidRDefault="006F4216" w:rsidP="000E7118">
      <w:pPr>
        <w:jc w:val="both"/>
        <w:rPr>
          <w:lang w:val="en-US"/>
        </w:rPr>
      </w:pPr>
      <w:r>
        <w:rPr>
          <w:rFonts w:ascii="Times New Roman" w:eastAsia="Times New Roman" w:hAnsi="Times New Roman" w:cs="Times New Roman"/>
          <w:lang w:val="en-US"/>
        </w:rPr>
        <w:t>The constant predictor is the weaker of the two trivial baselines available. Against a seasonal naive forecast, which repeats the load of the same hour on the previous day, the fused forecast has a median MASE of 0.87 under the corrected objective and 0.84 under the original one, and is worse than that baseline on 6 households of 17 and on 5 of 17 respectively — while beating the constant predictor on every household but one. A model that clears the trivial baseline an ablation study would report can still lose to the one a forecaster would actually use, which is R6 of Section 6.1.2 in its sharpest form.</w:t>
      </w:r>
    </w:p>
    <w:p w14:paraId="3A1F5824" w14:textId="77777777" w:rsidR="000E7118" w:rsidRPr="00F22774" w:rsidRDefault="00B611D3" w:rsidP="00B611D3">
      <w:pPr>
        <w:pStyle w:val="3"/>
        <w:ind w:firstLine="426"/>
        <w:rPr>
          <w:lang w:val="en-US"/>
        </w:rPr>
      </w:pPr>
      <w:r>
        <w:rPr>
          <w:lang w:val="en-US"/>
        </w:rPr>
        <w:t>5.1.2. The defect and its compensation</w:t>
      </w:r>
    </w:p>
    <w:p w14:paraId="5F8522AF" w14:textId="77777777" w:rsidR="000E7118" w:rsidRPr="00F22774" w:rsidRDefault="000E7118" w:rsidP="000E7118">
      <w:pPr>
        <w:jc w:val="both"/>
        <w:rPr>
          <w:lang w:val="en-US"/>
        </w:rPr>
      </w:pPr>
      <w:r>
        <w:rPr>
          <w:rFonts w:ascii="Times New Roman" w:eastAsia="Times New Roman" w:hAnsi="Times New Roman" w:cs="Times New Roman"/>
          <w:lang w:val="en-US"/>
        </w:rPr>
        <w:t>The compression of the decomposition path is structural rather than a training failure. The auxiliary objective drives the sum of the per-mode forecasts towards the target, while the aggregation module combines the same terms with softmax weights that sum to one. A sum is required where an average is applied, so the path is shrunk by approximately the number of modes.</w:t>
      </w:r>
    </w:p>
    <w:p w14:paraId="119089F7" w14:textId="77777777" w:rsidR="000E7118" w:rsidRPr="00F22774" w:rsidRDefault="000E7118" w:rsidP="000E7118">
      <w:pPr>
        <w:jc w:val="both"/>
        <w:rPr>
          <w:lang w:val="en-US"/>
        </w:rPr>
      </w:pPr>
      <w:r>
        <w:rPr>
          <w:rFonts w:ascii="Times New Roman" w:eastAsia="Times New Roman" w:hAnsi="Times New Roman" w:cs="Times New Roman"/>
          <w:lang w:val="en-US"/>
        </w:rPr>
        <w:t>Three observations confirm this. Replacing the aggregation by the plain sum of the per-mode forecasts lowers the path error from 261 to 155 W on one household and from 253 to 176 W on another, improvements of 41 and 31 per cent. Multiplying the aggregated output by the number of modes reproduces the summed forecast to within fractions of a watt, so the discrepancy is exactly a scale factor. And the learned aggregation weights are nearly uniform, with entropy 1.775 and 1.787 against 1.792 for the uniform distribution: the module introduced as an adaptive weighting is functionally a mean.</w:t>
      </w:r>
    </w:p>
    <w:p w14:paraId="71097BE7" w14:textId="77777777" w:rsidR="000E7118" w:rsidRPr="00F22774" w:rsidRDefault="000E7118" w:rsidP="000E7118">
      <w:pPr>
        <w:jc w:val="both"/>
        <w:rPr>
          <w:rFonts w:ascii="Times New Roman" w:eastAsia="Times New Roman" w:hAnsi="Times New Roman" w:cs="Times New Roman"/>
          <w:lang w:val="en-US"/>
        </w:rPr>
      </w:pPr>
      <w:r>
        <w:rPr>
          <w:rFonts w:ascii="Times New Roman" w:eastAsia="Times New Roman" w:hAnsi="Times New Roman" w:cs="Times New Roman"/>
          <w:lang w:val="en-US"/>
        </w:rPr>
        <w:t>The second path compensates for the first (see Fig. 2 for amplitude behaviour under different objectives and aggregation rules).</w:t>
      </w:r>
      <w:r>
        <w:rPr>
          <w:rFonts w:ascii="Times New Roman" w:eastAsia="Times New Roman" w:hAnsi="Times New Roman" w:cs="Times New Roman"/>
          <w:b/>
          <w:bCs/>
          <w:lang w:val="en-US"/>
        </w:rPr>
        <w:t xml:space="preserve"> </w:t>
      </w:r>
      <w:r>
        <w:rPr>
          <w:rFonts w:ascii="Times New Roman" w:eastAsia="Times New Roman" w:hAnsi="Times New Roman" w:cs="Times New Roman"/>
          <w:lang w:val="en-US"/>
        </w:rPr>
        <w:t>Under the original objective the skip path is biased upward on all 17 households, with a median absolute bias of 461 W; under the corrected objective the bias is small and of both signs, between -92 and +59 W, with a median absolute value of 29 W. Correcting an objective that formally concerns only the decomposition path recalibrates both. The defect is therefore not localized in the component where it originates: training absorbs it by deforming the rest of the model, and any ablation performed inside the affected path is comparing two globally different operating regimes rather than two settings of one component.</w:t>
      </w:r>
    </w:p>
    <w:p w14:paraId="13E34F72" w14:textId="77777777" w:rsidR="00B91C93" w:rsidRPr="00F22774" w:rsidRDefault="00B91C93" w:rsidP="00B91C93">
      <w:pPr>
        <w:jc w:val="center"/>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5631644E" wp14:editId="3FE1DF9A">
            <wp:extent cx="4632969" cy="2785878"/>
            <wp:effectExtent l="0" t="0" r="0" b="0"/>
            <wp:docPr id="5" name="Рисунок 5" descr="Decomposition-branch forecast amplitude under four objective and aggregation combinations." title="Decomposition-branch forecast amplitude under four objective and aggregation comb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632969" cy="2785878"/>
                    </a:xfrm>
                    <a:prstGeom prst="rect">
                      <a:avLst/>
                    </a:prstGeom>
                  </pic:spPr>
                </pic:pic>
              </a:graphicData>
            </a:graphic>
          </wp:inline>
        </w:drawing>
      </w:r>
    </w:p>
    <w:p w14:paraId="126B8C14" w14:textId="77777777" w:rsidR="00D85B70" w:rsidRPr="00CF691C" w:rsidRDefault="00D85B70" w:rsidP="00B91C93">
      <w:pPr>
        <w:jc w:val="both"/>
        <w:rPr>
          <w:rFonts w:ascii="Times New Roman" w:hAnsi="Times New Roman" w:cs="Times New Roman"/>
          <w:lang w:val="en-US"/>
        </w:rPr>
      </w:pPr>
      <w:r>
        <w:rPr>
          <w:rFonts w:ascii="Times New Roman" w:hAnsi="Times New Roman" w:cs="Times New Roman"/>
          <w:lang w:val="en-US"/>
        </w:rPr>
        <w:t xml:space="preserve">Fig. </w:t>
      </w:r>
      <w:r>
        <w:rPr>
          <w:rFonts w:ascii="Times New Roman" w:hAnsi="Times New Roman" w:cs="Times New Roman"/>
          <w:lang w:val="kk-KZ"/>
        </w:rPr>
        <w:t>2</w:t>
      </w:r>
      <w:r>
        <w:rPr>
          <w:rFonts w:ascii="Times New Roman" w:hAnsi="Times New Roman" w:cs="Times New Roman"/>
          <w:lang w:val="en-US"/>
        </w:rPr>
        <w:t>. Amplitude of the decomposition branch under four combinations of auxiliary objective and aggregation rule. Each point is one household; bars are medians. A dashed line marks the correct scale. Consistent cells keep amplitude near correct; inconsistent ones fail in opposite directions (sum+convex compresses by ≈ number of modes, reverse pairing overshoots). Vertical axis logarithmic. Eight‑cell design run on six households; two leftmost cells on all 17.</w:t>
      </w:r>
    </w:p>
    <w:p w14:paraId="42E98F91" w14:textId="77777777" w:rsidR="000E7118" w:rsidRPr="00F22774" w:rsidRDefault="000E7118" w:rsidP="000E7118">
      <w:pPr>
        <w:jc w:val="both"/>
        <w:rPr>
          <w:lang w:val="en-US"/>
        </w:rPr>
      </w:pPr>
      <w:r>
        <w:rPr>
          <w:rFonts w:ascii="Times New Roman" w:eastAsia="Times New Roman" w:hAnsi="Times New Roman" w:cs="Times New Roman"/>
          <w:lang w:val="en-US"/>
        </w:rPr>
        <w:t>Correcting the objective repairs the decomposition path on every household: the standard deviation ratio rises in 17 cases of 17, its median tripling from 0.086 to 0.313, and the number of households on which the path is worse than a constant predictor falls from 11 to 1.</w:t>
      </w:r>
    </w:p>
    <w:p w14:paraId="15357F47" w14:textId="77777777" w:rsidR="000E7118" w:rsidRPr="00F22774" w:rsidRDefault="00B611D3" w:rsidP="00B611D3">
      <w:pPr>
        <w:pStyle w:val="3"/>
        <w:ind w:firstLine="426"/>
        <w:rPr>
          <w:lang w:val="en-US"/>
        </w:rPr>
      </w:pPr>
      <w:r>
        <w:rPr>
          <w:lang w:val="en-US"/>
        </w:rPr>
        <w:t>5.1.3. The masking results</w:t>
      </w:r>
    </w:p>
    <w:p w14:paraId="406072DA" w14:textId="77777777" w:rsidR="000E7118" w:rsidRPr="00F22774" w:rsidRDefault="000E7118" w:rsidP="000E7118">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fused forecast does not register any of this (Fig. 3). Its median error ratio is 0.726 under the original objective and 0.767 under the corrected one. The paired difference is significant and runs in the unexpected direction: the fused forecast is slightly better in the configuration whose internals are broken (Wilcoxon p = 0.017). Repairing the decomposition path on 17 households of 17 does not improve the model output, and by this measure marginally degrades it. A model in which one branch is worse than a trivial predictor on two thirds of households and the other is biased upward on all of them is not merely indistinguishable, by the metric an ablation study would report, from a model in which neither is true; </w:t>
      </w:r>
      <w:r w:rsidR="00F833A2" w:rsidRPr="00F833A2">
        <w:rPr>
          <w:rFonts w:ascii="Times New Roman" w:eastAsia="Times New Roman" w:hAnsi="Times New Roman" w:cs="Times New Roman"/>
          <w:lang w:val="en-US"/>
        </w:rPr>
        <w:t>it scores slightly higher, though a control reported below shows that most of that difference reflects the weight of the auxiliary term rather than the state of the branch</w:t>
      </w:r>
      <w:r w:rsidR="00F833A2">
        <w:rPr>
          <w:rFonts w:ascii="Times New Roman" w:eastAsia="Times New Roman" w:hAnsi="Times New Roman" w:cs="Times New Roman"/>
          <w:lang w:val="en-US"/>
        </w:rPr>
        <w:t>.</w:t>
      </w:r>
    </w:p>
    <w:p w14:paraId="4F22E78A" w14:textId="77777777" w:rsidR="000E7118" w:rsidRPr="00F22774" w:rsidRDefault="000E7118" w:rsidP="000E7118">
      <w:pPr>
        <w:jc w:val="both"/>
        <w:rPr>
          <w:rFonts w:ascii="Times New Roman" w:eastAsia="Times New Roman" w:hAnsi="Times New Roman" w:cs="Times New Roman"/>
          <w:lang w:val="en-US"/>
        </w:rPr>
      </w:pPr>
      <w:r>
        <w:rPr>
          <w:rFonts w:ascii="Times New Roman" w:eastAsia="Times New Roman" w:hAnsi="Times New Roman" w:cs="Times New Roman"/>
          <w:lang w:val="en-US"/>
        </w:rPr>
        <w:t>A pre-specified control excludes the obvious alternative explanation, that the two objectives differ in effective weight rather than in coherence. A third configuration carrying the auxiliary weight of the original while repairing the branch reproduces the inversion in sign — paired difference +0.003 in error ratio, same sign on 14 of 17 households, p = 0.009 — but not its magnitude, which falls from +0.010 to +0.003, the two repaired configurations being indistinguishable (p = 0.28). Most of the gap reflects the strength of the auxiliary term; what survives is small, consistent in sign and still opposite to intuition. Supplementary Section S1 gives the design and the full results.</w:t>
      </w:r>
    </w:p>
    <w:p w14:paraId="09198AE1" w14:textId="77777777" w:rsidR="00B91C93" w:rsidRPr="00F22774" w:rsidRDefault="00B91C93" w:rsidP="000E7118">
      <w:pPr>
        <w:jc w:val="both"/>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574BEA90" wp14:editId="16728B6E">
            <wp:extent cx="5940425" cy="3712845"/>
            <wp:effectExtent l="0" t="0" r="3175" b="1905"/>
            <wp:docPr id="4" name="Рисунок 4" descr="Adaptive-fusion masking: decomposition-branch and fused-forecast errors across households." title="Adaptive-fusion masking: decomposition-branch and fused-forecast errors across house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712845"/>
                    </a:xfrm>
                    <a:prstGeom prst="rect">
                      <a:avLst/>
                    </a:prstGeom>
                  </pic:spPr>
                </pic:pic>
              </a:graphicData>
            </a:graphic>
          </wp:inline>
        </w:drawing>
      </w:r>
    </w:p>
    <w:p w14:paraId="33F182E0" w14:textId="77777777" w:rsidR="00300032" w:rsidRPr="00CF691C" w:rsidRDefault="00300032" w:rsidP="00B91C93">
      <w:pPr>
        <w:jc w:val="both"/>
        <w:rPr>
          <w:rFonts w:ascii="Times New Roman" w:hAnsi="Times New Roman" w:cs="Times New Roman"/>
          <w:lang w:val="en-US"/>
        </w:rPr>
      </w:pPr>
      <w:r>
        <w:rPr>
          <w:rFonts w:ascii="Times New Roman" w:hAnsi="Times New Roman" w:cs="Times New Roman"/>
          <w:lang w:val="kk-KZ"/>
        </w:rPr>
        <w:t>Fig. 3</w:t>
      </w:r>
      <w:r>
        <w:rPr>
          <w:rFonts w:ascii="Times New Roman" w:hAnsi="Times New Roman" w:cs="Times New Roman"/>
          <w:lang w:val="en-US"/>
        </w:rPr>
        <w:t>.</w:t>
      </w:r>
      <w:r>
        <w:rPr>
          <w:rFonts w:ascii="Times New Roman" w:hAnsi="Times New Roman" w:cs="Times New Roman"/>
          <w:lang w:val="kk-KZ"/>
        </w:rPr>
        <w:t xml:space="preserve"> Adaptive fusion masks branch state. Left: error of the decomposition branch relative to a constant‑mean predictor; right: error of the fused forecast. Each row is one household; paired points show original vs. corrected auxiliary objective. Correction reduces branch error (worse than constant on 11/17 → 1/17) and raises amplitude ratio in all 17. The fused forecast is stable (median error ratio 0.726 vs. 0.767; Wilcoxon p = 0.017, favouring uncorrected). The single household where gating fails is annotated; it also has degenerate test targets (Section 4.2.1)</w:t>
      </w:r>
      <w:r>
        <w:rPr>
          <w:rFonts w:ascii="Times New Roman" w:hAnsi="Times New Roman" w:cs="Times New Roman"/>
          <w:lang w:val="en-US"/>
        </w:rPr>
        <w:t>.</w:t>
      </w:r>
    </w:p>
    <w:p w14:paraId="53369A80" w14:textId="77777777" w:rsidR="000E7118" w:rsidRPr="00F22774" w:rsidRDefault="000E7118" w:rsidP="000E7118">
      <w:pPr>
        <w:jc w:val="both"/>
        <w:rPr>
          <w:lang w:val="en-US"/>
        </w:rPr>
      </w:pPr>
      <w:r>
        <w:rPr>
          <w:rFonts w:ascii="Times New Roman" w:eastAsia="Times New Roman" w:hAnsi="Times New Roman" w:cs="Times New Roman"/>
          <w:lang w:val="en-US"/>
        </w:rPr>
        <w:t>The same conclusion follows from the factorial experiment in the opposite direction (see Fig. 2). Across its eight cells the error of the decomposition path varies by a factor of 5.3 to 14.4 depending on the household, while the fused forecast varies by between 1.5 and 11 per cent; on the household with the largest test set the contrast is a factor of 6.9 in the path, from 162 to 1118 W, against 1.5 per cent in the fused forecast. Degradation and repair are equally invisible, and the sign of the small residual movement is not the one intuition would predict.</w:t>
      </w:r>
    </w:p>
    <w:p w14:paraId="70D1F325" w14:textId="77777777" w:rsidR="000E7118" w:rsidRPr="00F22774" w:rsidRDefault="000E7118" w:rsidP="000E7118">
      <w:pPr>
        <w:jc w:val="both"/>
        <w:rPr>
          <w:lang w:val="en-US"/>
        </w:rPr>
      </w:pPr>
      <w:r>
        <w:rPr>
          <w:rFonts w:ascii="Times New Roman" w:eastAsia="Times New Roman" w:hAnsi="Times New Roman" w:cs="Times New Roman"/>
          <w:lang w:val="en-US"/>
        </w:rPr>
        <w:t>The methodological consequence is direct. Component-wise ablation evaluated on end-task accuracy cannot distinguish a component that fails to do what it was designed to do from one that does exactly that and confers no benefit, and neither of these from a defect elsewhere in the same path. In the present architecture all three possibilities are simultaneously live, and the fused forecast separates none of them.</w:t>
      </w:r>
    </w:p>
    <w:p w14:paraId="4169B9B1" w14:textId="77777777" w:rsidR="000E7118" w:rsidRPr="00F22774" w:rsidRDefault="000E7118" w:rsidP="000E7118">
      <w:pPr>
        <w:jc w:val="both"/>
        <w:rPr>
          <w:lang w:val="en-US"/>
        </w:rPr>
      </w:pPr>
      <w:r>
        <w:rPr>
          <w:rFonts w:ascii="Times New Roman" w:eastAsia="Times New Roman" w:hAnsi="Times New Roman" w:cs="Times New Roman"/>
          <w:lang w:val="en-US"/>
        </w:rPr>
        <w:t>Compensation is not unbounded. On one household under the corrected objective the gate fails to absorb the state of the branch and the fused forecast falls below the constant baseline, with an error ratio of 1.36. This is the only such case in 17 households by two configurations, and it locates the boundary of the effect rather than contradicting it.</w:t>
      </w:r>
    </w:p>
    <w:p w14:paraId="1005A0D5" w14:textId="77777777" w:rsidR="000E7118" w:rsidRPr="00F22774" w:rsidRDefault="000E7118" w:rsidP="000E7118">
      <w:pPr>
        <w:jc w:val="both"/>
        <w:rPr>
          <w:lang w:val="en-US"/>
        </w:rPr>
      </w:pPr>
      <w:r>
        <w:rPr>
          <w:rFonts w:ascii="Times New Roman" w:eastAsia="Times New Roman" w:hAnsi="Times New Roman" w:cs="Times New Roman"/>
          <w:b/>
          <w:bCs/>
          <w:lang w:val="en-US"/>
        </w:rPr>
        <w:t xml:space="preserve">This household requires a caveat. </w:t>
      </w:r>
      <w:r>
        <w:rPr>
          <w:rFonts w:ascii="Times New Roman" w:eastAsia="Times New Roman" w:hAnsi="Times New Roman" w:cs="Times New Roman"/>
          <w:lang w:val="en-US"/>
        </w:rPr>
        <w:t xml:space="preserve">It is also the household with the poorest data quality in the study, with degenerate test targets and week-long runs of constant readings in training (Section 4.2.1). We cannot separate the failure of compensation from the peculiarity of the data, and we do not claim to. The </w:t>
      </w:r>
      <w:proofErr w:type="gramStart"/>
      <w:r>
        <w:rPr>
          <w:rFonts w:ascii="Times New Roman" w:eastAsia="Times New Roman" w:hAnsi="Times New Roman" w:cs="Times New Roman"/>
          <w:lang w:val="en-US"/>
        </w:rPr>
        <w:t>bound on</w:t>
      </w:r>
      <w:proofErr w:type="gramEnd"/>
      <w:r>
        <w:rPr>
          <w:rFonts w:ascii="Times New Roman" w:eastAsia="Times New Roman" w:hAnsi="Times New Roman" w:cs="Times New Roman"/>
          <w:lang w:val="en-US"/>
        </w:rPr>
        <w:t xml:space="preserve"> compensation should be read as demonstrated in principle and not quantified.</w:t>
      </w:r>
    </w:p>
    <w:p w14:paraId="42F7C393" w14:textId="77777777" w:rsidR="000E7118" w:rsidRPr="00F22774" w:rsidRDefault="000E7118" w:rsidP="000E7118">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gate conceals more than the level of the path error. Comparing the seed component of variance at the two outputs, the seed standard deviation of the ablation effect falls from the path to the fused forecast in 14 of 17 households, with a median ratio of 0.50 under the corrected objective and 0.60 under the original one, </w:t>
      </w:r>
      <w:r>
        <w:rPr>
          <w:rFonts w:ascii="Times New Roman" w:eastAsia="Times New Roman" w:hAnsi="Times New Roman" w:cs="Times New Roman"/>
          <w:lang w:val="en-US"/>
        </w:rPr>
        <w:lastRenderedPageBreak/>
        <w:t>and collapses to zero in several. An investigator who monitors only the fused forecast will therefore observe a model that appears both accurate and reproducible while the path inside it is neither.</w:t>
      </w:r>
    </w:p>
    <w:p w14:paraId="3616C115" w14:textId="77777777" w:rsidR="000E7118" w:rsidRPr="00F22774" w:rsidRDefault="00146887" w:rsidP="00146887">
      <w:pPr>
        <w:jc w:val="both"/>
        <w:rPr>
          <w:lang w:val="en-US"/>
        </w:rPr>
      </w:pPr>
      <w:r>
        <w:rPr>
          <w:rFonts w:ascii="Times New Roman" w:eastAsia="Times New Roman" w:hAnsi="Times New Roman" w:cs="Times New Roman"/>
          <w:lang w:val="en-US"/>
        </w:rPr>
        <w:t>The practical consequences of this are taken up in Section 6.</w:t>
      </w:r>
    </w:p>
    <w:p w14:paraId="21FA24F0" w14:textId="77777777" w:rsidR="000E7118" w:rsidRPr="00F22774" w:rsidRDefault="00CD2C2E" w:rsidP="0033557E">
      <w:pPr>
        <w:pStyle w:val="2"/>
        <w:numPr>
          <w:ilvl w:val="1"/>
          <w:numId w:val="1"/>
        </w:numPr>
        <w:rPr>
          <w:lang w:val="en-US"/>
        </w:rPr>
      </w:pPr>
      <w:r>
        <w:rPr>
          <w:lang w:val="en-US"/>
        </w:rPr>
        <w:t xml:space="preserve"> Result 2: variance decomposition of the ablation effect</w:t>
      </w:r>
    </w:p>
    <w:p w14:paraId="1467CAA8" w14:textId="77777777" w:rsidR="0033557E" w:rsidRPr="00F22774" w:rsidRDefault="00B611D3" w:rsidP="0033557E">
      <w:pPr>
        <w:pStyle w:val="3"/>
        <w:ind w:firstLine="426"/>
        <w:rPr>
          <w:lang w:val="en-US"/>
        </w:rPr>
      </w:pPr>
      <w:r>
        <w:rPr>
          <w:lang w:val="en-US"/>
        </w:rPr>
        <w:t>5.2.1. Motivation and model</w:t>
      </w:r>
    </w:p>
    <w:p w14:paraId="6CD63CBC" w14:textId="77777777" w:rsidR="0033557E" w:rsidRPr="00F22774" w:rsidRDefault="0033557E" w:rsidP="0033557E">
      <w:pPr>
        <w:jc w:val="both"/>
        <w:rPr>
          <w:lang w:val="en-US"/>
        </w:rPr>
      </w:pPr>
      <w:r>
        <w:rPr>
          <w:rFonts w:ascii="Times New Roman" w:eastAsia="Times New Roman" w:hAnsi="Times New Roman" w:cs="Times New Roman"/>
          <w:lang w:val="en-US"/>
        </w:rPr>
        <w:t>Architectural ablations in deep forecasting are normally evaluated by training each configuration once, or a few times, and quantifying uncertainty by resampling test observations. This treats a stochastic training procedure as if it were deterministic. The comparison of interest, however, is between two independently trained models, so the estimate inherits the initialization variance of both, and that component is invisible to any resampling scheme applied to the test set alone.</w:t>
      </w:r>
    </w:p>
    <w:p w14:paraId="71E4F0DB" w14:textId="77777777" w:rsidR="0033557E" w:rsidRDefault="0033557E" w:rsidP="0033557E">
      <w:pPr>
        <w:jc w:val="both"/>
        <w:rPr>
          <w:rFonts w:ascii="Times New Roman" w:eastAsia="Times New Roman" w:hAnsi="Times New Roman" w:cs="Times New Roman"/>
          <w:lang w:val="en-US"/>
        </w:rPr>
      </w:pPr>
      <w:r>
        <w:rPr>
          <w:rFonts w:ascii="Times New Roman" w:eastAsia="Times New Roman" w:hAnsi="Times New Roman" w:cs="Times New Roman"/>
          <w:lang w:val="en-US"/>
        </w:rPr>
        <w:t>We quantify the two sources separately. For household h, let d(</w:t>
      </w:r>
      <w:proofErr w:type="gramStart"/>
      <w:r>
        <w:rPr>
          <w:rFonts w:ascii="Times New Roman" w:eastAsia="Times New Roman" w:hAnsi="Times New Roman" w:cs="Times New Roman"/>
          <w:lang w:val="en-US"/>
        </w:rPr>
        <w:t>h,s</w:t>
      </w:r>
      <w:proofErr w:type="gramEnd"/>
      <w:r>
        <w:rPr>
          <w:rFonts w:ascii="Times New Roman" w:eastAsia="Times New Roman" w:hAnsi="Times New Roman" w:cs="Times New Roman"/>
          <w:lang w:val="en-US"/>
        </w:rPr>
        <w:t>,w) denote the per-window ablation effect, defined as the absolute error of the configuration without the component minus the absolute error of the configuration with it, for training seed s and test window w. Positive values indicate that the component helps. We model</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1"/>
      </w:tblGrid>
      <w:tr w:rsidR="00043B52" w14:paraId="612B6B41" w14:textId="77777777" w:rsidTr="00220724">
        <w:tc>
          <w:tcPr>
            <w:tcW w:w="8784" w:type="dxa"/>
          </w:tcPr>
          <w:p w14:paraId="76F8E56F" w14:textId="77777777" w:rsidR="00043B52" w:rsidRPr="00490BC6" w:rsidRDefault="00043B52" w:rsidP="00F47CC9">
            <w:pPr>
              <w:jc w:val="both"/>
              <w:rPr>
                <w:lang w:val="en-US"/>
              </w:rPr>
            </w:pPr>
            <m:oMathPara>
              <m:oMathParaPr>
                <m:jc m:val="center"/>
              </m:oMathParaPr>
              <m:oMath>
                <m:r>
                  <m:rPr>
                    <m:sty m:val="p"/>
                  </m:rPr>
                  <w:rPr>
                    <w:rFonts w:ascii="Cambria Math" w:hAnsi="Cambria Math"/>
                    <w:lang w:val="en-US"/>
                  </w:rPr>
                  <m:t>d</m:t>
                </m:r>
                <m:d>
                  <m:dPr>
                    <m:ctrlPr>
                      <w:rPr>
                        <w:rFonts w:ascii="Cambria Math" w:hAnsi="Cambria Math"/>
                        <w:i/>
                        <w:lang w:val="en-US"/>
                      </w:rPr>
                    </m:ctrlPr>
                  </m:dPr>
                  <m:e>
                    <m:r>
                      <m:rPr>
                        <m:sty m:val="p"/>
                      </m:rPr>
                      <w:rPr>
                        <w:rFonts w:ascii="Cambria Math" w:hAnsi="Cambria Math"/>
                        <w:lang w:val="en-US"/>
                      </w:rPr>
                      <m:t>h, s, w</m:t>
                    </m:r>
                  </m:e>
                </m:d>
                <m:r>
                  <m:rPr>
                    <m:sty m:val="p"/>
                  </m:rPr>
                  <w:rPr>
                    <w:rFonts w:ascii="Cambria Math" w:hAnsi="Cambria Math"/>
                    <w:lang w:val="en-US"/>
                  </w:rPr>
                  <m:t>=μ</m:t>
                </m:r>
                <m:d>
                  <m:dPr>
                    <m:ctrlPr>
                      <w:rPr>
                        <w:rFonts w:ascii="Cambria Math" w:hAnsi="Cambria Math"/>
                        <w:i/>
                        <w:lang w:val="en-US"/>
                      </w:rPr>
                    </m:ctrlPr>
                  </m:dPr>
                  <m:e>
                    <m:r>
                      <m:rPr>
                        <m:sty m:val="p"/>
                      </m:rPr>
                      <w:rPr>
                        <w:rFonts w:ascii="Cambria Math" w:hAnsi="Cambria Math"/>
                        <w:lang w:val="en-US"/>
                      </w:rPr>
                      <m:t>h</m:t>
                    </m:r>
                  </m:e>
                </m:d>
                <m:r>
                  <m:rPr>
                    <m:sty m:val="p"/>
                  </m:rPr>
                  <w:rPr>
                    <w:rFonts w:ascii="Cambria Math" w:hAnsi="Cambria Math"/>
                    <w:lang w:val="en-US"/>
                  </w:rPr>
                  <m:t>+a</m:t>
                </m:r>
                <m:d>
                  <m:dPr>
                    <m:ctrlPr>
                      <w:rPr>
                        <w:rFonts w:ascii="Cambria Math" w:hAnsi="Cambria Math"/>
                        <w:i/>
                        <w:lang w:val="en-US"/>
                      </w:rPr>
                    </m:ctrlPr>
                  </m:dPr>
                  <m:e>
                    <m:r>
                      <m:rPr>
                        <m:sty m:val="p"/>
                      </m:rPr>
                      <w:rPr>
                        <w:rFonts w:ascii="Cambria Math" w:hAnsi="Cambria Math"/>
                        <w:lang w:val="en-US"/>
                      </w:rPr>
                      <m:t>h, s</m:t>
                    </m:r>
                  </m:e>
                </m:d>
                <m:r>
                  <m:rPr>
                    <m:sty m:val="p"/>
                  </m:rPr>
                  <w:rPr>
                    <w:rFonts w:ascii="Cambria Math" w:hAnsi="Cambria Math"/>
                    <w:lang w:val="en-US"/>
                  </w:rPr>
                  <m:t>+e</m:t>
                </m:r>
                <m:d>
                  <m:dPr>
                    <m:ctrlPr>
                      <w:rPr>
                        <w:rFonts w:ascii="Cambria Math" w:hAnsi="Cambria Math"/>
                        <w:i/>
                        <w:lang w:val="en-US"/>
                      </w:rPr>
                    </m:ctrlPr>
                  </m:dPr>
                  <m:e>
                    <m:r>
                      <m:rPr>
                        <m:sty m:val="p"/>
                      </m:rPr>
                      <w:rPr>
                        <w:rFonts w:ascii="Cambria Math" w:hAnsi="Cambria Math"/>
                        <w:lang w:val="en-US"/>
                      </w:rPr>
                      <m:t>h, s, w</m:t>
                    </m:r>
                  </m:e>
                </m:d>
                <m:r>
                  <m:rPr>
                    <m:sty m:val="p"/>
                  </m:rPr>
                  <w:rPr>
                    <w:rFonts w:ascii="Cambria Math" w:hAnsi="Cambria Math"/>
                    <w:lang w:val="en-US"/>
                  </w:rPr>
                  <m:t>,   a~N</m:t>
                </m:r>
                <m:d>
                  <m:dPr>
                    <m:ctrlPr>
                      <w:rPr>
                        <w:rFonts w:ascii="Cambria Math" w:hAnsi="Cambria Math"/>
                        <w:i/>
                        <w:lang w:val="en-US"/>
                      </w:rPr>
                    </m:ctrlPr>
                  </m:dPr>
                  <m:e>
                    <m:r>
                      <m:rPr>
                        <m:sty m:val="p"/>
                      </m:rPr>
                      <w:rPr>
                        <w:rFonts w:ascii="Cambria Math" w:hAnsi="Cambria Math"/>
                        <w:lang w:val="en-US"/>
                      </w:rPr>
                      <m:t xml:space="preserve">0, </m:t>
                    </m:r>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seed</m:t>
                        </m:r>
                      </m:sub>
                      <m:sup>
                        <m:r>
                          <m:rPr>
                            <m:sty m:val="p"/>
                          </m:rPr>
                          <w:rPr>
                            <w:rFonts w:ascii="Cambria Math" w:hAnsi="Cambria Math"/>
                            <w:lang w:val="en-US"/>
                          </w:rPr>
                          <m:t>2</m:t>
                        </m:r>
                      </m:sup>
                    </m:sSubSup>
                  </m:e>
                </m:d>
                <m:r>
                  <m:rPr>
                    <m:sty m:val="p"/>
                  </m:rPr>
                  <w:rPr>
                    <w:rFonts w:ascii="Cambria Math" w:hAnsi="Cambria Math"/>
                    <w:lang w:val="en-US"/>
                  </w:rPr>
                  <m:t>,   e~N</m:t>
                </m:r>
                <m:d>
                  <m:dPr>
                    <m:ctrlPr>
                      <w:rPr>
                        <w:rFonts w:ascii="Cambria Math" w:hAnsi="Cambria Math"/>
                        <w:i/>
                        <w:lang w:val="en-US"/>
                      </w:rPr>
                    </m:ctrlPr>
                  </m:dPr>
                  <m:e>
                    <m:r>
                      <m:rPr>
                        <m:sty m:val="p"/>
                      </m:rPr>
                      <w:rPr>
                        <w:rFonts w:ascii="Cambria Math" w:hAnsi="Cambria Math"/>
                        <w:lang w:val="en-US"/>
                      </w:rPr>
                      <m:t xml:space="preserve">0, </m:t>
                    </m:r>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win</m:t>
                        </m:r>
                      </m:sub>
                      <m:sup>
                        <m:r>
                          <m:rPr>
                            <m:sty m:val="p"/>
                          </m:rPr>
                          <w:rPr>
                            <w:rFonts w:ascii="Cambria Math" w:hAnsi="Cambria Math"/>
                            <w:lang w:val="en-US"/>
                          </w:rPr>
                          <m:t>2</m:t>
                        </m:r>
                      </m:sup>
                    </m:sSubSup>
                  </m:e>
                </m:d>
              </m:oMath>
            </m:oMathPara>
          </w:p>
        </w:tc>
        <w:tc>
          <w:tcPr>
            <w:tcW w:w="561" w:type="dxa"/>
          </w:tcPr>
          <w:p w14:paraId="4586D879" w14:textId="77777777" w:rsidR="00043B52" w:rsidRPr="00490BC6" w:rsidRDefault="00043B52" w:rsidP="00F47CC9">
            <w:pPr>
              <w:jc w:val="right"/>
              <w:rPr>
                <w:rFonts w:ascii="Times New Roman" w:hAnsi="Times New Roman"/>
                <w:lang w:val="en-US"/>
              </w:rPr>
            </w:pPr>
            <w:r>
              <w:rPr>
                <w:rFonts w:ascii="Times New Roman" w:hAnsi="Times New Roman"/>
                <w:lang w:val="en-US"/>
              </w:rPr>
              <w:t>(</w:t>
            </w:r>
            <w:r>
              <w:rPr>
                <w:rFonts w:ascii="Times New Roman" w:hAnsi="Times New Roman"/>
              </w:rPr>
              <w:t>2</w:t>
            </w:r>
            <w:r>
              <w:rPr>
                <w:rFonts w:ascii="Times New Roman" w:hAnsi="Times New Roman"/>
                <w:lang w:val="en-US"/>
              </w:rPr>
              <w:t>)</w:t>
            </w:r>
          </w:p>
        </w:tc>
      </w:tr>
    </w:tbl>
    <w:p w14:paraId="59BE7986" w14:textId="77777777" w:rsidR="0033557E" w:rsidRPr="00F22774" w:rsidRDefault="0033557E" w:rsidP="00C56C61">
      <w:pPr>
        <w:tabs>
          <w:tab w:val="center" w:pos="4677"/>
          <w:tab w:val="right" w:pos="9355"/>
        </w:tabs>
        <w:spacing w:before="160"/>
        <w:rPr>
          <w:lang w:val="en-US"/>
        </w:rPr>
      </w:pPr>
      <w:r>
        <w:rPr>
          <w:rFonts w:ascii="Times New Roman" w:eastAsia="Times New Roman" w:hAnsi="Times New Roman" w:cs="Times New Roman"/>
          <w:i/>
          <w:iCs/>
          <w:lang w:val="en-US"/>
        </w:rPr>
        <w:tab/>
      </w:r>
      <w:r>
        <w:rPr>
          <w:rFonts w:ascii="Times New Roman" w:eastAsia="Times New Roman" w:hAnsi="Times New Roman" w:cs="Times New Roman"/>
          <w:lang w:val="en-US"/>
        </w:rPr>
        <w:t xml:space="preserve">where </w:t>
      </w:r>
      <m:oMath>
        <m:r>
          <m:rPr>
            <m:sty m:val="p"/>
          </m:rPr>
          <w:rPr>
            <w:rFonts w:ascii="Cambria Math" w:hAnsi="Cambria Math"/>
            <w:lang w:val="en-US"/>
          </w:rPr>
          <m:t>a</m:t>
        </m:r>
        <m:d>
          <m:dPr>
            <m:ctrlPr>
              <w:rPr>
                <w:rFonts w:ascii="Cambria Math" w:hAnsi="Cambria Math"/>
                <w:i/>
                <w:lang w:val="en-US"/>
              </w:rPr>
            </m:ctrlPr>
          </m:dPr>
          <m:e>
            <m:r>
              <m:rPr>
                <m:sty m:val="p"/>
              </m:rPr>
              <w:rPr>
                <w:rFonts w:ascii="Cambria Math" w:hAnsi="Cambria Math"/>
                <w:lang w:val="en-US"/>
              </w:rPr>
              <m:t>h, s</m:t>
            </m:r>
          </m:e>
        </m:d>
      </m:oMath>
      <w:r>
        <w:rPr>
          <w:rFonts w:ascii="Times New Roman" w:eastAsia="Times New Roman" w:hAnsi="Times New Roman" w:cs="Times New Roman"/>
          <w:lang w:val="en-US"/>
        </w:rPr>
        <w:t xml:space="preserve"> is a random effect of the training seed and </w:t>
      </w:r>
      <m:oMath>
        <m:r>
          <m:rPr>
            <m:sty m:val="p"/>
          </m:rPr>
          <w:rPr>
            <w:rFonts w:ascii="Cambria Math" w:hAnsi="Cambria Math"/>
            <w:lang w:val="en-US"/>
          </w:rPr>
          <m:t>e</m:t>
        </m:r>
        <m:d>
          <m:dPr>
            <m:ctrlPr>
              <w:rPr>
                <w:rFonts w:ascii="Cambria Math" w:hAnsi="Cambria Math"/>
                <w:i/>
                <w:lang w:val="en-US"/>
              </w:rPr>
            </m:ctrlPr>
          </m:dPr>
          <m:e>
            <m:r>
              <m:rPr>
                <m:sty m:val="p"/>
              </m:rPr>
              <w:rPr>
                <w:rFonts w:ascii="Cambria Math" w:hAnsi="Cambria Math"/>
                <w:lang w:val="en-US"/>
              </w:rPr>
              <m:t>h, s, w</m:t>
            </m:r>
          </m:e>
        </m:d>
      </m:oMath>
      <w:r>
        <w:rPr>
          <w:rFonts w:ascii="Times New Roman" w:eastAsia="Times New Roman" w:hAnsi="Times New Roman" w:cs="Times New Roman"/>
          <w:lang w:val="en-US"/>
        </w:rPr>
        <w:t xml:space="preserve"> is the residual across test </w:t>
      </w:r>
      <w:proofErr w:type="gramStart"/>
      <w:r>
        <w:rPr>
          <w:rFonts w:ascii="Times New Roman" w:eastAsia="Times New Roman" w:hAnsi="Times New Roman" w:cs="Times New Roman"/>
          <w:lang w:val="en-US"/>
        </w:rPr>
        <w:t>windows.</w:t>
      </w:r>
      <w:proofErr w:type="gramEnd"/>
      <w:r>
        <w:rPr>
          <w:rFonts w:ascii="Times New Roman" w:eastAsia="Times New Roman" w:hAnsi="Times New Roman" w:cs="Times New Roman"/>
          <w:lang w:val="en-US"/>
        </w:rPr>
        <w:t xml:space="preserve"> The design is balanced: every seed is evaluated on the same test windows.</w:t>
      </w:r>
    </w:p>
    <w:p w14:paraId="7B48EC82" w14:textId="77777777" w:rsidR="0033557E" w:rsidRDefault="0033557E" w:rsidP="0033557E">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Variance components are obtained from the sums of squares of the corresponding one-way random-effects analysis of variance, </w:t>
      </w:r>
      <m:oMath>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win</m:t>
            </m:r>
          </m:sub>
          <m:sup>
            <m:r>
              <m:rPr>
                <m:sty m:val="p"/>
              </m:rPr>
              <w:rPr>
                <w:rFonts w:ascii="Cambria Math" w:hAnsi="Cambria Math"/>
                <w:lang w:val="en-US"/>
              </w:rPr>
              <m:t>2</m:t>
            </m:r>
          </m:sup>
        </m:sSubSup>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within</m:t>
            </m:r>
          </m:sub>
        </m:sSub>
      </m:oMath>
      <w:r>
        <w:rPr>
          <w:rFonts w:ascii="Times New Roman" w:eastAsia="Times New Roman" w:hAnsi="Times New Roman" w:cs="Times New Roman"/>
          <w:lang w:val="en-US"/>
        </w:rPr>
        <w:t xml:space="preserve"> and </w:t>
      </w:r>
      <m:oMath>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seed</m:t>
            </m:r>
          </m:sub>
          <m:sup>
            <m:r>
              <m:rPr>
                <m:sty m:val="p"/>
              </m:rPr>
              <w:rPr>
                <w:rFonts w:ascii="Cambria Math" w:hAnsi="Cambria Math"/>
                <w:lang w:val="en-US"/>
              </w:rPr>
              <m:t>2</m:t>
            </m:r>
          </m:sup>
        </m:sSubSup>
        <m:r>
          <m:rPr>
            <m:sty m:val="p"/>
          </m:rPr>
          <w:rPr>
            <w:rFonts w:ascii="Cambria Math" w:eastAsia="Times New Roman" w:hAnsi="Cambria Math" w:cs="Times New Roman"/>
            <w:lang w:val="en-US"/>
          </w:rPr>
          <m:t>=</m:t>
        </m:r>
        <m:f>
          <m:fPr>
            <m:ctrlPr>
              <w:rPr>
                <w:rFonts w:ascii="Cambria Math" w:eastAsia="Times New Roman" w:hAnsi="Cambria Math" w:cs="Times New Roman"/>
                <w:i/>
                <w:lang w:val="en-US"/>
              </w:rPr>
            </m:ctrlPr>
          </m:fPr>
          <m:num>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between</m:t>
                </m:r>
              </m:sub>
            </m:sSub>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within</m:t>
                </m:r>
              </m:sub>
            </m:sSub>
          </m:num>
          <m:den>
            <m:r>
              <m:rPr>
                <m:sty m:val="p"/>
              </m:rPr>
              <w:rPr>
                <w:rFonts w:ascii="Cambria Math" w:eastAsia="Times New Roman" w:hAnsi="Cambria Math" w:cs="Times New Roman"/>
                <w:lang w:val="en-US"/>
              </w:rPr>
              <m:t>W</m:t>
            </m:r>
          </m:den>
        </m:f>
      </m:oMath>
      <w:r>
        <w:rPr>
          <w:rFonts w:ascii="Times New Roman" w:eastAsia="Times New Roman" w:hAnsi="Times New Roman" w:cs="Times New Roman"/>
          <w:lang w:val="en-US"/>
        </w:rPr>
        <w:t xml:space="preserve">, where </w:t>
      </w:r>
      <m:oMath>
        <m:r>
          <m:rPr>
            <m:sty m:val="p"/>
          </m:rPr>
          <w:rPr>
            <w:rFonts w:ascii="Cambria Math" w:eastAsia="Times New Roman" w:hAnsi="Cambria Math" w:cs="Times New Roman"/>
            <w:lang w:val="en-US"/>
          </w:rPr>
          <m:t>W</m:t>
        </m:r>
      </m:oMath>
      <w:r>
        <w:rPr>
          <w:rFonts w:ascii="Times New Roman" w:eastAsia="Times New Roman" w:hAnsi="Times New Roman" w:cs="Times New Roman"/>
          <w:lang w:val="en-US"/>
        </w:rPr>
        <w:t xml:space="preserve"> is the number of test windows. We report the quantity that governs inference, namely the share of the variance of the mean effect attributable to seeds,</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1"/>
      </w:tblGrid>
      <w:tr w:rsidR="00DD3CF2" w14:paraId="7EC3ED45" w14:textId="77777777" w:rsidTr="00220724">
        <w:tc>
          <w:tcPr>
            <w:tcW w:w="8784" w:type="dxa"/>
          </w:tcPr>
          <w:p w14:paraId="37A62778" w14:textId="77777777" w:rsidR="00DD3CF2" w:rsidRPr="00490BC6" w:rsidRDefault="00DD392A" w:rsidP="006A1A03">
            <w:pPr>
              <w:jc w:val="center"/>
              <w:rPr>
                <w:lang w:val="en-US"/>
              </w:rPr>
            </w:pPr>
            <m:oMathPara>
              <m:oMathParaPr>
                <m:jc m:val="center"/>
              </m:oMathParaPr>
              <m:oMath>
                <m:sSub>
                  <m:sSubPr>
                    <m:ctrlPr>
                      <w:rPr>
                        <w:rFonts w:ascii="Cambria Math" w:hAnsi="Cambria Math"/>
                        <w:i/>
                        <w:lang w:val="en-US"/>
                      </w:rPr>
                    </m:ctrlPr>
                  </m:sSubPr>
                  <m:e>
                    <m:r>
                      <m:rPr>
                        <m:nor/>
                      </m:rPr>
                      <w:rPr>
                        <w:rFonts w:ascii="Cambria Math" w:hAnsi="Cambria Math"/>
                        <w:lang w:val="en-US"/>
                      </w:rPr>
                      <m:t>share</m:t>
                    </m:r>
                  </m:e>
                  <m:sub>
                    <m:r>
                      <m:rPr>
                        <m:nor/>
                      </m:rPr>
                      <w:rPr>
                        <w:rFonts w:ascii="Cambria Math" w:hAnsi="Cambria Math"/>
                        <w:lang w:val="en-US"/>
                      </w:rPr>
                      <m:t>seed</m:t>
                    </m:r>
                  </m:sub>
                </m:sSub>
                <m:r>
                  <m:rPr>
                    <m:sty m:val="p"/>
                  </m:rPr>
                  <w:rPr>
                    <w:rFonts w:ascii="Cambria Math" w:hAnsi="Cambria Math"/>
                    <w:lang w:val="en-US"/>
                  </w:rPr>
                  <m:t>=</m:t>
                </m:r>
                <m:f>
                  <m:fPr>
                    <m:ctrlPr>
                      <w:rPr>
                        <w:rFonts w:ascii="Cambria Math" w:hAnsi="Cambria Math"/>
                        <w:i/>
                        <w:lang w:val="en-US"/>
                      </w:rPr>
                    </m:ctrlPr>
                  </m:fPr>
                  <m:num>
                    <m:f>
                      <m:fPr>
                        <m:type m:val="lin"/>
                        <m:ctrlPr>
                          <w:rPr>
                            <w:rFonts w:ascii="Cambria Math" w:hAnsi="Cambria Math"/>
                            <w:i/>
                            <w:lang w:val="en-US"/>
                          </w:rPr>
                        </m:ctrlPr>
                      </m:fPr>
                      <m:num>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seed</m:t>
                            </m:r>
                          </m:sub>
                          <m:sup>
                            <m:r>
                              <m:rPr>
                                <m:sty m:val="p"/>
                              </m:rPr>
                              <w:rPr>
                                <w:rFonts w:ascii="Cambria Math" w:hAnsi="Cambria Math"/>
                                <w:lang w:val="en-US"/>
                              </w:rPr>
                              <m:t>2</m:t>
                            </m:r>
                          </m:sup>
                        </m:sSubSup>
                      </m:num>
                      <m:den>
                        <m:r>
                          <m:rPr>
                            <m:sty m:val="p"/>
                          </m:rPr>
                          <w:rPr>
                            <w:rFonts w:ascii="Cambria Math" w:hAnsi="Cambria Math"/>
                            <w:lang w:val="en-US"/>
                          </w:rPr>
                          <m:t>S</m:t>
                        </m:r>
                      </m:den>
                    </m:f>
                  </m:num>
                  <m:den>
                    <m:f>
                      <m:fPr>
                        <m:type m:val="lin"/>
                        <m:ctrlPr>
                          <w:rPr>
                            <w:rFonts w:ascii="Cambria Math" w:hAnsi="Cambria Math"/>
                            <w:i/>
                            <w:lang w:val="en-US"/>
                          </w:rPr>
                        </m:ctrlPr>
                      </m:fPr>
                      <m:num>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seed</m:t>
                            </m:r>
                          </m:sub>
                          <m:sup>
                            <m:r>
                              <m:rPr>
                                <m:sty m:val="p"/>
                              </m:rPr>
                              <w:rPr>
                                <w:rFonts w:ascii="Cambria Math" w:hAnsi="Cambria Math"/>
                                <w:lang w:val="en-US"/>
                              </w:rPr>
                              <m:t>2</m:t>
                            </m:r>
                          </m:sup>
                        </m:sSubSup>
                      </m:num>
                      <m:den>
                        <m:r>
                          <m:rPr>
                            <m:sty m:val="p"/>
                          </m:rPr>
                          <w:rPr>
                            <w:rFonts w:ascii="Cambria Math" w:hAnsi="Cambria Math"/>
                            <w:lang w:val="en-US"/>
                          </w:rPr>
                          <m:t>S</m:t>
                        </m:r>
                      </m:den>
                    </m:f>
                    <m:r>
                      <m:rPr>
                        <m:sty m:val="p"/>
                      </m:rPr>
                      <w:rPr>
                        <w:rFonts w:ascii="Cambria Math" w:hAnsi="Cambria Math"/>
                        <w:lang w:val="en-US"/>
                      </w:rPr>
                      <m:t>+</m:t>
                    </m:r>
                    <m:sSub>
                      <m:sSubPr>
                        <m:ctrlPr>
                          <w:rPr>
                            <w:rFonts w:ascii="Cambria Math" w:hAnsi="Cambria Math"/>
                            <w:i/>
                            <w:lang w:val="en-US"/>
                          </w:rPr>
                        </m:ctrlPr>
                      </m:sSubPr>
                      <m:e>
                        <m:r>
                          <m:rPr>
                            <m:sty m:val="p"/>
                          </m:rPr>
                          <w:rPr>
                            <w:rFonts w:ascii="Cambria Math" w:hAnsi="Cambria Math"/>
                            <w:lang w:val="en-US"/>
                          </w:rPr>
                          <m:t>V</m:t>
                        </m:r>
                      </m:e>
                      <m:sub>
                        <m:r>
                          <m:rPr>
                            <m:nor/>
                          </m:rPr>
                          <w:rPr>
                            <w:rFonts w:ascii="Cambria Math" w:hAnsi="Cambria Math"/>
                            <w:lang w:val="en-US"/>
                          </w:rPr>
                          <m:t>win</m:t>
                        </m:r>
                      </m:sub>
                    </m:sSub>
                  </m:den>
                </m:f>
              </m:oMath>
            </m:oMathPara>
          </w:p>
        </w:tc>
        <w:tc>
          <w:tcPr>
            <w:tcW w:w="561" w:type="dxa"/>
          </w:tcPr>
          <w:p w14:paraId="7C450453" w14:textId="77777777" w:rsidR="00DD3CF2" w:rsidRPr="00490BC6" w:rsidRDefault="00DD3CF2" w:rsidP="00F47CC9">
            <w:pPr>
              <w:jc w:val="right"/>
              <w:rPr>
                <w:rFonts w:ascii="Times New Roman" w:hAnsi="Times New Roman"/>
                <w:lang w:val="en-US"/>
              </w:rPr>
            </w:pPr>
            <w:r>
              <w:rPr>
                <w:rFonts w:ascii="Times New Roman" w:hAnsi="Times New Roman"/>
                <w:lang w:val="en-US"/>
              </w:rPr>
              <w:t>(</w:t>
            </w:r>
            <w:r>
              <w:rPr>
                <w:rFonts w:ascii="Times New Roman" w:hAnsi="Times New Roman"/>
              </w:rPr>
              <w:t>3</w:t>
            </w:r>
            <w:r>
              <w:rPr>
                <w:rFonts w:ascii="Times New Roman" w:hAnsi="Times New Roman"/>
                <w:lang w:val="en-US"/>
              </w:rPr>
              <w:t>)</w:t>
            </w:r>
          </w:p>
        </w:tc>
      </w:tr>
    </w:tbl>
    <w:p w14:paraId="3D72597E" w14:textId="77777777" w:rsidR="0033557E" w:rsidRPr="00F22774" w:rsidRDefault="0033557E" w:rsidP="002424C2">
      <w:pPr>
        <w:tabs>
          <w:tab w:val="center" w:pos="4677"/>
          <w:tab w:val="right" w:pos="9355"/>
        </w:tabs>
        <w:spacing w:before="160"/>
        <w:jc w:val="both"/>
        <w:rPr>
          <w:lang w:val="en-US"/>
        </w:rPr>
      </w:pPr>
      <w:r>
        <w:rPr>
          <w:rFonts w:ascii="Times New Roman" w:eastAsia="Times New Roman" w:hAnsi="Times New Roman" w:cs="Times New Roman"/>
          <w:i/>
          <w:iCs/>
          <w:lang w:val="en-US"/>
        </w:rPr>
        <w:tab/>
      </w:r>
      <w:r>
        <w:rPr>
          <w:rFonts w:ascii="Times New Roman" w:eastAsia="Times New Roman" w:hAnsi="Times New Roman" w:cs="Times New Roman"/>
          <w:lang w:val="en-US"/>
        </w:rPr>
        <w:t xml:space="preserve">in which </w:t>
      </w:r>
      <m:oMath>
        <m:r>
          <m:rPr>
            <m:sty m:val="p"/>
          </m:rPr>
          <w:rPr>
            <w:rFonts w:ascii="Cambria Math" w:eastAsia="Times New Roman" w:hAnsi="Cambria Math" w:cs="Times New Roman"/>
            <w:lang w:val="en-US"/>
          </w:rPr>
          <m:t>S</m:t>
        </m:r>
      </m:oMath>
      <w:r>
        <w:rPr>
          <w:rFonts w:ascii="Times New Roman" w:eastAsia="Times New Roman" w:hAnsi="Times New Roman" w:cs="Times New Roman"/>
          <w:lang w:val="en-US"/>
        </w:rPr>
        <w:t xml:space="preserve"> is the number of seeds and </w:t>
      </w:r>
      <m:oMath>
        <m:sSub>
          <m:sSubPr>
            <m:ctrlPr>
              <w:rPr>
                <w:rFonts w:ascii="Cambria Math" w:hAnsi="Cambria Math"/>
                <w:i/>
                <w:lang w:val="en-US"/>
              </w:rPr>
            </m:ctrlPr>
          </m:sSubPr>
          <m:e>
            <m:r>
              <m:rPr>
                <m:sty m:val="p"/>
              </m:rPr>
              <w:rPr>
                <w:rFonts w:ascii="Cambria Math" w:hAnsi="Cambria Math"/>
                <w:lang w:val="en-US"/>
              </w:rPr>
              <m:t>V</m:t>
            </m:r>
          </m:e>
          <m:sub>
            <m:r>
              <m:rPr>
                <m:nor/>
              </m:rPr>
              <w:rPr>
                <w:rFonts w:ascii="Cambria Math" w:hAnsi="Cambria Math"/>
                <w:lang w:val="en-US"/>
              </w:rPr>
              <m:t>win</m:t>
            </m:r>
          </m:sub>
        </m:sSub>
      </m:oMath>
      <w:r>
        <w:rPr>
          <w:rFonts w:ascii="Times New Roman" w:eastAsia="Times New Roman" w:hAnsi="Times New Roman" w:cs="Times New Roman"/>
          <w:lang w:val="en-US"/>
        </w:rPr>
        <w:t xml:space="preserve"> is the variance of the window-average, estimated by a moving block bootstrap with block length three so that serial dependence between neighbouring test windows is not mistaken for independent replication. Without this correction the window component is understated and the seed share correspondingly overstated; in our data the uncorrected estimate is 10 to 15 percentage points higher.</w:t>
      </w:r>
    </w:p>
    <w:p w14:paraId="66E00020" w14:textId="77777777" w:rsidR="0033557E" w:rsidRPr="00F22774" w:rsidRDefault="0033557E" w:rsidP="0033557E">
      <w:pPr>
        <w:jc w:val="both"/>
        <w:rPr>
          <w:lang w:val="en-US"/>
        </w:rPr>
      </w:pPr>
      <w:r>
        <w:rPr>
          <w:rFonts w:ascii="Times New Roman" w:eastAsia="Times New Roman" w:hAnsi="Times New Roman" w:cs="Times New Roman"/>
          <w:b/>
          <w:bCs/>
          <w:lang w:val="en-US"/>
        </w:rPr>
        <w:t xml:space="preserve">Orthogonality. </w:t>
      </w:r>
      <w:r>
        <w:rPr>
          <w:rFonts w:ascii="Times New Roman" w:eastAsia="Times New Roman" w:hAnsi="Times New Roman" w:cs="Times New Roman"/>
          <w:lang w:val="en-US"/>
        </w:rPr>
        <w:t xml:space="preserve">The two components come from a single decomposition of the total sum of squares, so they cannot overlap by construction. We verify this numerically for every household: the identity </w:t>
      </w:r>
      <m:oMath>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SS</m:t>
            </m:r>
          </m:e>
          <m:sub>
            <m:r>
              <m:rPr>
                <m:nor/>
              </m:rPr>
              <w:rPr>
                <w:rFonts w:ascii="Cambria Math" w:eastAsia="Times New Roman" w:hAnsi="Cambria Math" w:cs="Times New Roman"/>
                <w:lang w:val="en-US"/>
              </w:rPr>
              <m:t>total</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SS</m:t>
            </m:r>
          </m:e>
          <m:sub>
            <m:r>
              <m:rPr>
                <m:nor/>
              </m:rPr>
              <w:rPr>
                <w:rFonts w:ascii="Cambria Math" w:eastAsia="Times New Roman" w:hAnsi="Cambria Math" w:cs="Times New Roman"/>
                <w:lang w:val="en-US"/>
              </w:rPr>
              <m:t>between</m:t>
            </m:r>
          </m:sub>
        </m:sSub>
        <m:r>
          <m:rPr>
            <m:sty m:val="p"/>
          </m:rPr>
          <w:rPr>
            <w:rFonts w:ascii="Cambria Math" w:eastAsia="Times New Roman" w:hAnsi="Cambria Math" w:cs="Times New Roman"/>
            <w:lang w:val="en-US"/>
          </w:rPr>
          <m:t>+</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SS</m:t>
            </m:r>
          </m:e>
          <m:sub>
            <m:r>
              <m:rPr>
                <m:nor/>
              </m:rPr>
              <w:rPr>
                <w:rFonts w:ascii="Cambria Math" w:eastAsia="Times New Roman" w:hAnsi="Cambria Math" w:cs="Times New Roman"/>
                <w:lang w:val="en-US"/>
              </w:rPr>
              <m:t>within</m:t>
            </m:r>
          </m:sub>
        </m:sSub>
      </m:oMath>
      <w:r>
        <w:rPr>
          <w:rFonts w:ascii="Times New Roman" w:eastAsia="Times New Roman" w:hAnsi="Times New Roman" w:cs="Times New Roman"/>
          <w:lang w:val="en-US"/>
        </w:rPr>
        <w:t xml:space="preserve"> holds to a maximum relative residual of </w:t>
      </w:r>
      <m:oMath>
        <m:r>
          <m:rPr>
            <m:sty m:val="p"/>
          </m:rPr>
          <w:rPr>
            <w:rFonts w:ascii="Cambria Math" w:eastAsia="Times New Roman" w:hAnsi="Cambria Math" w:cs="Times New Roman"/>
            <w:lang w:val="en-US"/>
          </w:rPr>
          <m:t>2×</m:t>
        </m:r>
        <m:sSup>
          <m:sSupPr>
            <m:ctrlPr>
              <w:rPr>
                <w:rFonts w:ascii="Cambria Math" w:eastAsia="Times New Roman" w:hAnsi="Cambria Math" w:cs="Times New Roman"/>
                <w:i/>
                <w:lang w:val="en-US"/>
              </w:rPr>
            </m:ctrlPr>
          </m:sSupPr>
          <m:e>
            <m:r>
              <m:rPr>
                <m:sty m:val="p"/>
              </m:rPr>
              <w:rPr>
                <w:rFonts w:ascii="Cambria Math" w:eastAsia="Times New Roman" w:hAnsi="Cambria Math" w:cs="Times New Roman"/>
                <w:lang w:val="en-US"/>
              </w:rPr>
              <m:t>10</m:t>
            </m:r>
          </m:e>
          <m:sup>
            <m:r>
              <m:rPr>
                <m:sty m:val="p"/>
              </m:rPr>
              <w:rPr>
                <w:rFonts w:ascii="Cambria Math" w:eastAsia="Times New Roman" w:hAnsi="Cambria Math" w:cs="Times New Roman"/>
                <w:lang w:val="en-US"/>
              </w:rPr>
              <m:t>-7</m:t>
            </m:r>
          </m:sup>
        </m:sSup>
      </m:oMath>
      <w:r>
        <w:rPr>
          <w:rFonts w:ascii="Times New Roman" w:eastAsia="Times New Roman" w:hAnsi="Times New Roman" w:cs="Times New Roman"/>
          <w:lang w:val="en-US"/>
        </w:rPr>
        <w:t>, which is the accumulation limit of double-precision arithmetic. A naive alternative estimator, the standard deviation of the per-seed mean effects, does not have this property, because the dispersion of seed means still contains window noise; it inflates the seed share by roughly ten percentage points and we do not use it.</w:t>
      </w:r>
    </w:p>
    <w:p w14:paraId="3A71C529" w14:textId="77777777" w:rsidR="0033557E" w:rsidRPr="00F22774" w:rsidRDefault="00B611D3" w:rsidP="0033557E">
      <w:pPr>
        <w:pStyle w:val="3"/>
        <w:ind w:firstLine="426"/>
        <w:rPr>
          <w:lang w:val="en-US"/>
        </w:rPr>
      </w:pPr>
      <w:r>
        <w:rPr>
          <w:lang w:val="en-US"/>
        </w:rPr>
        <w:t>5.2.2. Interval estimation at five seeds</w:t>
      </w:r>
    </w:p>
    <w:p w14:paraId="39A58133" w14:textId="77777777" w:rsidR="0033557E" w:rsidRPr="00F22774" w:rsidRDefault="0033557E" w:rsidP="0033557E">
      <w:pPr>
        <w:jc w:val="both"/>
        <w:rPr>
          <w:lang w:val="en-US"/>
        </w:rPr>
      </w:pPr>
      <w:r>
        <w:rPr>
          <w:rFonts w:ascii="Times New Roman" w:eastAsia="Times New Roman" w:hAnsi="Times New Roman" w:cs="Times New Roman"/>
          <w:lang w:val="en-US"/>
        </w:rPr>
        <w:t>The seed share is itself an estimate, and with five training runs it is not a precise one. A nonparametric bootstrap over seeds fails here for a structural reason — duplicated seeds in a resample depress the between-seed mean square, the variance component truncates at zero, and the lower limit collapses to zero on 15 households of 17. Supplementary Section S2 documents the failure; we use a model-based interval instead.</w:t>
      </w:r>
      <m:oMath>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between</m:t>
            </m:r>
          </m:sub>
        </m:sSub>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within</m:t>
            </m:r>
          </m:sub>
        </m:sSub>
      </m:oMath>
    </w:p>
    <w:p w14:paraId="1D5A4A0F" w14:textId="77777777" w:rsidR="0033557E" w:rsidRPr="00F22774" w:rsidRDefault="0033557E" w:rsidP="0033557E">
      <w:pPr>
        <w:jc w:val="both"/>
        <w:rPr>
          <w:lang w:val="en-US"/>
        </w:rPr>
      </w:pPr>
      <w:r>
        <w:rPr>
          <w:rFonts w:ascii="Times New Roman" w:eastAsia="Times New Roman" w:hAnsi="Times New Roman" w:cs="Times New Roman"/>
          <w:lang w:val="en-US"/>
        </w:rPr>
        <w:t xml:space="preserve">We therefore use the interval available for balanced one-way random effects, which is exact for the ratio of the two variance components under that model. </w:t>
      </w:r>
      <w:proofErr w:type="gramStart"/>
      <w:r>
        <w:rPr>
          <w:rFonts w:ascii="Times New Roman" w:eastAsia="Times New Roman" w:hAnsi="Times New Roman" w:cs="Times New Roman"/>
          <w:lang w:val="en-US"/>
        </w:rPr>
        <w:t>Writing  (</w:t>
      </w:r>
      <w:proofErr w:type="gramEnd"/>
      <w:r>
        <w:rPr>
          <w:rFonts w:ascii="Times New Roman" w:eastAsia="Times New Roman" w:hAnsi="Times New Roman" w:cs="Times New Roman"/>
          <w:lang w:val="en-US"/>
        </w:rPr>
        <w:t>where  denotes the ratio of seed variance to window variance), the ratio of mean squares satisfies</w:t>
      </w:r>
      <m:oMath>
        <m:r>
          <m:rPr>
            <m:sty m:val="p"/>
          </m:rPr>
          <w:rPr>
            <w:rFonts w:ascii="Cambria Math" w:eastAsia="Times New Roman" w:hAnsi="Cambria Math" w:cs="Times New Roman"/>
            <w:lang w:val="en-US"/>
          </w:rPr>
          <m:t>θ=</m:t>
        </m:r>
        <m:f>
          <m:fPr>
            <m:type m:val="lin"/>
            <m:ctrlPr>
              <w:rPr>
                <w:rFonts w:ascii="Cambria Math" w:eastAsia="Times New Roman" w:hAnsi="Cambria Math" w:cs="Times New Roman"/>
                <w:i/>
                <w:lang w:val="en-US"/>
              </w:rPr>
            </m:ctrlPr>
          </m:fPr>
          <m:num>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seed</m:t>
                </m:r>
              </m:sub>
              <m:sup>
                <m:r>
                  <m:rPr>
                    <m:sty m:val="p"/>
                  </m:rPr>
                  <w:rPr>
                    <w:rFonts w:ascii="Cambria Math" w:hAnsi="Cambria Math"/>
                    <w:lang w:val="en-US"/>
                  </w:rPr>
                  <m:t>2</m:t>
                </m:r>
              </m:sup>
            </m:sSubSup>
          </m:num>
          <m:den>
            <m:sSubSup>
              <m:sSubSupPr>
                <m:ctrlPr>
                  <w:rPr>
                    <w:rFonts w:ascii="Cambria Math" w:hAnsi="Cambria Math"/>
                    <w:i/>
                    <w:lang w:val="en-US"/>
                  </w:rPr>
                </m:ctrlPr>
              </m:sSubSupPr>
              <m:e>
                <m:r>
                  <m:rPr>
                    <m:sty m:val="p"/>
                  </m:rPr>
                  <w:rPr>
                    <w:rFonts w:ascii="Cambria Math" w:hAnsi="Cambria Math"/>
                    <w:lang w:val="en-US"/>
                  </w:rPr>
                  <m:t>σ</m:t>
                </m:r>
              </m:e>
              <m:sub>
                <m:r>
                  <m:rPr>
                    <m:nor/>
                  </m:rPr>
                  <w:rPr>
                    <w:rFonts w:ascii="Cambria Math" w:hAnsi="Cambria Math"/>
                    <w:lang w:val="en-US"/>
                  </w:rPr>
                  <m:t>win</m:t>
                </m:r>
              </m:sub>
              <m:sup>
                <m:r>
                  <m:rPr>
                    <m:sty m:val="p"/>
                  </m:rPr>
                  <w:rPr>
                    <w:rFonts w:ascii="Cambria Math" w:hAnsi="Cambria Math"/>
                    <w:lang w:val="en-US"/>
                  </w:rPr>
                  <m:t>2</m:t>
                </m:r>
              </m:sup>
            </m:sSubSup>
          </m:den>
        </m:f>
        <m:r>
          <m:rPr>
            <m:sty m:val="p"/>
          </m:rPr>
          <w:rPr>
            <w:rFonts w:ascii="Cambria Math" w:eastAsia="Times New Roman" w:hAnsi="Cambria Math" w:cs="Times New Roman"/>
            <w:lang w:val="en-US"/>
          </w:rPr>
          <m:t>θ</m:t>
        </m:r>
      </m:oMath>
    </w:p>
    <w:p w14:paraId="2BD7F4B2" w14:textId="77777777" w:rsidR="007F05BC" w:rsidRPr="00DD392A" w:rsidRDefault="00DD392A">
      <w:pPr>
        <w:rPr>
          <w:lang w:val="en-US"/>
        </w:rPr>
      </w:pPr>
      <w:r w:rsidRPr="00DD392A">
        <w:rPr>
          <w:lang w:val="en-US"/>
        </w:rPr>
        <w:lastRenderedPageBreak/>
        <w:t xml:space="preserve">Two qualifications attach to the word exact, and we use it in the restricted sense throughout. The interval is exact for the ratio under the one-way model with normal, homoscedastic errors; it </w:t>
      </w:r>
      <w:r w:rsidRPr="00DD392A">
        <w:rPr>
          <w:lang w:val="en-US"/>
        </w:rPr>
        <w:t xml:space="preserve">is not exact for the share, because converting the ratio into a share requires the window variance of the mean, which we estimate separately by a moving block bootstrap rather than from the same model. Section 6.2.3 measures both departures: the bootstrap </w:t>
      </w:r>
      <w:r w:rsidRPr="00DD392A">
        <w:rPr>
          <w:lang w:val="en-US"/>
        </w:rPr>
        <w:t>and the independence-based estimate differ by a median factor of 1.13, and a coverage simulation places the interval's actual coverage near 93 to 94 per cent rather than the nominal 95. Elsewhere we write model-based interval where the distinction matters.</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4"/>
        <w:gridCol w:w="561"/>
      </w:tblGrid>
      <w:tr w:rsidR="00781F85" w14:paraId="61796233" w14:textId="77777777" w:rsidTr="00220724">
        <w:tc>
          <w:tcPr>
            <w:tcW w:w="8784" w:type="dxa"/>
          </w:tcPr>
          <w:p w14:paraId="16D322F0" w14:textId="77777777" w:rsidR="00781F85" w:rsidRPr="00781F85" w:rsidRDefault="00DD392A" w:rsidP="00781F85">
            <w:pPr>
              <w:tabs>
                <w:tab w:val="center" w:pos="4677"/>
                <w:tab w:val="right" w:pos="9355"/>
              </w:tabs>
              <w:spacing w:before="80"/>
              <w:jc w:val="center"/>
              <w:rPr>
                <w:rFonts w:ascii="Times New Roman" w:eastAsia="Times New Roman" w:hAnsi="Times New Roman" w:cs="Times New Roman"/>
                <w:lang w:val="en-US"/>
              </w:rPr>
            </w:pPr>
            <m:oMathPara>
              <m:oMath>
                <m:f>
                  <m:fPr>
                    <m:ctrlPr>
                      <w:rPr>
                        <w:rFonts w:ascii="Cambria Math" w:eastAsia="Times New Roman" w:hAnsi="Cambria Math" w:cs="Times New Roman"/>
                        <w:i/>
                        <w:lang w:val="en-US"/>
                      </w:rPr>
                    </m:ctrlPr>
                  </m:fPr>
                  <m:num>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between</m:t>
                        </m:r>
                      </m:sub>
                    </m:sSub>
                  </m:num>
                  <m:den>
                    <m:r>
                      <m:rPr>
                        <m:sty m:val="p"/>
                      </m:rPr>
                      <w:rPr>
                        <w:rFonts w:ascii="Cambria Math" w:eastAsia="Times New Roman" w:hAnsi="Cambria Math" w:cs="Times New Roman"/>
                        <w:lang w:val="en-US"/>
                      </w:rPr>
                      <m:t>M</m:t>
                    </m:r>
                    <m:sSub>
                      <m:sSubPr>
                        <m:ctrlPr>
                          <w:rPr>
                            <w:rFonts w:ascii="Cambria Math" w:eastAsia="Times New Roman" w:hAnsi="Cambria Math" w:cs="Times New Roman"/>
                            <w:i/>
                            <w:lang w:val="en-US"/>
                          </w:rPr>
                        </m:ctrlPr>
                      </m:sSubPr>
                      <m:e>
                        <m:r>
                          <m:rPr>
                            <m:sty m:val="p"/>
                          </m:rPr>
                          <w:rPr>
                            <w:rFonts w:ascii="Cambria Math" w:eastAsia="Times New Roman" w:hAnsi="Cambria Math" w:cs="Times New Roman"/>
                            <w:lang w:val="en-US"/>
                          </w:rPr>
                          <m:t>S</m:t>
                        </m:r>
                      </m:e>
                      <m:sub>
                        <m:r>
                          <m:rPr>
                            <m:nor/>
                          </m:rPr>
                          <w:rPr>
                            <w:rFonts w:ascii="Cambria Math" w:eastAsia="Times New Roman" w:hAnsi="Cambria Math" w:cs="Times New Roman"/>
                            <w:lang w:val="en-US"/>
                          </w:rPr>
                          <m:t>within</m:t>
                        </m:r>
                      </m:sub>
                    </m:sSub>
                    <m:r>
                      <m:rPr>
                        <m:sty m:val="p"/>
                      </m:rPr>
                      <w:rPr>
                        <w:rFonts w:ascii="Cambria Math" w:eastAsia="Times New Roman" w:hAnsi="Cambria Math" w:cs="Times New Roman"/>
                        <w:lang w:val="en-US"/>
                      </w:rPr>
                      <m:t>(1+Wθ)</m:t>
                    </m:r>
                  </m:den>
                </m:f>
                <m:r>
                  <m:rPr>
                    <m:sty m:val="p"/>
                  </m:rPr>
                  <w:rPr>
                    <w:rFonts w:ascii="Cambria Math" w:eastAsia="Times New Roman" w:hAnsi="Cambria Math" w:cs="Times New Roman"/>
                    <w:lang w:val="en-US"/>
                  </w:rPr>
                  <m:t>~F(S-1, S</m:t>
                </m:r>
                <m:d>
                  <m:dPr>
                    <m:ctrlPr>
                      <w:rPr>
                        <w:rFonts w:ascii="Cambria Math" w:eastAsia="Times New Roman" w:hAnsi="Cambria Math" w:cs="Times New Roman"/>
                        <w:i/>
                        <w:lang w:val="en-US"/>
                      </w:rPr>
                    </m:ctrlPr>
                  </m:dPr>
                  <m:e>
                    <m:r>
                      <m:rPr>
                        <m:sty m:val="p"/>
                      </m:rPr>
                      <w:rPr>
                        <w:rFonts w:ascii="Cambria Math" w:eastAsia="Times New Roman" w:hAnsi="Cambria Math" w:cs="Times New Roman"/>
                        <w:lang w:val="en-US"/>
                      </w:rPr>
                      <m:t>W-1</m:t>
                    </m:r>
                  </m:e>
                </m:d>
                <m:r>
                  <m:rPr>
                    <m:sty m:val="p"/>
                  </m:rPr>
                  <w:rPr>
                    <w:rFonts w:ascii="Cambria Math" w:eastAsia="Times New Roman" w:hAnsi="Cambria Math" w:cs="Times New Roman"/>
                    <w:lang w:val="en-US"/>
                  </w:rPr>
                  <m:t>)</m:t>
                </m:r>
              </m:oMath>
            </m:oMathPara>
          </w:p>
        </w:tc>
        <w:tc>
          <w:tcPr>
            <w:tcW w:w="561" w:type="dxa"/>
          </w:tcPr>
          <w:p w14:paraId="3CF01599" w14:textId="77777777" w:rsidR="00781F85" w:rsidRPr="00781F85" w:rsidRDefault="00781F85" w:rsidP="00781F85">
            <w:pPr>
              <w:tabs>
                <w:tab w:val="center" w:pos="4677"/>
                <w:tab w:val="right" w:pos="9355"/>
              </w:tabs>
              <w:spacing w:before="80"/>
              <w:jc w:val="right"/>
              <w:rPr>
                <w:rFonts w:ascii="Times New Roman" w:eastAsia="Times New Roman" w:hAnsi="Times New Roman" w:cs="Times New Roman"/>
                <w:lang w:val="en-US"/>
              </w:rPr>
            </w:pPr>
            <w:r>
              <w:rPr>
                <w:rFonts w:ascii="Times New Roman" w:eastAsia="Times New Roman" w:hAnsi="Times New Roman" w:cs="Times New Roman"/>
                <w:lang w:val="en-US"/>
              </w:rPr>
              <w:t>(4)</w:t>
            </w:r>
          </w:p>
        </w:tc>
      </w:tr>
    </w:tbl>
    <w:p w14:paraId="08B933A5" w14:textId="77777777" w:rsidR="0033557E" w:rsidRPr="00F22774" w:rsidRDefault="0033557E" w:rsidP="005343A0">
      <w:pPr>
        <w:spacing w:before="160"/>
        <w:jc w:val="both"/>
        <w:rPr>
          <w:lang w:val="en-US"/>
        </w:rPr>
      </w:pPr>
      <w:r>
        <w:rPr>
          <w:rFonts w:ascii="Times New Roman" w:eastAsia="Times New Roman" w:hAnsi="Times New Roman" w:cs="Times New Roman"/>
          <w:lang w:val="en-US"/>
        </w:rPr>
        <w:t xml:space="preserve">from which confidence limits for θ follow in closed form from quantiles of the </w:t>
      </w:r>
      <m:oMath>
        <m:r>
          <m:rPr>
            <m:sty m:val="p"/>
          </m:rPr>
          <w:rPr>
            <w:rFonts w:ascii="Cambria Math" w:eastAsia="Times New Roman" w:hAnsi="Cambria Math" w:cs="Times New Roman"/>
            <w:lang w:val="en-US"/>
          </w:rPr>
          <m:t>F</m:t>
        </m:r>
      </m:oMath>
      <w:r>
        <w:rPr>
          <w:rFonts w:ascii="Times New Roman" w:eastAsia="Times New Roman" w:hAnsi="Times New Roman" w:cs="Times New Roman"/>
          <w:lang w:val="en-US"/>
        </w:rPr>
        <w:t xml:space="preserve"> distribution and are mapped through to the share. The method assumes normality of the seed effects and homogeneity of window variance across seeds; in exchange it is defined and informative at </w:t>
      </w:r>
      <m:oMath>
        <m:r>
          <m:rPr>
            <m:sty m:val="p"/>
          </m:rPr>
          <w:rPr>
            <w:rFonts w:ascii="Cambria Math" w:eastAsia="Times New Roman" w:hAnsi="Cambria Math" w:cs="Times New Roman"/>
            <w:lang w:val="en-US"/>
          </w:rPr>
          <m:t>S=5</m:t>
        </m:r>
      </m:oMath>
      <w:r>
        <w:rPr>
          <w:rFonts w:ascii="Times New Roman" w:eastAsia="Times New Roman" w:hAnsi="Times New Roman" w:cs="Times New Roman"/>
          <w:lang w:val="en-US"/>
        </w:rPr>
        <w:t>, where the bootstrap is not.</w:t>
      </w:r>
    </w:p>
    <w:p w14:paraId="43FEF0BF" w14:textId="77777777" w:rsidR="0033557E" w:rsidRPr="00F22774" w:rsidRDefault="0033557E" w:rsidP="0033557E">
      <w:pPr>
        <w:jc w:val="both"/>
        <w:rPr>
          <w:lang w:val="en-US"/>
        </w:rPr>
      </w:pPr>
      <w:r>
        <w:rPr>
          <w:rFonts w:ascii="Times New Roman" w:eastAsia="Times New Roman" w:hAnsi="Times New Roman" w:cs="Times New Roman"/>
          <w:lang w:val="en-US"/>
        </w:rPr>
        <w:t>The model-based interval also settles the interpretation of the two households whose point estimate is zero. Their intervals are [0, 75] and [0, 81] per cent: a point estimate of zero reflects a component that cannot be separated from zero at five seeds, not an absence of seed variance. Both households have large and well-determined shares on the branch output, 96 and 83 per cent.</w:t>
      </w:r>
    </w:p>
    <w:p w14:paraId="2666A4E2" w14:textId="77777777" w:rsidR="0033557E" w:rsidRPr="00F22774" w:rsidRDefault="00B611D3" w:rsidP="0033557E">
      <w:pPr>
        <w:pStyle w:val="3"/>
        <w:ind w:firstLine="426"/>
        <w:rPr>
          <w:lang w:val="en-US"/>
        </w:rPr>
      </w:pPr>
      <w:r>
        <w:rPr>
          <w:lang w:val="en-US"/>
        </w:rPr>
        <w:t>5.2.3. Seed variance dominates</w:t>
      </w:r>
    </w:p>
    <w:p w14:paraId="4AD02F3E" w14:textId="77777777" w:rsidR="0033557E" w:rsidRPr="00F22774" w:rsidRDefault="0033557E" w:rsidP="0033557E">
      <w:pPr>
        <w:jc w:val="both"/>
        <w:rPr>
          <w:rFonts w:ascii="Times New Roman" w:eastAsia="Times New Roman" w:hAnsi="Times New Roman" w:cs="Times New Roman"/>
          <w:lang w:val="en-US"/>
        </w:rPr>
      </w:pPr>
      <w:r>
        <w:rPr>
          <w:rFonts w:ascii="Times New Roman" w:eastAsia="Times New Roman" w:hAnsi="Times New Roman" w:cs="Times New Roman"/>
          <w:lang w:val="en-US"/>
        </w:rPr>
        <w:t>Table 3 reports the seed share for the four combinations of configuration and model output; Fig. 4 shows the household‑level variance decomposition. We distinguish the fused forecast, which is what an ablation study would normally report, from the output of the decomposition branch, which is where the ablated component acts.</w:t>
      </w:r>
    </w:p>
    <w:p w14:paraId="2FB13FC1" w14:textId="77777777" w:rsidR="00D5053E" w:rsidRPr="00F22774" w:rsidRDefault="00D5053E" w:rsidP="0033557E">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Table 3. Share of variance of the ablation effect attributable to training seed, for four </w:t>
      </w:r>
      <w:proofErr w:type="gramStart"/>
      <w:r>
        <w:rPr>
          <w:rFonts w:ascii="Times New Roman" w:eastAsia="Times New Roman" w:hAnsi="Times New Roman" w:cs="Times New Roman"/>
          <w:lang w:val="en-US"/>
        </w:rPr>
        <w:t>auxiliary</w:t>
      </w:r>
      <w:proofErr w:type="gramEnd"/>
      <w:r>
        <w:rPr>
          <w:rFonts w:ascii="Times New Roman" w:eastAsia="Times New Roman" w:hAnsi="Times New Roman" w:cs="Times New Roman"/>
          <w:lang w:val="en-US"/>
        </w:rPr>
        <w:t xml:space="preserve">‑objective/output combinations across 17 households. Median lower limit comes from exact </w:t>
      </w:r>
      <m:oMath>
        <m:r>
          <m:rPr>
            <m:sty m:val="p"/>
          </m:rPr>
          <w:rPr>
            <w:rFonts w:ascii="Cambria Math" w:eastAsia="Times New Roman" w:hAnsi="Cambria Math" w:cs="Times New Roman"/>
            <w:lang w:val="en-US"/>
          </w:rPr>
          <m:t>F</m:t>
        </m:r>
      </m:oMath>
      <w:r>
        <w:rPr>
          <w:rFonts w:ascii="Times New Roman" w:eastAsia="Times New Roman" w:hAnsi="Times New Roman" w:cs="Times New Roman"/>
          <w:lang w:val="en-US"/>
        </w:rPr>
        <w:t>‑intervals; in no case does the upper limit fall below one half.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1224"/>
        <w:gridCol w:w="1240"/>
        <w:gridCol w:w="1783"/>
        <w:gridCol w:w="1905"/>
      </w:tblGrid>
      <w:tr w:rsidR="00B0013C" w:rsidRPr="00F22774" w14:paraId="098211A1" w14:textId="77777777" w:rsidTr="00B0013C">
        <w:trPr>
          <w:tblHeader w:val="true"/>
        </w:trPr>
        <w:tc>
          <w:tcPr>
            <w:tcW w:w="3193" w:type="dxa"/>
          </w:tcPr>
          <w:p w14:paraId="3DE7ADF9" w14:textId="77777777" w:rsidR="00B0013C" w:rsidRPr="00F22774" w:rsidRDefault="00B0013C" w:rsidP="00AE3E64">
            <w:pPr>
              <w:spacing w:before="40" w:after="40"/>
            </w:pPr>
            <w:r>
              <w:rPr>
                <w:rFonts w:ascii="Times New Roman" w:eastAsia="Times New Roman" w:hAnsi="Times New Roman" w:cs="Times New Roman"/>
                <w:b/>
                <w:bCs/>
                <w:sz w:val="20"/>
                <w:szCs w:val="20"/>
              </w:rPr>
              <w:t>Configuration and output</w:t>
            </w:r>
          </w:p>
        </w:tc>
        <w:tc>
          <w:tcPr>
            <w:tcW w:w="1224" w:type="dxa"/>
          </w:tcPr>
          <w:p w14:paraId="7C0A01A5" w14:textId="77777777" w:rsidR="00B0013C" w:rsidRPr="00F22774" w:rsidRDefault="00B0013C" w:rsidP="00AE3E64">
            <w:pPr>
              <w:spacing w:before="40" w:after="40"/>
              <w:jc w:val="center"/>
            </w:pPr>
            <w:r>
              <w:rPr>
                <w:rFonts w:ascii="Times New Roman" w:eastAsia="Times New Roman" w:hAnsi="Times New Roman" w:cs="Times New Roman"/>
                <w:b/>
                <w:bCs/>
                <w:sz w:val="20"/>
                <w:szCs w:val="20"/>
              </w:rPr>
              <w:t>Mean</w:t>
            </w:r>
          </w:p>
        </w:tc>
        <w:tc>
          <w:tcPr>
            <w:tcW w:w="1240" w:type="dxa"/>
          </w:tcPr>
          <w:p w14:paraId="26EE0F21" w14:textId="77777777" w:rsidR="00B0013C" w:rsidRPr="00F22774" w:rsidRDefault="00B0013C" w:rsidP="00AE3E64">
            <w:pPr>
              <w:spacing w:before="40" w:after="40"/>
              <w:jc w:val="center"/>
            </w:pPr>
            <w:r>
              <w:rPr>
                <w:rFonts w:ascii="Times New Roman" w:eastAsia="Times New Roman" w:hAnsi="Times New Roman" w:cs="Times New Roman"/>
                <w:b/>
                <w:bCs/>
                <w:sz w:val="20"/>
                <w:szCs w:val="20"/>
              </w:rPr>
              <w:t>Median</w:t>
            </w:r>
          </w:p>
        </w:tc>
        <w:tc>
          <w:tcPr>
            <w:tcW w:w="1783" w:type="dxa"/>
          </w:tcPr>
          <w:p w14:paraId="15C725F4" w14:textId="77777777" w:rsidR="00B0013C" w:rsidRPr="00F22774" w:rsidRDefault="00B0013C" w:rsidP="00AE3E64">
            <w:pPr>
              <w:spacing w:before="40" w:after="40"/>
              <w:jc w:val="center"/>
            </w:pPr>
            <w:r>
              <w:rPr>
                <w:rFonts w:ascii="Times New Roman" w:eastAsia="Times New Roman" w:hAnsi="Times New Roman" w:cs="Times New Roman"/>
                <w:b/>
                <w:bCs/>
                <w:sz w:val="20"/>
                <w:szCs w:val="20"/>
              </w:rPr>
              <w:t>Median lower limit</w:t>
            </w:r>
          </w:p>
        </w:tc>
        <w:tc>
          <w:tcPr>
            <w:tcW w:w="1905" w:type="dxa"/>
          </w:tcPr>
          <w:p w14:paraId="1407C7A0" w14:textId="77777777" w:rsidR="00B0013C" w:rsidRPr="00F22774" w:rsidRDefault="00B0013C" w:rsidP="00AE3E64">
            <w:pPr>
              <w:spacing w:before="40" w:after="40"/>
              <w:jc w:val="center"/>
            </w:pPr>
            <w:r>
              <w:rPr>
                <w:rFonts w:ascii="Times New Roman" w:eastAsia="Times New Roman" w:hAnsi="Times New Roman" w:cs="Times New Roman"/>
                <w:b/>
                <w:bCs/>
                <w:sz w:val="20"/>
                <w:szCs w:val="20"/>
              </w:rPr>
              <w:t>Households above 50%</w:t>
            </w:r>
          </w:p>
        </w:tc>
      </w:tr>
      <w:tr w:rsidR="00B0013C" w:rsidRPr="00F22774" w14:paraId="289902BF" w14:textId="77777777" w:rsidTr="00B0013C">
        <w:tc>
          <w:tcPr>
            <w:tcW w:w="3193" w:type="dxa"/>
          </w:tcPr>
          <w:p w14:paraId="5DEB126C" w14:textId="77777777" w:rsidR="00B0013C" w:rsidRPr="00F22774" w:rsidRDefault="00B0013C" w:rsidP="00AE3E64">
            <w:pPr>
              <w:spacing w:before="40" w:after="40"/>
            </w:pPr>
            <w:r>
              <w:rPr>
                <w:rFonts w:ascii="Times New Roman" w:eastAsia="Times New Roman" w:hAnsi="Times New Roman" w:cs="Times New Roman"/>
                <w:sz w:val="20"/>
                <w:szCs w:val="20"/>
              </w:rPr>
              <w:t>Coherent, fused forecast</w:t>
            </w:r>
          </w:p>
        </w:tc>
        <w:tc>
          <w:tcPr>
            <w:tcW w:w="1224" w:type="dxa"/>
          </w:tcPr>
          <w:p w14:paraId="1E2E9746" w14:textId="77777777" w:rsidR="00B0013C" w:rsidRPr="00F22774" w:rsidRDefault="00B0013C" w:rsidP="00AE3E64">
            <w:pPr>
              <w:spacing w:before="40" w:after="40"/>
              <w:jc w:val="center"/>
            </w:pPr>
            <w:r>
              <w:rPr>
                <w:rFonts w:ascii="Times New Roman" w:eastAsia="Times New Roman" w:hAnsi="Times New Roman" w:cs="Times New Roman"/>
                <w:sz w:val="20"/>
                <w:szCs w:val="20"/>
              </w:rPr>
              <w:t>67%</w:t>
            </w:r>
          </w:p>
        </w:tc>
        <w:tc>
          <w:tcPr>
            <w:tcW w:w="1240" w:type="dxa"/>
          </w:tcPr>
          <w:p w14:paraId="7C6E0A54" w14:textId="77777777" w:rsidR="00B0013C" w:rsidRPr="00F22774" w:rsidRDefault="00B0013C" w:rsidP="00AE3E64">
            <w:pPr>
              <w:spacing w:before="40" w:after="40"/>
              <w:jc w:val="center"/>
            </w:pPr>
            <w:r>
              <w:rPr>
                <w:rFonts w:ascii="Times New Roman" w:eastAsia="Times New Roman" w:hAnsi="Times New Roman" w:cs="Times New Roman"/>
                <w:sz w:val="20"/>
                <w:szCs w:val="20"/>
              </w:rPr>
              <w:t>83%</w:t>
            </w:r>
          </w:p>
        </w:tc>
        <w:tc>
          <w:tcPr>
            <w:tcW w:w="1783" w:type="dxa"/>
          </w:tcPr>
          <w:p w14:paraId="248F37AC" w14:textId="77777777" w:rsidR="00B0013C" w:rsidRPr="00F22774" w:rsidRDefault="00B0013C" w:rsidP="00AE3E64">
            <w:pPr>
              <w:spacing w:before="40" w:after="40"/>
              <w:jc w:val="center"/>
            </w:pPr>
            <w:r>
              <w:rPr>
                <w:rFonts w:ascii="Times New Roman" w:eastAsia="Times New Roman" w:hAnsi="Times New Roman" w:cs="Times New Roman"/>
                <w:sz w:val="20"/>
                <w:szCs w:val="20"/>
              </w:rPr>
              <w:t>51%</w:t>
            </w:r>
          </w:p>
        </w:tc>
        <w:tc>
          <w:tcPr>
            <w:tcW w:w="1905" w:type="dxa"/>
          </w:tcPr>
          <w:p w14:paraId="25577E67" w14:textId="77777777" w:rsidR="00B0013C" w:rsidRPr="00F22774" w:rsidRDefault="00B0013C" w:rsidP="00AE3E64">
            <w:pPr>
              <w:spacing w:before="40" w:after="40"/>
              <w:jc w:val="center"/>
            </w:pPr>
            <w:r>
              <w:rPr>
                <w:rFonts w:ascii="Times New Roman" w:eastAsia="Times New Roman" w:hAnsi="Times New Roman" w:cs="Times New Roman"/>
                <w:sz w:val="20"/>
                <w:szCs w:val="20"/>
              </w:rPr>
              <w:t>10 of 17</w:t>
            </w:r>
          </w:p>
        </w:tc>
      </w:tr>
      <w:tr w:rsidR="00B0013C" w:rsidRPr="00F22774" w14:paraId="283235CA" w14:textId="77777777" w:rsidTr="00B0013C">
        <w:tc>
          <w:tcPr>
            <w:tcW w:w="3193" w:type="dxa"/>
          </w:tcPr>
          <w:p w14:paraId="110B1E40" w14:textId="77777777" w:rsidR="00B0013C" w:rsidRPr="00F22774" w:rsidRDefault="00B0013C" w:rsidP="00AE3E64">
            <w:pPr>
              <w:spacing w:before="40" w:after="40"/>
            </w:pPr>
            <w:r>
              <w:rPr>
                <w:rFonts w:ascii="Times New Roman" w:eastAsia="Times New Roman" w:hAnsi="Times New Roman" w:cs="Times New Roman"/>
                <w:sz w:val="20"/>
                <w:szCs w:val="20"/>
              </w:rPr>
              <w:t>Coherent, branch output</w:t>
            </w:r>
          </w:p>
        </w:tc>
        <w:tc>
          <w:tcPr>
            <w:tcW w:w="1224" w:type="dxa"/>
          </w:tcPr>
          <w:p w14:paraId="72942DF3" w14:textId="77777777" w:rsidR="00B0013C" w:rsidRPr="00F22774" w:rsidRDefault="00B0013C" w:rsidP="00AE3E64">
            <w:pPr>
              <w:spacing w:before="40" w:after="40"/>
              <w:jc w:val="center"/>
            </w:pPr>
            <w:r>
              <w:rPr>
                <w:rFonts w:ascii="Times New Roman" w:eastAsia="Times New Roman" w:hAnsi="Times New Roman" w:cs="Times New Roman"/>
                <w:sz w:val="20"/>
                <w:szCs w:val="20"/>
              </w:rPr>
              <w:t>83%</w:t>
            </w:r>
          </w:p>
        </w:tc>
        <w:tc>
          <w:tcPr>
            <w:tcW w:w="1240" w:type="dxa"/>
          </w:tcPr>
          <w:p w14:paraId="39B3C607" w14:textId="77777777" w:rsidR="00B0013C" w:rsidRPr="00F22774" w:rsidRDefault="00B0013C" w:rsidP="00AE3E64">
            <w:pPr>
              <w:spacing w:before="40" w:after="40"/>
              <w:jc w:val="center"/>
            </w:pPr>
            <w:r>
              <w:rPr>
                <w:rFonts w:ascii="Times New Roman" w:eastAsia="Times New Roman" w:hAnsi="Times New Roman" w:cs="Times New Roman"/>
                <w:sz w:val="20"/>
                <w:szCs w:val="20"/>
              </w:rPr>
              <w:t>91%</w:t>
            </w:r>
          </w:p>
        </w:tc>
        <w:tc>
          <w:tcPr>
            <w:tcW w:w="1783" w:type="dxa"/>
          </w:tcPr>
          <w:p w14:paraId="40C0D309" w14:textId="77777777" w:rsidR="00B0013C" w:rsidRPr="00F22774" w:rsidRDefault="00B0013C" w:rsidP="00AE3E64">
            <w:pPr>
              <w:spacing w:before="40" w:after="40"/>
              <w:jc w:val="center"/>
            </w:pPr>
            <w:r>
              <w:rPr>
                <w:rFonts w:ascii="Times New Roman" w:eastAsia="Times New Roman" w:hAnsi="Times New Roman" w:cs="Times New Roman"/>
                <w:sz w:val="20"/>
                <w:szCs w:val="20"/>
              </w:rPr>
              <w:t>74%</w:t>
            </w:r>
          </w:p>
        </w:tc>
        <w:tc>
          <w:tcPr>
            <w:tcW w:w="1905" w:type="dxa"/>
          </w:tcPr>
          <w:p w14:paraId="406CC79A" w14:textId="77777777" w:rsidR="00B0013C" w:rsidRPr="00F22774" w:rsidRDefault="00B0013C" w:rsidP="00AE3E64">
            <w:pPr>
              <w:spacing w:before="40" w:after="40"/>
              <w:jc w:val="center"/>
            </w:pPr>
            <w:r>
              <w:rPr>
                <w:rFonts w:ascii="Times New Roman" w:eastAsia="Times New Roman" w:hAnsi="Times New Roman" w:cs="Times New Roman"/>
                <w:sz w:val="20"/>
                <w:szCs w:val="20"/>
              </w:rPr>
              <w:t>13 of 17</w:t>
            </w:r>
          </w:p>
        </w:tc>
      </w:tr>
      <w:tr w:rsidR="00B0013C" w:rsidRPr="00F22774" w14:paraId="580CDDD8" w14:textId="77777777" w:rsidTr="00B0013C">
        <w:tc>
          <w:tcPr>
            <w:tcW w:w="3193" w:type="dxa"/>
          </w:tcPr>
          <w:p w14:paraId="29464DDE" w14:textId="77777777" w:rsidR="00B0013C" w:rsidRPr="00F22774" w:rsidRDefault="00B0013C" w:rsidP="00AE3E64">
            <w:pPr>
              <w:spacing w:before="40" w:after="40"/>
            </w:pPr>
            <w:r>
              <w:rPr>
                <w:rFonts w:ascii="Times New Roman" w:eastAsia="Times New Roman" w:hAnsi="Times New Roman" w:cs="Times New Roman"/>
                <w:sz w:val="20"/>
                <w:szCs w:val="20"/>
              </w:rPr>
              <w:t>Misaligned, fused forecast</w:t>
            </w:r>
          </w:p>
        </w:tc>
        <w:tc>
          <w:tcPr>
            <w:tcW w:w="1224" w:type="dxa"/>
          </w:tcPr>
          <w:p w14:paraId="0925FC11" w14:textId="77777777" w:rsidR="00B0013C" w:rsidRPr="00F22774" w:rsidRDefault="00B0013C" w:rsidP="00AE3E64">
            <w:pPr>
              <w:spacing w:before="40" w:after="40"/>
              <w:jc w:val="center"/>
            </w:pPr>
            <w:r>
              <w:rPr>
                <w:rFonts w:ascii="Times New Roman" w:eastAsia="Times New Roman" w:hAnsi="Times New Roman" w:cs="Times New Roman"/>
                <w:sz w:val="20"/>
                <w:szCs w:val="20"/>
              </w:rPr>
              <w:t>63%</w:t>
            </w:r>
          </w:p>
        </w:tc>
        <w:tc>
          <w:tcPr>
            <w:tcW w:w="1240" w:type="dxa"/>
          </w:tcPr>
          <w:p w14:paraId="1143D76B" w14:textId="77777777" w:rsidR="00B0013C" w:rsidRPr="00F22774" w:rsidRDefault="00B0013C" w:rsidP="00AE3E64">
            <w:pPr>
              <w:spacing w:before="40" w:after="40"/>
              <w:jc w:val="center"/>
            </w:pPr>
            <w:r>
              <w:rPr>
                <w:rFonts w:ascii="Times New Roman" w:eastAsia="Times New Roman" w:hAnsi="Times New Roman" w:cs="Times New Roman"/>
                <w:sz w:val="20"/>
                <w:szCs w:val="20"/>
              </w:rPr>
              <w:t>80%</w:t>
            </w:r>
          </w:p>
        </w:tc>
        <w:tc>
          <w:tcPr>
            <w:tcW w:w="1783" w:type="dxa"/>
          </w:tcPr>
          <w:p w14:paraId="72ABE308" w14:textId="77777777" w:rsidR="00B0013C" w:rsidRPr="00F22774" w:rsidRDefault="00B0013C" w:rsidP="00AE3E64">
            <w:pPr>
              <w:spacing w:before="40" w:after="40"/>
              <w:jc w:val="center"/>
            </w:pPr>
            <w:r>
              <w:rPr>
                <w:rFonts w:ascii="Times New Roman" w:eastAsia="Times New Roman" w:hAnsi="Times New Roman" w:cs="Times New Roman"/>
                <w:sz w:val="20"/>
                <w:szCs w:val="20"/>
              </w:rPr>
              <w:t>48%</w:t>
            </w:r>
          </w:p>
        </w:tc>
        <w:tc>
          <w:tcPr>
            <w:tcW w:w="1905" w:type="dxa"/>
          </w:tcPr>
          <w:p w14:paraId="4731AED4" w14:textId="77777777" w:rsidR="00B0013C" w:rsidRPr="00F22774" w:rsidRDefault="00B0013C" w:rsidP="00AE3E64">
            <w:pPr>
              <w:spacing w:before="40" w:after="40"/>
              <w:jc w:val="center"/>
            </w:pPr>
            <w:r>
              <w:rPr>
                <w:rFonts w:ascii="Times New Roman" w:eastAsia="Times New Roman" w:hAnsi="Times New Roman" w:cs="Times New Roman"/>
                <w:sz w:val="20"/>
                <w:szCs w:val="20"/>
              </w:rPr>
              <w:t>8 of 17</w:t>
            </w:r>
          </w:p>
        </w:tc>
      </w:tr>
      <w:tr w:rsidR="00B0013C" w:rsidRPr="00F22774" w14:paraId="659C1D70" w14:textId="77777777" w:rsidTr="00B0013C">
        <w:tc>
          <w:tcPr>
            <w:tcW w:w="3193" w:type="dxa"/>
          </w:tcPr>
          <w:p w14:paraId="00A797B7" w14:textId="77777777" w:rsidR="00B0013C" w:rsidRPr="00F22774" w:rsidRDefault="00B0013C" w:rsidP="00AE3E64">
            <w:pPr>
              <w:spacing w:before="40" w:after="40"/>
            </w:pPr>
            <w:r>
              <w:rPr>
                <w:rFonts w:ascii="Times New Roman" w:eastAsia="Times New Roman" w:hAnsi="Times New Roman" w:cs="Times New Roman"/>
                <w:sz w:val="20"/>
                <w:szCs w:val="20"/>
              </w:rPr>
              <w:t>Misaligned, branch output</w:t>
            </w:r>
          </w:p>
        </w:tc>
        <w:tc>
          <w:tcPr>
            <w:tcW w:w="1224" w:type="dxa"/>
          </w:tcPr>
          <w:p w14:paraId="3873FEB4" w14:textId="77777777" w:rsidR="00B0013C" w:rsidRPr="00F22774" w:rsidRDefault="00B0013C" w:rsidP="00AE3E64">
            <w:pPr>
              <w:spacing w:before="40" w:after="40"/>
              <w:jc w:val="center"/>
            </w:pPr>
            <w:r>
              <w:rPr>
                <w:rFonts w:ascii="Times New Roman" w:eastAsia="Times New Roman" w:hAnsi="Times New Roman" w:cs="Times New Roman"/>
                <w:sz w:val="20"/>
                <w:szCs w:val="20"/>
              </w:rPr>
              <w:t>96%</w:t>
            </w:r>
          </w:p>
        </w:tc>
        <w:tc>
          <w:tcPr>
            <w:tcW w:w="1240" w:type="dxa"/>
          </w:tcPr>
          <w:p w14:paraId="54FF1436" w14:textId="77777777" w:rsidR="00B0013C" w:rsidRPr="00F22774" w:rsidRDefault="00B0013C" w:rsidP="00AE3E64">
            <w:pPr>
              <w:spacing w:before="40" w:after="40"/>
              <w:jc w:val="center"/>
            </w:pPr>
            <w:r>
              <w:rPr>
                <w:rFonts w:ascii="Times New Roman" w:eastAsia="Times New Roman" w:hAnsi="Times New Roman" w:cs="Times New Roman"/>
                <w:sz w:val="20"/>
                <w:szCs w:val="20"/>
              </w:rPr>
              <w:t>99%</w:t>
            </w:r>
          </w:p>
        </w:tc>
        <w:tc>
          <w:tcPr>
            <w:tcW w:w="1783" w:type="dxa"/>
          </w:tcPr>
          <w:p w14:paraId="58B7323C" w14:textId="77777777" w:rsidR="00B0013C" w:rsidRPr="00F22774" w:rsidRDefault="00B0013C" w:rsidP="00AE3E64">
            <w:pPr>
              <w:spacing w:before="40" w:after="40"/>
              <w:jc w:val="center"/>
            </w:pPr>
            <w:r>
              <w:rPr>
                <w:rFonts w:ascii="Times New Roman" w:eastAsia="Times New Roman" w:hAnsi="Times New Roman" w:cs="Times New Roman"/>
                <w:sz w:val="20"/>
                <w:szCs w:val="20"/>
              </w:rPr>
              <w:t>98%</w:t>
            </w:r>
          </w:p>
        </w:tc>
        <w:tc>
          <w:tcPr>
            <w:tcW w:w="1905" w:type="dxa"/>
          </w:tcPr>
          <w:p w14:paraId="070F00BE" w14:textId="77777777" w:rsidR="00B0013C" w:rsidRPr="00F22774" w:rsidRDefault="00B0013C" w:rsidP="00AE3E64">
            <w:pPr>
              <w:spacing w:before="40" w:after="40"/>
              <w:jc w:val="center"/>
            </w:pPr>
            <w:r>
              <w:rPr>
                <w:rFonts w:ascii="Times New Roman" w:eastAsia="Times New Roman" w:hAnsi="Times New Roman" w:cs="Times New Roman"/>
                <w:sz w:val="20"/>
                <w:szCs w:val="20"/>
              </w:rPr>
              <w:t>16 of 17</w:t>
            </w:r>
          </w:p>
        </w:tc>
      </w:tr>
    </w:tbl>
    <w:p w14:paraId="3122362B" w14:textId="77777777" w:rsidR="00373CA8" w:rsidRPr="00F22774" w:rsidRDefault="00791136" w:rsidP="00373CA8">
      <w:pPr>
        <w:spacing w:before="160"/>
        <w:jc w:val="both"/>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inline distT="0" distB="0" distL="0" distR="0" wp14:anchorId="435BAAC4" wp14:editId="2EB2F6B3">
            <wp:extent cx="5760732" cy="4102616"/>
            <wp:effectExtent l="0" t="0" r="0" b="0"/>
            <wp:docPr id="10" name="Рисунок 10" descr="Training-seed and evaluation-window shares of ablation-effect variance across households." title="Training-seed and evaluation-window shares of ablation-effect variance across house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32" cy="4102616"/>
                    </a:xfrm>
                    <a:prstGeom prst="rect">
                      <a:avLst/>
                    </a:prstGeom>
                  </pic:spPr>
                </pic:pic>
              </a:graphicData>
            </a:graphic>
          </wp:inline>
        </w:drawing>
      </w:r>
    </w:p>
    <w:p w14:paraId="0884D95B" w14:textId="77777777" w:rsidR="00373CA8" w:rsidRPr="00F22774" w:rsidRDefault="00373CA8" w:rsidP="00B91C93">
      <w:pPr>
        <w:jc w:val="both"/>
        <w:rPr>
          <w:rFonts w:ascii="Times New Roman" w:eastAsia="Times New Roman" w:hAnsi="Times New Roman" w:cs="Times New Roman"/>
          <w:lang w:val="en-US"/>
        </w:rPr>
      </w:pPr>
      <w:r>
        <w:rPr>
          <w:rFonts w:ascii="Times New Roman" w:eastAsia="Times New Roman" w:hAnsi="Times New Roman" w:cs="Times New Roman"/>
          <w:lang w:val="en-US"/>
        </w:rPr>
        <w:t>Fig. 4. Decomposition of the variance of the estimated ablation effect for the coherent configuration on the fused forecast. Each bar is one household, ordered by the seed share; the dark segment is the component attributable to the choice of training seed, and the light segment is the component attributable to the finite evaluation set. Vertical bars are exact 95 per cent intervals for the seed share, obtained from the F distribution of the ratio of mean squares. The dashed line marks one half. The seed component has a median share of 83 per cent and is nowhere confidently below one half; the two households whose point estimate is zero are cases in which the variance component truncates at the boundary rather than cases of absent seed variance, as their upper limits of 75 and 81 per cent make clear.</w:t>
      </w:r>
    </w:p>
    <w:p w14:paraId="6B932157" w14:textId="77777777" w:rsidR="00B0013C" w:rsidRPr="00F22774" w:rsidRDefault="00B0013C" w:rsidP="00B0013C">
      <w:pPr>
        <w:jc w:val="both"/>
        <w:rPr>
          <w:lang w:val="en-US"/>
        </w:rPr>
      </w:pPr>
      <w:r>
        <w:rPr>
          <w:rFonts w:ascii="Times New Roman" w:eastAsia="Times New Roman" w:hAnsi="Times New Roman" w:cs="Times New Roman"/>
          <w:lang w:val="en-US"/>
        </w:rPr>
        <w:t>Two statements are supported at conventional confidence levels, and they are not the same statement. First, in no household of any configuration does the upper confidence limit fall below one half, so a majority contribution from training randomness can be ruled out nowhere. Second, in between 8 and 16 households per configuration the lower limit exceeds one half, so a minority contribution can be ruled out there; on the primary combination this holds for 10 households of 17. An earlier version of this paper stated the first fact as though it established the second, which it does not: an interval running from 0 to 75 per cent is consistent both with dominance and with a minority contribution. For the branch output of the misaligned configuration the result is close to deterministic, with seven households returning intervals of [99, 100] or [100, 100] per cent.</w:t>
      </w:r>
    </w:p>
    <w:p w14:paraId="06730A09" w14:textId="77777777" w:rsidR="00B0013C" w:rsidRPr="00F22774" w:rsidRDefault="00B0013C" w:rsidP="00B0013C">
      <w:pPr>
        <w:jc w:val="both"/>
        <w:rPr>
          <w:lang w:val="en-US"/>
        </w:rPr>
      </w:pPr>
      <w:r>
        <w:rPr>
          <w:rFonts w:ascii="Times New Roman" w:eastAsia="Times New Roman" w:hAnsi="Times New Roman" w:cs="Times New Roman"/>
          <w:lang w:val="en-US"/>
        </w:rPr>
        <w:t xml:space="preserve">The share is a property of the experimental design as much as of the data, because window variance is divided by the number of test windows while seed variance is divided only by the number of seeds. We therefore also report the seed-to-window variance ratio, the ratio of the seed variance component to the window variance of the mean, whose median across households is 24 and which ranges from 0 to 52 on this combination; on the branch output the median is 51, and on the branch output of the misaligned configuration it reaches 495. This ratio is comparable across designs with different numbers of seeds, which the share is not, but it is not seed-to-window in the strong sense: Section 5.5.4 shows it moving by 16 per cent when only the number of evaluation windows changes, which at five seeds is within noise but is not invariance. A study would need about 25 independent training runs per configuration before seed variance ceased to dominate its uncertainty, and about 100 before it fell to one fifth. Five runs, at the generous end </w:t>
      </w:r>
      <w:r>
        <w:rPr>
          <w:rFonts w:ascii="Times New Roman" w:eastAsia="Times New Roman" w:hAnsi="Times New Roman" w:cs="Times New Roman"/>
          <w:lang w:val="en-US"/>
        </w:rPr>
        <w:lastRenderedPageBreak/>
        <w:t>of current practice, leave the share at 83 per cent for the median household. That figure belongs to this architecture: on two external forecasters the same ratio is an order of magnitude smaller (Section 5.2.6).</w:t>
      </w:r>
    </w:p>
    <w:p w14:paraId="06549F77" w14:textId="77777777" w:rsidR="0033557E" w:rsidRPr="00F22774" w:rsidRDefault="00B611D3" w:rsidP="0033557E">
      <w:pPr>
        <w:pStyle w:val="3"/>
        <w:ind w:firstLine="426"/>
        <w:rPr>
          <w:lang w:val="en-US"/>
        </w:rPr>
      </w:pPr>
      <w:bookmarkStart w:id="2" w:name="_Hlk236747770"/>
      <w:r>
        <w:rPr>
          <w:lang w:val="en-US"/>
        </w:rPr>
        <w:t>5.2.4. Consequences for inference</w:t>
      </w:r>
    </w:p>
    <w:p w14:paraId="77764170" w14:textId="77777777" w:rsidR="00B0013C" w:rsidRPr="00F22774" w:rsidRDefault="00B0013C" w:rsidP="00B0013C">
      <w:pPr>
        <w:jc w:val="both"/>
        <w:rPr>
          <w:rFonts w:ascii="Times New Roman" w:eastAsia="Times New Roman" w:hAnsi="Times New Roman" w:cs="Times New Roman"/>
          <w:lang w:val="en-US"/>
        </w:rPr>
      </w:pPr>
      <w:r>
        <w:rPr>
          <w:rFonts w:ascii="Times New Roman" w:eastAsia="Times New Roman" w:hAnsi="Times New Roman" w:cs="Times New Roman"/>
          <w:lang w:val="en-US"/>
        </w:rPr>
        <w:t>Recomputing the per-household intervals with the full standard error removes most of the nominally significant effects. In the coherent configuration the count falls from 7 of 17 households to 2; in the misaligned configuration, from 7 of 17 to 3. The direction of the change is not in doubt, since the window-only interval is a strict subset of the full one, but the magnitude is: more than half of the architectural effects that a conventional analysis would report as established are not distinguishable from training noise.</w:t>
      </w:r>
    </w:p>
    <w:p w14:paraId="0EB96226" w14:textId="77777777" w:rsidR="003223E0" w:rsidRPr="00F22774" w:rsidRDefault="003223E0" w:rsidP="00B0013C">
      <w:pPr>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reattribution also changes the picture at the pooled level. All figures below are on the normalised scale of Section 4.4, each household's effect expressed as a fraction of its own constant-predictor error, so that the practical threshold is a single line at ±2 per cent rather than a band running from 0.8 to 9.8 W; the same analysis in watts is reported in Table 6 and Fig. 5 and leads to the same conclusions. With window-only standard errors the random-effects summary carries τ = 0.66 per cent and I² = 86.7 per cent, suggesting substantial between-household heterogeneity; once seed variance is propagated to the correct level of the hierarchy, both collapse (τ = 0.30 per cent, I² = 30.4 per cent, </w:t>
      </w:r>
      <w:proofErr w:type="gramStart"/>
      <w:r>
        <w:rPr>
          <w:rFonts w:ascii="Times New Roman" w:eastAsia="Times New Roman" w:hAnsi="Times New Roman" w:cs="Times New Roman"/>
          <w:lang w:val="en-US"/>
        </w:rPr>
        <w:t>Q(</w:t>
      </w:r>
      <w:proofErr w:type="gramEnd"/>
      <w:r>
        <w:rPr>
          <w:rFonts w:ascii="Times New Roman" w:eastAsia="Times New Roman" w:hAnsi="Times New Roman" w:cs="Times New Roman"/>
          <w:lang w:val="en-US"/>
        </w:rPr>
        <w:t>16) = 23.0, p = 0.11).</w:t>
      </w:r>
    </w:p>
    <w:p w14:paraId="78F6F40A"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The consequence for sample size is real but smaller than it first appears, and the calculation needs an outlier-resistant estimat</w:t>
      </w:r>
      <w:r w:rsidRPr="00DD392A">
        <w:rPr>
          <w:rFonts w:ascii="Times New Roman" w:hAnsi="Times New Roman" w:cs="Times New Roman"/>
          <w:lang w:val="en-US"/>
        </w:rPr>
        <w:t>e to be read at all. It rests on the mean within-household variance, and one household with degenerate test targets supplies 79 per cent of the sum of the seventeen values, exceeding the median by two orders of magnitude. Detecting a mean effect of one per</w:t>
      </w:r>
      <w:r w:rsidRPr="00DD392A">
        <w:rPr>
          <w:rFonts w:ascii="Times New Roman" w:hAnsi="Times New Roman" w:cs="Times New Roman"/>
          <w:lang w:val="en-US"/>
        </w:rPr>
        <w:t xml:space="preserve"> cent of household error at 80 per cent power requires 8 households under window-only standard errors and 41 under full propagation; on a 10 per cent trimmed mean the same figures are 6 and 11. At the 2 per cent threshold they are 2 and 11 untrimmed, 2 and</w:t>
      </w:r>
      <w:r w:rsidRPr="00DD392A">
        <w:rPr>
          <w:rFonts w:ascii="Times New Roman" w:hAnsi="Times New Roman" w:cs="Times New Roman"/>
          <w:lang w:val="en-US"/>
        </w:rPr>
        <w:t xml:space="preserve"> 3 trimmed. Leave-one-out over all seventeen households leaves the untrimmed requirement at the 2 per cent threshold at 11 in fifteen cases and 10 in one, falling to 3 only when the degenerate household is removed — the same household flagged independently</w:t>
      </w:r>
      <w:r w:rsidRPr="00DD392A">
        <w:rPr>
          <w:rFonts w:ascii="Times New Roman" w:hAnsi="Times New Roman" w:cs="Times New Roman"/>
          <w:lang w:val="en-US"/>
        </w:rPr>
        <w:t xml:space="preserve"> in the data audit of Section 4.2.1. What is robust is the direction and the fact that five households give no useful power at the 1 per cent threshold under any variant; the individual figures are not, and we report the trimmed calculation as primary and </w:t>
      </w:r>
      <w:r w:rsidRPr="00DD392A">
        <w:rPr>
          <w:rFonts w:ascii="Times New Roman" w:hAnsi="Times New Roman" w:cs="Times New Roman"/>
          <w:lang w:val="en-US"/>
        </w:rPr>
        <w:t>the untrimmed one as an upper scenario. The study that originally motivated this work used five.</w:t>
      </w:r>
    </w:p>
    <w:p w14:paraId="34FD123A" w14:textId="77777777" w:rsidR="00012A2C" w:rsidRPr="00F22774" w:rsidRDefault="003223E0" w:rsidP="0033557E">
      <w:pPr>
        <w:jc w:val="both"/>
        <w:rPr>
          <w:rFonts w:ascii="Times New Roman" w:eastAsia="Times New Roman" w:hAnsi="Times New Roman" w:cs="Times New Roman"/>
          <w:lang w:val="en-US"/>
        </w:rPr>
      </w:pPr>
      <w:r>
        <w:rPr>
          <w:rFonts w:ascii="Times New Roman" w:eastAsia="Times New Roman" w:hAnsi="Times New Roman" w:cs="Times New Roman"/>
          <w:lang w:val="en-US"/>
        </w:rPr>
        <w:t>Correct attribution of variance narrows the pooled estimate while widening the individual ones, which is the expected behaviour of a hierarchical model: dispersion removed from the household level is no longer available to inflate τ. The pooled estimate itself, its prediction interval, and the question of whether the heterogeneity collapse generalizes beyond this combination are taken up in Section 5.4.2.</w:t>
      </w:r>
    </w:p>
    <w:bookmarkEnd w:id="2"/>
    <w:p w14:paraId="6BB118CE" w14:textId="77777777" w:rsidR="0033557E" w:rsidRPr="00F22774" w:rsidRDefault="00B611D3" w:rsidP="0033557E">
      <w:pPr>
        <w:pStyle w:val="3"/>
        <w:ind w:firstLine="426"/>
        <w:rPr>
          <w:lang w:val="en-US"/>
        </w:rPr>
      </w:pPr>
      <w:r>
        <w:rPr>
          <w:lang w:val="en-US"/>
        </w:rPr>
        <w:t>5.2.5. Reproducibility as an architectural property</w:t>
      </w:r>
    </w:p>
    <w:p w14:paraId="04117998" w14:textId="77777777" w:rsidR="0033557E" w:rsidRPr="00F22774" w:rsidRDefault="00B0013C" w:rsidP="0033557E">
      <w:pPr>
        <w:jc w:val="both"/>
        <w:rPr>
          <w:lang w:val="en-US"/>
        </w:rPr>
      </w:pPr>
      <w:r>
        <w:rPr>
          <w:rFonts w:ascii="Times New Roman" w:eastAsia="Times New Roman" w:hAnsi="Times New Roman" w:cs="Times New Roman"/>
          <w:lang w:val="en-US"/>
        </w:rPr>
        <w:t>The decomposition also measures something the accuracy comparison does not. In the misaligned configuration the intraclass correlation of the seed effect at the level of individual windows has a median of 0.682, against 0.155 in the coherent configuration. A high value at this level means that entire training runs settle on systematically different output levels, rather than differing only in aggregate. The misalignment between the auxiliary objective and the aggregation rule therefore degrades run-to-run reproducibility as well as calibration and accuracy, and none of the three is visible in the fused forecast.</w:t>
      </w:r>
    </w:p>
    <w:p w14:paraId="2D727F48" w14:textId="77777777" w:rsidR="0033557E" w:rsidRPr="00F22774" w:rsidRDefault="00B611D3" w:rsidP="0033557E">
      <w:pPr>
        <w:pStyle w:val="3"/>
        <w:ind w:firstLine="426"/>
        <w:rPr>
          <w:lang w:val="en-US"/>
        </w:rPr>
      </w:pPr>
      <w:r>
        <w:rPr>
          <w:lang w:val="en-US"/>
        </w:rPr>
        <w:t>5.2.6. Does the decomposition transfer beyond this architecture?</w:t>
      </w:r>
    </w:p>
    <w:p w14:paraId="1C89B670" w14:textId="77777777" w:rsidR="0033557E" w:rsidRPr="00F22774" w:rsidRDefault="00B0013C" w:rsidP="0033557E">
      <w:pPr>
        <w:jc w:val="both"/>
        <w:rPr>
          <w:lang w:val="en-US"/>
        </w:rPr>
      </w:pPr>
      <w:r>
        <w:rPr>
          <w:rFonts w:ascii="Times New Roman" w:eastAsia="Times New Roman" w:hAnsi="Times New Roman" w:cs="Times New Roman"/>
          <w:lang w:val="en-US"/>
        </w:rPr>
        <w:t>The decomposition of Section 5.2.3 was measured on a model with two unusual features, signal decomposition and a learned fusion gate. To separate the regime from the architecture we repeated it on two external forecasters that have neither: a PatchTST on the undecomposed series with reversible instance normalisation as the ablated component, and a BiLSTM with attention as the ablated component, on the same 17 households at three seeds. Supplementary Section S3 gives the configurations and the per-household results.</w:t>
      </w:r>
    </w:p>
    <w:p w14:paraId="6A28B2E3" w14:textId="77777777" w:rsidR="0033557E" w:rsidRPr="00F22774" w:rsidRDefault="00B0013C" w:rsidP="0033557E">
      <w:pPr>
        <w:jc w:val="both"/>
        <w:rPr>
          <w:lang w:val="en-US"/>
        </w:rPr>
      </w:pPr>
      <w:r>
        <w:rPr>
          <w:rFonts w:ascii="Times New Roman" w:eastAsia="Times New Roman" w:hAnsi="Times New Roman" w:cs="Times New Roman"/>
          <w:lang w:val="en-US"/>
        </w:rPr>
        <w:t xml:space="preserve">Table 4 separates the qualitative claim from the quantitative one. Qualitatively the ordering survives: across the 34 architecture-household pairs the upper confidence limit for the seed share falls below one half in a single case, and the median share is 44 per cent for the PatchTST ablation and 66 per cent for the BiLSTM </w:t>
      </w:r>
      <w:r>
        <w:rPr>
          <w:rFonts w:ascii="Times New Roman" w:eastAsia="Times New Roman" w:hAnsi="Times New Roman" w:cs="Times New Roman"/>
          <w:lang w:val="en-US"/>
        </w:rPr>
        <w:lastRenderedPageBreak/>
        <w:t>one. Quantitatively it does not. The seed-to-window variance ratio has a median of 2.4 and 5.9 against 24 in the main experiment. The extreme dominance of Section 5.2.3 is therefore a property of the architecture studied there, while the weaker statement — that the seed component is of the same order as the evaluation component or larger — holds in all three models.</w:t>
      </w:r>
    </w:p>
    <w:p w14:paraId="3663A441" w14:textId="77777777" w:rsidR="0033557E" w:rsidRPr="00F22774" w:rsidRDefault="00B0013C" w:rsidP="0033557E">
      <w:pPr>
        <w:jc w:val="both"/>
        <w:rPr>
          <w:lang w:val="en-US"/>
        </w:rPr>
      </w:pPr>
      <w:r>
        <w:rPr>
          <w:rFonts w:ascii="Times New Roman" w:eastAsia="Times New Roman" w:hAnsi="Times New Roman" w:cs="Times New Roman"/>
          <w:lang w:val="en-US"/>
        </w:rPr>
        <w:t>Table 4. Variance decomposition of the ablation effect on two external architectures, with the main experiment repeated in the last row for comparison. The seed-to-window variance ratio is the ratio of the seed variance component to the window variance of the mean, and is the only column comparable across the two seed counts.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350"/>
        <w:gridCol w:w="350"/>
        <w:gridCol w:w="900"/>
        <w:gridCol w:w="750"/>
        <w:gridCol w:w="850"/>
        <w:gridCol w:w="850"/>
        <w:gridCol w:w="1100"/>
        <w:gridCol w:w="1705"/>
      </w:tblGrid>
      <w:tr w:rsidR="004A7F0F" w:rsidRPr="00DD392A" w14:paraId="73F8EC31" w14:textId="77777777">
        <w:trPr>
          <w:tblHeader w:val="true"/>
        </w:trPr>
        <w:tc>
          <w:tcPr>
            <w:tcW w:w="1500" w:type="dxa"/>
          </w:tcPr>
          <w:p w14:paraId="27A119C5"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Architecture</w:t>
            </w:r>
          </w:p>
        </w:tc>
        <w:tc>
          <w:tcPr>
            <w:tcW w:w="1350" w:type="dxa"/>
          </w:tcPr>
          <w:p w14:paraId="6A667155"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Ablated component</w:t>
            </w:r>
          </w:p>
        </w:tc>
        <w:tc>
          <w:tcPr>
            <w:tcW w:w="350" w:type="dxa"/>
          </w:tcPr>
          <w:p w14:paraId="7716B0C1"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S</w:t>
            </w:r>
          </w:p>
        </w:tc>
        <w:tc>
          <w:tcPr>
            <w:tcW w:w="900" w:type="dxa"/>
          </w:tcPr>
          <w:p w14:paraId="3C87C503"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Median seed share</w:t>
            </w:r>
          </w:p>
        </w:tc>
        <w:tc>
          <w:tcPr>
            <w:tcW w:w="750" w:type="dxa"/>
          </w:tcPr>
          <w:p w14:paraId="3F9DE951"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IQR</w:t>
            </w:r>
          </w:p>
        </w:tc>
        <w:tc>
          <w:tcPr>
            <w:tcW w:w="850" w:type="dxa"/>
          </w:tcPr>
          <w:p w14:paraId="280CB17A"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Median lower limit</w:t>
            </w:r>
          </w:p>
        </w:tc>
        <w:tc>
          <w:tcPr>
            <w:tcW w:w="850" w:type="dxa"/>
          </w:tcPr>
          <w:p w14:paraId="0A016220"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Lower limit &gt; ½</w:t>
            </w:r>
          </w:p>
        </w:tc>
        <w:tc>
          <w:tcPr>
            <w:tcW w:w="1100" w:type="dxa"/>
          </w:tcPr>
          <w:p w14:paraId="721E2011" w14:textId="77777777" w:rsidR="004A7F0F" w:rsidRDefault="00BB709A">
            <w:pPr>
              <w:spacing w:after="20" w:line="240" w:lineRule="auto"/>
              <w:rPr>
                <w:rFonts w:ascii="Times New Roman" w:hAnsi="Times New Roman" w:cs="Times New Roman"/>
                <w:b/>
                <w:sz w:val="18"/>
                <w:szCs w:val="18"/>
              </w:rPr>
            </w:pPr>
            <w:r>
              <w:rPr>
                <w:rFonts w:ascii="Times New Roman" w:hAnsi="Times New Roman" w:cs="Times New Roman"/>
                <w:b/>
                <w:sz w:val="18"/>
                <w:szCs w:val="18"/>
              </w:rPr>
              <w:t>Truncated at zero</w:t>
            </w:r>
          </w:p>
        </w:tc>
        <w:tc>
          <w:tcPr>
            <w:tcW w:w="1705" w:type="dxa"/>
          </w:tcPr>
          <w:p w14:paraId="08C12018" w14:textId="77777777" w:rsidR="004A7F0F" w:rsidRPr="00DD392A" w:rsidRDefault="00BB709A">
            <w:pPr>
              <w:spacing w:after="20" w:line="240" w:lineRule="auto"/>
              <w:rPr>
                <w:rFonts w:ascii="Times New Roman" w:hAnsi="Times New Roman" w:cs="Times New Roman"/>
                <w:b/>
                <w:sz w:val="18"/>
                <w:szCs w:val="18"/>
                <w:lang w:val="en-US"/>
              </w:rPr>
            </w:pPr>
            <w:r w:rsidRPr="00DD392A">
              <w:rPr>
                <w:rFonts w:ascii="Times New Roman" w:hAnsi="Times New Roman" w:cs="Times New Roman"/>
                <w:b/>
                <w:sz w:val="18"/>
                <w:szCs w:val="18"/>
                <w:lang w:val="en-US"/>
              </w:rPr>
              <w:t>Median seed-to-window variance ratio</w:t>
            </w:r>
          </w:p>
        </w:tc>
      </w:tr>
      <w:tr w:rsidR="004A7F0F" w14:paraId="62596CF0" w14:textId="77777777">
        <w:tc>
          <w:tcPr>
            <w:tcW w:w="1500" w:type="dxa"/>
          </w:tcPr>
          <w:p w14:paraId="2F8A0BD6" w14:textId="77777777" w:rsidR="004A7F0F" w:rsidRDefault="00BB709A">
            <w:pPr>
              <w:spacing w:after="20" w:line="240" w:lineRule="auto"/>
              <w:rPr>
                <w:rFonts w:ascii="Times New Roman" w:hAnsi="Times New Roman" w:cs="Times New Roman"/>
                <w:sz w:val="18"/>
                <w:szCs w:val="18"/>
              </w:rPr>
            </w:pPr>
            <w:proofErr w:type="spellStart"/>
            <w:r>
              <w:rPr>
                <w:rFonts w:ascii="Times New Roman" w:hAnsi="Times New Roman" w:cs="Times New Roman"/>
                <w:sz w:val="18"/>
                <w:szCs w:val="18"/>
              </w:rPr>
              <w:t>PatchTST</w:t>
            </w:r>
            <w:proofErr w:type="spellEnd"/>
            <w:r>
              <w:rPr>
                <w:rFonts w:ascii="Times New Roman" w:hAnsi="Times New Roman" w:cs="Times New Roman"/>
                <w:sz w:val="18"/>
                <w:szCs w:val="18"/>
              </w:rPr>
              <w:t xml:space="preserve"> (</w:t>
            </w:r>
            <w:proofErr w:type="spellStart"/>
            <w:r>
              <w:rPr>
                <w:rFonts w:ascii="Times New Roman" w:hAnsi="Times New Roman" w:cs="Times New Roman"/>
                <w:sz w:val="18"/>
                <w:szCs w:val="18"/>
              </w:rPr>
              <w:t>undecomposed</w:t>
            </w:r>
            <w:proofErr w:type="spellEnd"/>
            <w:r>
              <w:rPr>
                <w:rFonts w:ascii="Times New Roman" w:hAnsi="Times New Roman" w:cs="Times New Roman"/>
                <w:sz w:val="18"/>
                <w:szCs w:val="18"/>
              </w:rPr>
              <w:t>)</w:t>
            </w:r>
          </w:p>
        </w:tc>
        <w:tc>
          <w:tcPr>
            <w:tcW w:w="1350" w:type="dxa"/>
          </w:tcPr>
          <w:p w14:paraId="5DF4EA48"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RevIN</w:t>
            </w:r>
          </w:p>
        </w:tc>
        <w:tc>
          <w:tcPr>
            <w:tcW w:w="350" w:type="dxa"/>
          </w:tcPr>
          <w:p w14:paraId="17CCA852"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3</w:t>
            </w:r>
          </w:p>
        </w:tc>
        <w:tc>
          <w:tcPr>
            <w:tcW w:w="900" w:type="dxa"/>
          </w:tcPr>
          <w:p w14:paraId="2162154D"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44%</w:t>
            </w:r>
          </w:p>
        </w:tc>
        <w:tc>
          <w:tcPr>
            <w:tcW w:w="750" w:type="dxa"/>
          </w:tcPr>
          <w:p w14:paraId="4AD7F7B3"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0–58%</w:t>
            </w:r>
          </w:p>
        </w:tc>
        <w:tc>
          <w:tcPr>
            <w:tcW w:w="850" w:type="dxa"/>
          </w:tcPr>
          <w:p w14:paraId="5A4667DD"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0%</w:t>
            </w:r>
          </w:p>
        </w:tc>
        <w:tc>
          <w:tcPr>
            <w:tcW w:w="850" w:type="dxa"/>
          </w:tcPr>
          <w:p w14:paraId="5A0B8152"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1 of 17</w:t>
            </w:r>
          </w:p>
        </w:tc>
        <w:tc>
          <w:tcPr>
            <w:tcW w:w="1100" w:type="dxa"/>
          </w:tcPr>
          <w:p w14:paraId="066D002F"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5 of 17</w:t>
            </w:r>
          </w:p>
        </w:tc>
        <w:tc>
          <w:tcPr>
            <w:tcW w:w="1705" w:type="dxa"/>
          </w:tcPr>
          <w:p w14:paraId="1EACB2F0"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2.4</w:t>
            </w:r>
          </w:p>
        </w:tc>
      </w:tr>
      <w:tr w:rsidR="004A7F0F" w14:paraId="2EF74B76" w14:textId="77777777">
        <w:tc>
          <w:tcPr>
            <w:tcW w:w="1500" w:type="dxa"/>
          </w:tcPr>
          <w:p w14:paraId="1BB52588"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BiLSTM</w:t>
            </w:r>
          </w:p>
        </w:tc>
        <w:tc>
          <w:tcPr>
            <w:tcW w:w="1350" w:type="dxa"/>
          </w:tcPr>
          <w:p w14:paraId="0F6D8CEE"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attention pooling</w:t>
            </w:r>
          </w:p>
        </w:tc>
        <w:tc>
          <w:tcPr>
            <w:tcW w:w="350" w:type="dxa"/>
          </w:tcPr>
          <w:p w14:paraId="78C4349D"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3</w:t>
            </w:r>
          </w:p>
        </w:tc>
        <w:tc>
          <w:tcPr>
            <w:tcW w:w="900" w:type="dxa"/>
          </w:tcPr>
          <w:p w14:paraId="1A23670B"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66%</w:t>
            </w:r>
          </w:p>
        </w:tc>
        <w:tc>
          <w:tcPr>
            <w:tcW w:w="750" w:type="dxa"/>
          </w:tcPr>
          <w:p w14:paraId="5B34DC26"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0–79%</w:t>
            </w:r>
          </w:p>
        </w:tc>
        <w:tc>
          <w:tcPr>
            <w:tcW w:w="850" w:type="dxa"/>
          </w:tcPr>
          <w:p w14:paraId="15EE7EC4"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0%</w:t>
            </w:r>
          </w:p>
        </w:tc>
        <w:tc>
          <w:tcPr>
            <w:tcW w:w="850" w:type="dxa"/>
          </w:tcPr>
          <w:p w14:paraId="7981DA53"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4 of 17</w:t>
            </w:r>
          </w:p>
        </w:tc>
        <w:tc>
          <w:tcPr>
            <w:tcW w:w="1100" w:type="dxa"/>
          </w:tcPr>
          <w:p w14:paraId="05A19A0B"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5 of 17</w:t>
            </w:r>
          </w:p>
        </w:tc>
        <w:tc>
          <w:tcPr>
            <w:tcW w:w="1705" w:type="dxa"/>
          </w:tcPr>
          <w:p w14:paraId="239F3D16"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5.9</w:t>
            </w:r>
          </w:p>
        </w:tc>
      </w:tr>
      <w:tr w:rsidR="004A7F0F" w14:paraId="0D5829ED" w14:textId="77777777">
        <w:tc>
          <w:tcPr>
            <w:tcW w:w="1500" w:type="dxa"/>
          </w:tcPr>
          <w:p w14:paraId="6016B8DE"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Decomposition Transformer (Section 5.2.3)</w:t>
            </w:r>
          </w:p>
        </w:tc>
        <w:tc>
          <w:tcPr>
            <w:tcW w:w="1350" w:type="dxa"/>
          </w:tcPr>
          <w:p w14:paraId="62BF1608"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identity embeddings</w:t>
            </w:r>
          </w:p>
        </w:tc>
        <w:tc>
          <w:tcPr>
            <w:tcW w:w="350" w:type="dxa"/>
          </w:tcPr>
          <w:p w14:paraId="57BD14A2"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5</w:t>
            </w:r>
          </w:p>
        </w:tc>
        <w:tc>
          <w:tcPr>
            <w:tcW w:w="900" w:type="dxa"/>
          </w:tcPr>
          <w:p w14:paraId="0BCD81FE"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83%</w:t>
            </w:r>
          </w:p>
        </w:tc>
        <w:tc>
          <w:tcPr>
            <w:tcW w:w="750" w:type="dxa"/>
          </w:tcPr>
          <w:p w14:paraId="66009967"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w:t>
            </w:r>
          </w:p>
        </w:tc>
        <w:tc>
          <w:tcPr>
            <w:tcW w:w="850" w:type="dxa"/>
          </w:tcPr>
          <w:p w14:paraId="400A0419"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51%</w:t>
            </w:r>
          </w:p>
        </w:tc>
        <w:tc>
          <w:tcPr>
            <w:tcW w:w="850" w:type="dxa"/>
          </w:tcPr>
          <w:p w14:paraId="5B4BFA56"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10 of 17</w:t>
            </w:r>
          </w:p>
        </w:tc>
        <w:tc>
          <w:tcPr>
            <w:tcW w:w="1100" w:type="dxa"/>
          </w:tcPr>
          <w:p w14:paraId="0CCFAB7C"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2 of 17</w:t>
            </w:r>
          </w:p>
        </w:tc>
        <w:tc>
          <w:tcPr>
            <w:tcW w:w="1705" w:type="dxa"/>
          </w:tcPr>
          <w:p w14:paraId="15F2594A" w14:textId="77777777" w:rsidR="004A7F0F" w:rsidRDefault="00BB709A">
            <w:pPr>
              <w:spacing w:after="20" w:line="240" w:lineRule="auto"/>
              <w:rPr>
                <w:rFonts w:ascii="Times New Roman" w:hAnsi="Times New Roman" w:cs="Times New Roman"/>
                <w:sz w:val="18"/>
                <w:szCs w:val="18"/>
              </w:rPr>
            </w:pPr>
            <w:r>
              <w:rPr>
                <w:rFonts w:ascii="Times New Roman" w:hAnsi="Times New Roman" w:cs="Times New Roman"/>
                <w:sz w:val="18"/>
                <w:szCs w:val="18"/>
              </w:rPr>
              <w:t>24</w:t>
            </w:r>
          </w:p>
        </w:tc>
      </w:tr>
    </w:tbl>
    <w:p w14:paraId="0A4D2BDD" w14:textId="77777777" w:rsidR="0033557E" w:rsidRPr="00F22774" w:rsidRDefault="00B0013C" w:rsidP="0033557E">
      <w:pPr>
        <w:jc w:val="both"/>
        <w:rPr>
          <w:lang w:val="en-US"/>
        </w:rPr>
      </w:pPr>
      <w:r>
        <w:rPr>
          <w:rFonts w:ascii="Times New Roman" w:eastAsia="Times New Roman" w:hAnsi="Times New Roman" w:cs="Times New Roman"/>
          <w:lang w:val="en-US"/>
        </w:rPr>
        <w:t xml:space="preserve">Two features of the design bound the reading. Three seeds </w:t>
      </w:r>
      <w:proofErr w:type="gramStart"/>
      <w:r>
        <w:rPr>
          <w:rFonts w:ascii="Times New Roman" w:eastAsia="Times New Roman" w:hAnsi="Times New Roman" w:cs="Times New Roman"/>
          <w:lang w:val="en-US"/>
        </w:rPr>
        <w:t>is</w:t>
      </w:r>
      <w:proofErr w:type="gramEnd"/>
      <w:r>
        <w:rPr>
          <w:rFonts w:ascii="Times New Roman" w:eastAsia="Times New Roman" w:hAnsi="Times New Roman" w:cs="Times New Roman"/>
          <w:lang w:val="en-US"/>
        </w:rPr>
        <w:t xml:space="preserve"> the minimum our own recommendation R9 admits, and the variance component truncated at zero on 5 of 17 households in each architecture, which pulls the medians down; among the households where it did not truncate they are 54 and 73 per cent. And the ablated components differ between the three models, so what transfers is a regime rather than a number. Section 5.2.7 tests the natural explanation, the fusion gate, directly.</w:t>
      </w:r>
    </w:p>
    <w:p w14:paraId="4D986AB1" w14:textId="77777777" w:rsidR="0033557E" w:rsidRPr="00F22774" w:rsidRDefault="00B611D3" w:rsidP="0033557E">
      <w:pPr>
        <w:pStyle w:val="3"/>
        <w:ind w:firstLine="426"/>
        <w:rPr>
          <w:lang w:val="en-US"/>
        </w:rPr>
      </w:pPr>
      <w:r>
        <w:rPr>
          <w:lang w:val="en-US"/>
        </w:rPr>
        <w:t>5.2.7. Is the fusion gate responsible?</w:t>
      </w:r>
    </w:p>
    <w:p w14:paraId="6B41E4FC" w14:textId="77777777" w:rsidR="0033557E" w:rsidRPr="00F22774" w:rsidRDefault="00B0013C" w:rsidP="0033557E">
      <w:pPr>
        <w:jc w:val="both"/>
        <w:rPr>
          <w:lang w:val="en-US"/>
        </w:rPr>
      </w:pPr>
      <w:r>
        <w:rPr>
          <w:rFonts w:ascii="Times New Roman" w:eastAsia="Times New Roman" w:hAnsi="Times New Roman" w:cs="Times New Roman"/>
          <w:lang w:val="en-US"/>
        </w:rPr>
        <w:t>The natural explanation for that difference is the fusion gate, and it can be tested directly. We retrained the coherent configuration with the gate removed, so that the model output is the decomposition branch itself, holding architecture, ablated component, households, seeds and training protocol fixed. The design and its primary statistic were fixed before the runs.</w:t>
      </w:r>
    </w:p>
    <w:p w14:paraId="59FA8BD6" w14:textId="77777777" w:rsidR="0033557E" w:rsidRPr="00F22774" w:rsidRDefault="00B0013C" w:rsidP="0033557E">
      <w:pPr>
        <w:jc w:val="both"/>
        <w:rPr>
          <w:lang w:val="en-US"/>
        </w:rPr>
      </w:pPr>
      <w:r>
        <w:rPr>
          <w:rFonts w:ascii="Times New Roman" w:eastAsia="Times New Roman" w:hAnsi="Times New Roman" w:cs="Times New Roman"/>
          <w:lang w:val="en-US"/>
        </w:rPr>
        <w:t>The gate makes no difference to the balance of the two components. The seed-to-window variance ratio has a median of 24.1 with the gate and 12.8 without it (Wilcoxon p = 0.52), and the seed share 83 against 72 per cent (p = 0.78). Reporting the components separately shows why: removing the gate raises the seed variance by a median factor of 2.4 and the window variance of the mean by 2.0, leaving their ratio where it was. The gate suppresses seed-driven variation at the output, as Section 5.1.3 reports, but suppresses evaluation variation to the same degree.</w:t>
      </w:r>
    </w:p>
    <w:p w14:paraId="7BD366FB" w14:textId="77777777" w:rsidR="0033557E" w:rsidRPr="00F22774" w:rsidRDefault="00B0013C" w:rsidP="0033557E">
      <w:pPr>
        <w:jc w:val="both"/>
        <w:rPr>
          <w:lang w:val="en-US"/>
        </w:rPr>
      </w:pPr>
      <w:r>
        <w:rPr>
          <w:rFonts w:ascii="Times New Roman" w:eastAsia="Times New Roman" w:hAnsi="Times New Roman" w:cs="Times New Roman"/>
          <w:lang w:val="en-US"/>
        </w:rPr>
        <w:t xml:space="preserve">Two things follow, and a third does not. The dominance of the training component is a property of the regime — few expensive </w:t>
      </w:r>
      <w:proofErr w:type="gramStart"/>
      <w:r>
        <w:rPr>
          <w:rFonts w:ascii="Times New Roman" w:eastAsia="Times New Roman" w:hAnsi="Times New Roman" w:cs="Times New Roman"/>
          <w:lang w:val="en-US"/>
        </w:rPr>
        <w:t>training</w:t>
      </w:r>
      <w:proofErr w:type="gramEnd"/>
      <w:r>
        <w:rPr>
          <w:rFonts w:ascii="Times New Roman" w:eastAsia="Times New Roman" w:hAnsi="Times New Roman" w:cs="Times New Roman"/>
          <w:lang w:val="en-US"/>
        </w:rPr>
        <w:t xml:space="preserve"> runs against many cheap evaluation points — and not of the fusion, so the conjecture at the end of Section 5.2.6 is withdrawn; what distinguishes the architecture of Section 3 from the two external ones must lie elsewhere, and our design does not identify it. And seed dominance is not an artefact of the branch being hidden: without the gate the seed share still has a median of 72 per cent, no household has an upper confidence limit below one half, and the variance component truncates at zero on no household rather than two. What does not follow is any claim that the gate is inert. Section 5.1.3 reports that it suppresses variation at the model output, and the present experiment is consistent with that: removing it raises both variance components, by median factors of 2.4 and 2.0. The two findings are about different quantities — the gate lowers the absolute variability of the output, and it leaves the ratio of the two components where it was — and neither implies the other.</w:t>
      </w:r>
    </w:p>
    <w:p w14:paraId="7822AE01" w14:textId="77777777" w:rsidR="0033557E" w:rsidRPr="00F22774" w:rsidRDefault="00CD2C2E" w:rsidP="001A5677">
      <w:pPr>
        <w:pStyle w:val="2"/>
        <w:numPr>
          <w:ilvl w:val="1"/>
          <w:numId w:val="1"/>
        </w:numPr>
        <w:rPr>
          <w:lang w:val="en-US"/>
        </w:rPr>
      </w:pPr>
      <w:r>
        <w:rPr>
          <w:lang w:val="en-US"/>
        </w:rPr>
        <w:t xml:space="preserve"> Result 3: what the identity mechanism does, and what it is worth</w:t>
      </w:r>
    </w:p>
    <w:p w14:paraId="657A6242" w14:textId="77777777" w:rsidR="001A5677" w:rsidRPr="00F22774" w:rsidRDefault="00B611D3" w:rsidP="001A5677">
      <w:pPr>
        <w:pStyle w:val="3"/>
        <w:ind w:firstLine="426"/>
        <w:rPr>
          <w:lang w:val="en-US"/>
        </w:rPr>
      </w:pPr>
      <w:r>
        <w:rPr>
          <w:lang w:val="en-US"/>
        </w:rPr>
        <w:t>5.3.1. Intervention rather than retraining</w:t>
      </w:r>
    </w:p>
    <w:p w14:paraId="23186E99" w14:textId="77777777" w:rsidR="001A5677" w:rsidRPr="00F22774" w:rsidRDefault="001A5677" w:rsidP="001A5677">
      <w:pPr>
        <w:jc w:val="both"/>
        <w:rPr>
          <w:lang w:val="en-US"/>
        </w:rPr>
      </w:pPr>
      <w:r>
        <w:rPr>
          <w:rFonts w:ascii="Times New Roman" w:eastAsia="Times New Roman" w:hAnsi="Times New Roman" w:cs="Times New Roman"/>
          <w:lang w:val="en-US"/>
        </w:rPr>
        <w:t xml:space="preserve">The preceding section established that the end-task metric is a poor instrument for observing a component. This section measures the mode-identity mechanism by a different route: instead of training a model with </w:t>
      </w:r>
      <w:r>
        <w:rPr>
          <w:rFonts w:ascii="Times New Roman" w:eastAsia="Times New Roman" w:hAnsi="Times New Roman" w:cs="Times New Roman"/>
          <w:lang w:val="en-US"/>
        </w:rPr>
        <w:lastRenderedPageBreak/>
        <w:t>the component and another without it, we take a single trained model and alter the correspondence between modes and identity embeddings at inference time, leaving the weights untouched.</w:t>
      </w:r>
    </w:p>
    <w:p w14:paraId="7B579747" w14:textId="77777777" w:rsidR="001A5677" w:rsidRPr="00F22774" w:rsidRDefault="001A5677" w:rsidP="001A5677">
      <w:pPr>
        <w:jc w:val="both"/>
        <w:rPr>
          <w:lang w:val="en-US"/>
        </w:rPr>
      </w:pPr>
      <w:r>
        <w:rPr>
          <w:rFonts w:ascii="Times New Roman" w:eastAsia="Times New Roman" w:hAnsi="Times New Roman" w:cs="Times New Roman"/>
          <w:lang w:val="en-US"/>
        </w:rPr>
        <w:t>The two designs answer slightly different questions, and the intervention answers the narrower one: it asks what the trained forecast head does with the identity signal, not what the model would have become had the mechanism been absent during training. In exchange it removes the dominant source of noise. An ablation contrast is a difference between two independently trained models and inherits the initialization variance of both; an intervention contrast is taken within one model on fixed weights, and that variance cancels.</w:t>
      </w:r>
    </w:p>
    <w:p w14:paraId="6A538BBB" w14:textId="77777777" w:rsidR="001A5677" w:rsidRPr="00F22774" w:rsidRDefault="001A5677" w:rsidP="001A5677">
      <w:pPr>
        <w:jc w:val="both"/>
        <w:rPr>
          <w:lang w:val="en-US"/>
        </w:rPr>
      </w:pPr>
      <w:r>
        <w:rPr>
          <w:rFonts w:ascii="Times New Roman" w:eastAsia="Times New Roman" w:hAnsi="Times New Roman" w:cs="Times New Roman"/>
          <w:b/>
          <w:bCs/>
          <w:lang w:val="en-US"/>
        </w:rPr>
        <w:t xml:space="preserve">The gain is measurable. </w:t>
      </w:r>
      <w:r>
        <w:rPr>
          <w:rFonts w:ascii="Times New Roman" w:eastAsia="Times New Roman" w:hAnsi="Times New Roman" w:cs="Times New Roman"/>
          <w:lang w:val="en-US"/>
        </w:rPr>
        <w:t>Re-estimating both quantities with five seeds instead of three, the per-household intervention estimates correlate at 0.81 (Pearson; 0.89 Spearman) with their three-seed counterparts, whereas the corresponding ablation estimates correlate at 0.05 (0.46 Spearman) and change sign on 3 of 17 households. At equal computational cost the intervention is the more precise instrument, and we recommend it wherever the question can be posed as a within-model contrast.</w:t>
      </w:r>
    </w:p>
    <w:p w14:paraId="22247866" w14:textId="77777777" w:rsidR="001A5677" w:rsidRPr="00F22774" w:rsidRDefault="00B611D3" w:rsidP="001A5677">
      <w:pPr>
        <w:pStyle w:val="3"/>
        <w:ind w:firstLine="426"/>
        <w:rPr>
          <w:lang w:val="en-US"/>
        </w:rPr>
      </w:pPr>
      <w:r>
        <w:rPr>
          <w:lang w:val="en-US"/>
        </w:rPr>
        <w:t>5.3.2. Conditions and controls</w:t>
      </w:r>
    </w:p>
    <w:p w14:paraId="6C2BB75F" w14:textId="77777777" w:rsidR="001A5677" w:rsidRPr="00F22774" w:rsidRDefault="001A5677" w:rsidP="001A5677">
      <w:pPr>
        <w:jc w:val="both"/>
        <w:rPr>
          <w:lang w:val="en-US"/>
        </w:rPr>
      </w:pPr>
      <w:r>
        <w:rPr>
          <w:rFonts w:ascii="Times New Roman" w:eastAsia="Times New Roman" w:hAnsi="Times New Roman" w:cs="Times New Roman"/>
          <w:lang w:val="en-US"/>
        </w:rPr>
        <w:t>Eight conditions were evaluated on every household and seed, and they differ in what they destroy. Under identity the model runs unaltered. Under cyclic, mode k receives the embedding of mode k+1, so the correspondence is broken while every embedding remains in use. Under random the rows of the embedding table are permuted, averaged over fifty non-identity permutations, with the per-window errors averaged rather than the predictions so that the averaging does not itself act as an ensemble; a variant averaging the predictions is reported alongside to show that it does not. Under mean every mode receives the average of the table, which removes the distinction between modes altogether. Under zeroed the embeddings are set to zero, which removes the vector as well as the distinction. Under shuffled the modes themselves are permuted independently in every test window. Under aggregation-permutation the aggregation weights alone are permuted, leaving embeddings intact.</w:t>
      </w:r>
    </w:p>
    <w:p w14:paraId="64269AF1"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The set is constructed so that the norm of the substituted vector is varied independently of the information it carries. Random and cyclic preserve the </w:t>
      </w:r>
      <w:r w:rsidRPr="00DD392A">
        <w:rPr>
          <w:rFonts w:ascii="Times New Roman" w:hAnsi="Times New Roman" w:cs="Times New Roman"/>
          <w:lang w:val="en-US"/>
        </w:rPr>
        <w:t>norm exactly and destroy only the correspondence; mean and zeroed also change the norm, the mean vector having about half the length of an individual row and the zero vector none. A response driven by the departure from the training distribution rather tha</w:t>
      </w:r>
      <w:r w:rsidRPr="00DD392A">
        <w:rPr>
          <w:rFonts w:ascii="Times New Roman" w:hAnsi="Times New Roman" w:cs="Times New Roman"/>
          <w:lang w:val="en-US"/>
        </w:rPr>
        <w:t>n by the loss of mode identity would therefore appear as a gradient across these conditions, and Section 5.3.3 reports that it does not.</w:t>
      </w:r>
    </w:p>
    <w:p w14:paraId="3812EAE4" w14:textId="77777777" w:rsidR="001A5677" w:rsidRPr="00F22774" w:rsidRDefault="001A5677" w:rsidP="001A5677">
      <w:pPr>
        <w:jc w:val="both"/>
        <w:rPr>
          <w:lang w:val="en-US"/>
        </w:rPr>
      </w:pPr>
      <w:r>
        <w:rPr>
          <w:rFonts w:ascii="Times New Roman" w:eastAsia="Times New Roman" w:hAnsi="Times New Roman" w:cs="Times New Roman"/>
          <w:b/>
          <w:bCs/>
          <w:lang w:val="en-US"/>
        </w:rPr>
        <w:t xml:space="preserve">A null control accompanies every measurement. </w:t>
      </w:r>
      <w:r>
        <w:rPr>
          <w:rFonts w:ascii="Times New Roman" w:eastAsia="Times New Roman" w:hAnsi="Times New Roman" w:cs="Times New Roman"/>
          <w:lang w:val="en-US"/>
        </w:rPr>
        <w:t xml:space="preserve">When modes, embeddings and aggregation weights are permuted consistently, the operation is a pure relabelling and the output must be unchanged. Across all 17 households and both configurations the observed change in mean absolute error under this control lies between </w:t>
      </w:r>
      <m:oMath>
        <m:r>
          <m:rPr>
            <m:sty m:val="p"/>
          </m:rPr>
          <w:rPr>
            <w:rFonts w:ascii="Cambria Math" w:eastAsia="Times New Roman" w:hAnsi="Cambria Math" w:cs="Times New Roman"/>
            <w:lang w:val="en-US"/>
          </w:rPr>
          <m:t>7×</m:t>
        </m:r>
        <m:sSup>
          <m:sSupPr>
            <m:ctrlPr>
              <w:rPr>
                <w:rFonts w:ascii="Cambria Math" w:eastAsia="Times New Roman" w:hAnsi="Cambria Math" w:cs="Times New Roman"/>
                <w:i/>
                <w:lang w:val="en-US"/>
              </w:rPr>
            </m:ctrlPr>
          </m:sSupPr>
          <m:e>
            <m:r>
              <m:rPr>
                <m:sty m:val="p"/>
              </m:rPr>
              <w:rPr>
                <w:rFonts w:ascii="Cambria Math" w:eastAsia="Times New Roman" w:hAnsi="Cambria Math" w:cs="Times New Roman"/>
                <w:lang w:val="en-US"/>
              </w:rPr>
              <m:t>10</m:t>
            </m:r>
          </m:e>
          <m:sup>
            <m:r>
              <m:rPr>
                <m:sty m:val="p"/>
              </m:rPr>
              <w:rPr>
                <w:rFonts w:ascii="Cambria Math" w:eastAsia="Times New Roman" w:hAnsi="Cambria Math" w:cs="Times New Roman"/>
                <w:lang w:val="en-US"/>
              </w:rPr>
              <m:t>-8</m:t>
            </m:r>
          </m:sup>
        </m:sSup>
      </m:oMath>
      <w:r>
        <w:rPr>
          <w:rFonts w:ascii="Times New Roman" w:eastAsia="Times New Roman" w:hAnsi="Times New Roman" w:cs="Times New Roman"/>
          <w:lang w:val="en-US"/>
        </w:rPr>
        <w:t xml:space="preserve"> and </w:t>
      </w:r>
      <m:oMath>
        <m:r>
          <m:rPr>
            <m:sty m:val="p"/>
          </m:rPr>
          <w:rPr>
            <w:rFonts w:ascii="Cambria Math" w:eastAsia="Times New Roman" w:hAnsi="Cambria Math" w:cs="Times New Roman"/>
            <w:lang w:val="en-US"/>
          </w:rPr>
          <m:t>4×</m:t>
        </m:r>
        <m:sSup>
          <m:sSupPr>
            <m:ctrlPr>
              <w:rPr>
                <w:rFonts w:ascii="Cambria Math" w:eastAsia="Times New Roman" w:hAnsi="Cambria Math" w:cs="Times New Roman"/>
                <w:i/>
                <w:lang w:val="en-US"/>
              </w:rPr>
            </m:ctrlPr>
          </m:sSupPr>
          <m:e>
            <m:r>
              <m:rPr>
                <m:sty m:val="p"/>
              </m:rPr>
              <w:rPr>
                <w:rFonts w:ascii="Cambria Math" w:eastAsia="Times New Roman" w:hAnsi="Cambria Math" w:cs="Times New Roman"/>
                <w:lang w:val="en-US"/>
              </w:rPr>
              <m:t>10</m:t>
            </m:r>
          </m:e>
          <m:sup>
            <m:r>
              <m:rPr>
                <m:sty m:val="p"/>
              </m:rPr>
              <w:rPr>
                <w:rFonts w:ascii="Cambria Math" w:eastAsia="Times New Roman" w:hAnsi="Cambria Math" w:cs="Times New Roman"/>
                <w:lang w:val="en-US"/>
              </w:rPr>
              <m:t>-6</m:t>
            </m:r>
          </m:sup>
        </m:sSup>
      </m:oMath>
      <w:r>
        <w:rPr>
          <w:rFonts w:ascii="Times New Roman" w:eastAsia="Times New Roman" w:hAnsi="Times New Roman" w:cs="Times New Roman"/>
          <w:lang w:val="en-US"/>
        </w:rPr>
        <w:t xml:space="preserve"> W, which is the accumulation limit of the arithmetic. The intervention machinery is therefore sound, and the null effects reported below are properties of the model rather than of the measurement.</w:t>
      </w:r>
    </w:p>
    <w:p w14:paraId="48C9F06A" w14:textId="77777777" w:rsidR="001A5677" w:rsidRPr="00F22774" w:rsidRDefault="00B611D3" w:rsidP="001A5677">
      <w:pPr>
        <w:pStyle w:val="3"/>
        <w:ind w:firstLine="426"/>
        <w:rPr>
          <w:lang w:val="en-US"/>
        </w:rPr>
      </w:pPr>
      <w:r>
        <w:rPr>
          <w:lang w:val="en-US"/>
        </w:rPr>
        <w:t>5.3.3. The mechanism does what it was designed to do</w:t>
      </w:r>
    </w:p>
    <w:p w14:paraId="0618E635" w14:textId="77777777" w:rsidR="001A5677" w:rsidRPr="00F22774" w:rsidRDefault="001A5677" w:rsidP="001A5677">
      <w:pPr>
        <w:jc w:val="both"/>
        <w:rPr>
          <w:lang w:val="en-US"/>
        </w:rPr>
      </w:pPr>
      <w:r>
        <w:rPr>
          <w:rFonts w:ascii="Times New Roman" w:eastAsia="Times New Roman" w:hAnsi="Times New Roman" w:cs="Times New Roman"/>
          <w:lang w:val="en-US"/>
        </w:rPr>
        <w:t>A linear probe trained on the shared encoder representations recovers the identity of the mode from which each representation was produced. Under the original objective, probe accuracy has a median of 0.981 across households and never falls below 0.941, against a chance level of 0.167. A control probe trained on randomly permuted labels reaches only 0.15 to 0.19, so the selectivity of the probe is above 0.78 throughout: the encoder is not merely memorizing, it is encoding mode identity in a linearly accessible form.</w:t>
      </w:r>
    </w:p>
    <w:p w14:paraId="04442E9D" w14:textId="77777777" w:rsidR="001A5677" w:rsidRPr="00F22774" w:rsidRDefault="001A5677" w:rsidP="001A5677">
      <w:pPr>
        <w:jc w:val="both"/>
        <w:rPr>
          <w:lang w:val="en-US"/>
        </w:rPr>
      </w:pPr>
      <w:r>
        <w:rPr>
          <w:rFonts w:ascii="Times New Roman" w:eastAsia="Times New Roman" w:hAnsi="Times New Roman" w:cs="Times New Roman"/>
          <w:lang w:val="en-US"/>
        </w:rPr>
        <w:t>That is what the mechanism was introduced to achieve, and the accuracy is high on every household of the three collections under both objectives: the median under the corrected objective is 0.946, with a minimum of 0.810. High accuracy alone, however, does not show that the mechanism produced it, because the modes are disjoint frequency bands by construction and the shared encoder may separate them regardless.</w:t>
      </w:r>
    </w:p>
    <w:p w14:paraId="46BCE8B8"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A control settles this. Repeating the probe on models trained without the embeddings — the same weights, the same test windows, a forward</w:t>
      </w:r>
      <w:r w:rsidRPr="00DD392A">
        <w:rPr>
          <w:rFonts w:ascii="Times New Roman" w:hAnsi="Times New Roman" w:cs="Times New Roman"/>
          <w:lang w:val="en-US"/>
        </w:rPr>
        <w:t xml:space="preserve"> pass only — recovers mode identity at a median accuracy of 0.802 across </w:t>
      </w:r>
      <w:r w:rsidRPr="00DD392A">
        <w:rPr>
          <w:rFonts w:ascii="Times New Roman" w:hAnsi="Times New Roman" w:cs="Times New Roman"/>
          <w:lang w:val="en-US"/>
        </w:rPr>
        <w:lastRenderedPageBreak/>
        <w:t>the 85 household-seed pairs, against 0.968 with the embeddings and a chance level of 0.167; the shuffled-label control returns 0.164. Mode identity is therefore partly decodable witho</w:t>
      </w:r>
      <w:r w:rsidRPr="00DD392A">
        <w:rPr>
          <w:rFonts w:ascii="Times New Roman" w:hAnsi="Times New Roman" w:cs="Times New Roman"/>
          <w:lang w:val="en-US"/>
        </w:rPr>
        <w:t>ut the mechanism, and the mechanism sharpens rather than creates it, by a median of 13 percentage points. We state the claim in that form and withdraw the stronger one.</w:t>
      </w:r>
    </w:p>
    <w:p w14:paraId="5838B0B6"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The margin is not uniform, and its variation is informative. On SHEERM household 4 the </w:t>
      </w:r>
      <w:r w:rsidRPr="00DD392A">
        <w:rPr>
          <w:rFonts w:ascii="Times New Roman" w:hAnsi="Times New Roman" w:cs="Times New Roman"/>
          <w:lang w:val="en-US"/>
        </w:rPr>
        <w:t>representation carries no mode information at all without the embeddings — accuracy of 0.167 to 0.174 across all five seeds, indistinguishable from chance — against 0.98 with them; it is the only household of the seventeen on which accuracy without the mec</w:t>
      </w:r>
      <w:r w:rsidRPr="00DD392A">
        <w:rPr>
          <w:rFonts w:ascii="Times New Roman" w:hAnsi="Times New Roman" w:cs="Times New Roman"/>
          <w:lang w:val="en-US"/>
        </w:rPr>
        <w:t>hanism falls below one half. At the other extreme, several households gain under ten percentage points. Per collection the median without embeddings is 0.720 on REFIT, 0.829 on SHEERM and 0.890 on UK-DALE, against 0.967, 0.970 and 0.966 with them. On the s</w:t>
      </w:r>
      <w:r w:rsidRPr="00DD392A">
        <w:rPr>
          <w:rFonts w:ascii="Times New Roman" w:hAnsi="Times New Roman" w:cs="Times New Roman"/>
          <w:lang w:val="en-US"/>
        </w:rPr>
        <w:t>econd domain of Section 5.5 the margin nearly vanishes, 0.961 against 0.975, so the sharpening is itself domain-dependent; we record that alongside the branch-heterogeneity difference of Section 5.5.3 and offer an explanation for neither.</w:t>
      </w:r>
    </w:p>
    <w:p w14:paraId="11E0161A" w14:textId="77777777" w:rsidR="001A5677" w:rsidRPr="00F22774" w:rsidRDefault="00B611D3" w:rsidP="001A5677">
      <w:pPr>
        <w:pStyle w:val="3"/>
        <w:ind w:firstLine="426"/>
        <w:rPr>
          <w:lang w:val="en-US"/>
        </w:rPr>
      </w:pPr>
      <w:r>
        <w:rPr>
          <w:lang w:val="en-US"/>
        </w:rPr>
        <w:t>5.3.4. What the mechanism is worth</w:t>
      </w:r>
    </w:p>
    <w:p w14:paraId="5CBCB112" w14:textId="77777777" w:rsidR="001A5677" w:rsidRPr="00DD392A" w:rsidRDefault="001A5677" w:rsidP="00DD392A">
      <w:pPr>
        <w:jc w:val="both"/>
        <w:rPr>
          <w:rFonts w:ascii="Times New Roman" w:hAnsi="Times New Roman" w:cs="Times New Roman"/>
          <w:lang w:val="en-US"/>
        </w:rPr>
      </w:pPr>
      <w:r>
        <w:rPr>
          <w:rFonts w:ascii="Times New Roman" w:eastAsia="Times New Roman" w:hAnsi="Times New Roman" w:cs="Times New Roman"/>
          <w:lang w:val="en-US"/>
        </w:rPr>
        <w:t xml:space="preserve">Breaking the mechanism at inference has a detectable but very small effect on the forecast, and this holds however the mechanism is broken. Under the corrected objective the median change in mean absolute error ranges from +0.19 W under aggregation-permutation to +0.92 W under zeroing, against a median household error of 129 W. Zeroing is positive on 14 of 17 households (sign test p = 0.013) and the norm-preserving </w:t>
      </w:r>
      <w:r w:rsidRPr="00DD392A">
        <w:rPr>
          <w:rFonts w:ascii="Times New Roman" w:eastAsia="Times New Roman" w:hAnsi="Times New Roman" w:cs="Times New Roman"/>
          <w:lang w:val="en-US"/>
        </w:rPr>
        <w:t>permutation on 13 of 17; the direction is consistent enough to be established, and its magnitude is not.</w:t>
      </w:r>
    </w:p>
    <w:p w14:paraId="4DE1E045"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The comparison across conditions rules out the objection that the effect merely reflects a model pushed outside its training distribution. Random permutation preserves the norm and the distribution of the substituted vectors e</w:t>
      </w:r>
      <w:r w:rsidRPr="00DD392A">
        <w:rPr>
          <w:rFonts w:ascii="Times New Roman" w:hAnsi="Times New Roman" w:cs="Times New Roman"/>
          <w:lang w:val="en-US"/>
        </w:rPr>
        <w:t xml:space="preserve">xactly, destroying only the correspondence between mode and embedding, and it produces 0.50 per cent of household error against 0.67 per cent for zeroing. Replacing every embedding by the table mean, which destroys the distinction between modes but halves </w:t>
      </w:r>
      <w:r w:rsidRPr="00DD392A">
        <w:rPr>
          <w:rFonts w:ascii="Times New Roman" w:hAnsi="Times New Roman" w:cs="Times New Roman"/>
          <w:lang w:val="en-US"/>
        </w:rPr>
        <w:t>the norm, produces less, 0.33 per cent. The response therefore tracks the loss of correspondence rather than the change in norm, and the intervention measures what it was intended to measure. Averaging predictions instead of per-window errors changes the p</w:t>
      </w:r>
      <w:r w:rsidRPr="00DD392A">
        <w:rPr>
          <w:rFonts w:ascii="Times New Roman" w:hAnsi="Times New Roman" w:cs="Times New Roman"/>
          <w:lang w:val="en-US"/>
        </w:rPr>
        <w:t>ermutation result from 0.50 to 0.42 per cent, confirming that the averaging does not act as an ensemble.</w:t>
      </w:r>
    </w:p>
    <w:p w14:paraId="6D65A402"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One ordering in Table 5 is worth noting. Permuting the embeddings hurts more than removing the distinction between them altogether: 0.50 per cent again</w:t>
      </w:r>
      <w:r w:rsidRPr="00DD392A">
        <w:rPr>
          <w:rFonts w:ascii="Times New Roman" w:hAnsi="Times New Roman" w:cs="Times New Roman"/>
          <w:lang w:val="en-US"/>
        </w:rPr>
        <w:t>st 0.33. Misinformation costs more than missing information, which is what one would expect of a mechanism the model relies on to route mode-specific processing, and is a mild positive result for the mechanism. It is also the largest such result we obtain.</w:t>
      </w:r>
    </w:p>
    <w:p w14:paraId="6F51E4F9" w14:textId="77777777" w:rsidR="001A5677" w:rsidRPr="00F22774" w:rsidRDefault="001A5677" w:rsidP="001A5677">
      <w:pPr>
        <w:jc w:val="both"/>
        <w:rPr>
          <w:rFonts w:ascii="Times New Roman" w:eastAsia="Times New Roman" w:hAnsi="Times New Roman" w:cs="Times New Roman"/>
          <w:lang w:val="en-US"/>
        </w:rPr>
      </w:pPr>
      <w:r>
        <w:rPr>
          <w:rFonts w:ascii="Times New Roman" w:eastAsia="Times New Roman" w:hAnsi="Times New Roman" w:cs="Times New Roman"/>
          <w:bCs/>
          <w:lang w:val="en-US"/>
        </w:rPr>
        <w:t>The magnitude is another matter, and it is the same under every condition. No intervention has a median effect above 0.67 per cent of household error, against the 2 per cent threshold of practical significance stated in the protocol. Under zeroing, five of 17 households exceed that threshold and three of them are the households flagged in the data audit (Section 4.2.1); excluding those three, the largest effect among the remaining 14 falls from 12.3 to 2.3 per cent and only two households remain marginally above it. Under the mean substitution three households exceed it. The mechanism can be disabled in seven distinct ways, and none of them moves the forecast by an amount that would matter.</w:t>
      </w:r>
    </w:p>
    <w:p w14:paraId="33CA153A" w14:textId="77777777" w:rsidR="00D5053E" w:rsidRPr="00F22774" w:rsidRDefault="00D5053E" w:rsidP="001A5677">
      <w:pPr>
        <w:jc w:val="both"/>
        <w:rPr>
          <w:lang w:val="en-US"/>
        </w:rPr>
      </w:pPr>
      <w:r>
        <w:rPr>
          <w:rFonts w:ascii="Times New Roman" w:eastAsia="Times New Roman" w:hAnsi="Times New Roman" w:cs="Times New Roman"/>
          <w:lang w:val="en-US"/>
        </w:rPr>
        <w:t>Table 5. Effect of disabling the identity mechanism at inference under the corrected objective, across 17 households, ordered by severity. Positive values mean forecasts worsen. All conditions use the same trained models, test windows and seeds and require no retraining. The null control is a consistent relabelling of modes, embeddings and aggregation weights, whose observed change lies between 7×10⁻⁸ and 4×10⁻⁶ W — the accumulation limit of the arithmetic. The practical-significance threshold is 2 per cent; no condition approaches it.</w:t>
      </w:r>
    </w:p>
    <w:tbl>
      <w:tblPr>
        <w:tblStyle w:val="a8"/>
        <w:tblW w:w="0" w:type="auto"/>
        <w:tblLook w:val="04A0" w:firstRow="1" w:lastRow="0" w:firstColumn="1" w:lastColumn="0" w:noHBand="0" w:noVBand="1"/>
      </w:tblPr>
      <w:tblGrid>
        <w:gridCol w:w="2337"/>
        <w:gridCol w:w="2336"/>
        <w:gridCol w:w="2335"/>
        <w:gridCol w:w="2337"/>
      </w:tblGrid>
      <w:tr w:rsidR="007F05BC" w14:paraId="5AA1021A" w14:textId="77777777">
        <w:trPr>
          <w:tblHeader w:val="true"/>
        </w:trPr>
        <w:tc>
          <w:tcPr>
            <w:tcW w:w="2339" w:type="dxa"/>
          </w:tcPr>
          <w:p w14:paraId="6A9D13C8" w14:textId="77777777" w:rsidR="007F05BC" w:rsidRDefault="00DD392A">
            <w:r>
              <w:rPr>
                <w:b/>
              </w:rPr>
              <w:t>Condition</w:t>
            </w:r>
          </w:p>
        </w:tc>
        <w:tc>
          <w:tcPr>
            <w:tcW w:w="2339" w:type="dxa"/>
          </w:tcPr>
          <w:p w14:paraId="270CC4F6" w14:textId="77777777" w:rsidR="007F05BC" w:rsidRDefault="00DD392A">
            <w:r>
              <w:rPr>
                <w:b/>
              </w:rPr>
              <w:t>Median, % of ho</w:t>
            </w:r>
            <w:r>
              <w:rPr>
                <w:b/>
              </w:rPr>
              <w:t>usehold error</w:t>
            </w:r>
          </w:p>
        </w:tc>
        <w:tc>
          <w:tcPr>
            <w:tcW w:w="2339" w:type="dxa"/>
          </w:tcPr>
          <w:p w14:paraId="2FECDB06" w14:textId="77777777" w:rsidR="007F05BC" w:rsidRDefault="00DD392A">
            <w:r>
              <w:rPr>
                <w:b/>
              </w:rPr>
              <w:t>Worse on</w:t>
            </w:r>
          </w:p>
        </w:tc>
        <w:tc>
          <w:tcPr>
            <w:tcW w:w="2339" w:type="dxa"/>
          </w:tcPr>
          <w:p w14:paraId="2C9B3DDD" w14:textId="77777777" w:rsidR="007F05BC" w:rsidRDefault="00DD392A">
            <w:r>
              <w:rPr>
                <w:b/>
              </w:rPr>
              <w:t>What is destroyed</w:t>
            </w:r>
          </w:p>
        </w:tc>
      </w:tr>
      <w:tr w:rsidR="007F05BC" w14:paraId="15843634" w14:textId="77777777">
        <w:tc>
          <w:tcPr>
            <w:tcW w:w="2339" w:type="dxa"/>
          </w:tcPr>
          <w:p w14:paraId="6DDA8FD6" w14:textId="77777777" w:rsidR="007F05BC" w:rsidRDefault="00DD392A">
            <w:r>
              <w:t>relabel_all (null control)</w:t>
            </w:r>
          </w:p>
        </w:tc>
        <w:tc>
          <w:tcPr>
            <w:tcW w:w="2339" w:type="dxa"/>
          </w:tcPr>
          <w:p w14:paraId="74CCF043" w14:textId="77777777" w:rsidR="007F05BC" w:rsidRDefault="00DD392A">
            <w:r>
              <w:t>0.00</w:t>
            </w:r>
          </w:p>
        </w:tc>
        <w:tc>
          <w:tcPr>
            <w:tcW w:w="2339" w:type="dxa"/>
          </w:tcPr>
          <w:p w14:paraId="752A2D5A" w14:textId="77777777" w:rsidR="007F05BC" w:rsidRDefault="00DD392A">
            <w:r>
              <w:t>1 of 17</w:t>
            </w:r>
          </w:p>
        </w:tc>
        <w:tc>
          <w:tcPr>
            <w:tcW w:w="2339" w:type="dxa"/>
          </w:tcPr>
          <w:p w14:paraId="6E1ACF00" w14:textId="77777777" w:rsidR="007F05BC" w:rsidRDefault="00DD392A">
            <w:r>
              <w:t>nothing; a pure relabelling</w:t>
            </w:r>
          </w:p>
        </w:tc>
      </w:tr>
      <w:tr w:rsidR="007F05BC" w14:paraId="364CD7C6" w14:textId="77777777">
        <w:tc>
          <w:tcPr>
            <w:tcW w:w="2339" w:type="dxa"/>
          </w:tcPr>
          <w:p w14:paraId="0C201E78" w14:textId="77777777" w:rsidR="007F05BC" w:rsidRDefault="00DD392A">
            <w:r>
              <w:lastRenderedPageBreak/>
              <w:t>aggregation-permutation</w:t>
            </w:r>
          </w:p>
        </w:tc>
        <w:tc>
          <w:tcPr>
            <w:tcW w:w="2339" w:type="dxa"/>
          </w:tcPr>
          <w:p w14:paraId="473D9033" w14:textId="77777777" w:rsidR="007F05BC" w:rsidRDefault="00DD392A">
            <w:r>
              <w:t>0.21</w:t>
            </w:r>
          </w:p>
        </w:tc>
        <w:tc>
          <w:tcPr>
            <w:tcW w:w="2339" w:type="dxa"/>
          </w:tcPr>
          <w:p w14:paraId="1FD1CD9F" w14:textId="77777777" w:rsidR="007F05BC" w:rsidRDefault="00DD392A">
            <w:r>
              <w:t>10 of 17</w:t>
            </w:r>
          </w:p>
        </w:tc>
        <w:tc>
          <w:tcPr>
            <w:tcW w:w="2339" w:type="dxa"/>
          </w:tcPr>
          <w:p w14:paraId="4EC9FF1D" w14:textId="77777777" w:rsidR="007F05BC" w:rsidRDefault="00DD392A">
            <w:r>
              <w:t>aggregation weights only</w:t>
            </w:r>
          </w:p>
        </w:tc>
      </w:tr>
      <w:tr w:rsidR="007F05BC" w:rsidRPr="00DD392A" w14:paraId="03385BE4" w14:textId="77777777">
        <w:tc>
          <w:tcPr>
            <w:tcW w:w="2339" w:type="dxa"/>
          </w:tcPr>
          <w:p w14:paraId="3CFE9169" w14:textId="77777777" w:rsidR="007F05BC" w:rsidRDefault="00DD392A">
            <w:r>
              <w:t>shuffled per window</w:t>
            </w:r>
          </w:p>
        </w:tc>
        <w:tc>
          <w:tcPr>
            <w:tcW w:w="2339" w:type="dxa"/>
          </w:tcPr>
          <w:p w14:paraId="0D1D31C1" w14:textId="77777777" w:rsidR="007F05BC" w:rsidRDefault="00DD392A">
            <w:r>
              <w:t>0.26</w:t>
            </w:r>
          </w:p>
        </w:tc>
        <w:tc>
          <w:tcPr>
            <w:tcW w:w="2339" w:type="dxa"/>
          </w:tcPr>
          <w:p w14:paraId="340A6CF7" w14:textId="77777777" w:rsidR="007F05BC" w:rsidRDefault="00DD392A">
            <w:r>
              <w:t>9 of 17</w:t>
            </w:r>
          </w:p>
        </w:tc>
        <w:tc>
          <w:tcPr>
            <w:tcW w:w="2339" w:type="dxa"/>
          </w:tcPr>
          <w:p w14:paraId="0F030DE2" w14:textId="77777777" w:rsidR="007F05BC" w:rsidRPr="00DD392A" w:rsidRDefault="00DD392A">
            <w:pPr>
              <w:rPr>
                <w:lang w:val="en-US"/>
              </w:rPr>
            </w:pPr>
            <w:r w:rsidRPr="00DD392A">
              <w:rPr>
                <w:lang w:val="en-US"/>
              </w:rPr>
              <w:t>modes permuted in each window</w:t>
            </w:r>
          </w:p>
        </w:tc>
      </w:tr>
      <w:tr w:rsidR="007F05BC" w:rsidRPr="00DD392A" w14:paraId="0692CB96" w14:textId="77777777">
        <w:tc>
          <w:tcPr>
            <w:tcW w:w="2339" w:type="dxa"/>
          </w:tcPr>
          <w:p w14:paraId="2429E391" w14:textId="77777777" w:rsidR="007F05BC" w:rsidRDefault="00DD392A">
            <w:proofErr w:type="spellStart"/>
            <w:r>
              <w:t>mean</w:t>
            </w:r>
            <w:proofErr w:type="spellEnd"/>
            <w:r>
              <w:t xml:space="preserve"> </w:t>
            </w:r>
            <w:proofErr w:type="spellStart"/>
            <w:r>
              <w:t>substitution</w:t>
            </w:r>
            <w:proofErr w:type="spellEnd"/>
          </w:p>
        </w:tc>
        <w:tc>
          <w:tcPr>
            <w:tcW w:w="2339" w:type="dxa"/>
          </w:tcPr>
          <w:p w14:paraId="760BEBD2" w14:textId="77777777" w:rsidR="007F05BC" w:rsidRDefault="00DD392A">
            <w:r>
              <w:t>0.33</w:t>
            </w:r>
          </w:p>
        </w:tc>
        <w:tc>
          <w:tcPr>
            <w:tcW w:w="2339" w:type="dxa"/>
          </w:tcPr>
          <w:p w14:paraId="4262C655" w14:textId="77777777" w:rsidR="007F05BC" w:rsidRDefault="00DD392A">
            <w:r>
              <w:t>15 of 17</w:t>
            </w:r>
          </w:p>
        </w:tc>
        <w:tc>
          <w:tcPr>
            <w:tcW w:w="2339" w:type="dxa"/>
          </w:tcPr>
          <w:p w14:paraId="625F8C36" w14:textId="77777777" w:rsidR="007F05BC" w:rsidRPr="00DD392A" w:rsidRDefault="00DD392A">
            <w:pPr>
              <w:rPr>
                <w:lang w:val="en-US"/>
              </w:rPr>
            </w:pPr>
            <w:r w:rsidRPr="00DD392A">
              <w:rPr>
                <w:lang w:val="en-US"/>
              </w:rPr>
              <w:t>distinction between modes; norm halved</w:t>
            </w:r>
          </w:p>
        </w:tc>
      </w:tr>
      <w:tr w:rsidR="007F05BC" w14:paraId="0AAF8DAA" w14:textId="77777777">
        <w:tc>
          <w:tcPr>
            <w:tcW w:w="2339" w:type="dxa"/>
          </w:tcPr>
          <w:p w14:paraId="4898F669" w14:textId="77777777" w:rsidR="007F05BC" w:rsidRDefault="00DD392A">
            <w:proofErr w:type="spellStart"/>
            <w:r>
              <w:t>random</w:t>
            </w:r>
            <w:proofErr w:type="spellEnd"/>
            <w:r>
              <w:t xml:space="preserve"> (</w:t>
            </w:r>
            <w:proofErr w:type="spellStart"/>
            <w:r>
              <w:t>predictions</w:t>
            </w:r>
            <w:proofErr w:type="spellEnd"/>
            <w:r>
              <w:t xml:space="preserve"> </w:t>
            </w:r>
            <w:proofErr w:type="spellStart"/>
            <w:r>
              <w:t>averaged</w:t>
            </w:r>
            <w:proofErr w:type="spellEnd"/>
            <w:r>
              <w:t>)</w:t>
            </w:r>
          </w:p>
        </w:tc>
        <w:tc>
          <w:tcPr>
            <w:tcW w:w="2339" w:type="dxa"/>
          </w:tcPr>
          <w:p w14:paraId="2F31E779" w14:textId="77777777" w:rsidR="007F05BC" w:rsidRDefault="00DD392A">
            <w:r>
              <w:t>0.42</w:t>
            </w:r>
          </w:p>
        </w:tc>
        <w:tc>
          <w:tcPr>
            <w:tcW w:w="2339" w:type="dxa"/>
          </w:tcPr>
          <w:p w14:paraId="2889D1D1" w14:textId="77777777" w:rsidR="007F05BC" w:rsidRDefault="00DD392A">
            <w:r>
              <w:t>13 of 17</w:t>
            </w:r>
          </w:p>
        </w:tc>
        <w:tc>
          <w:tcPr>
            <w:tcW w:w="2339" w:type="dxa"/>
          </w:tcPr>
          <w:p w14:paraId="4A4315FE" w14:textId="77777777" w:rsidR="007F05BC" w:rsidRDefault="00DD392A">
            <w:r>
              <w:t>correspondence; norm preserved</w:t>
            </w:r>
          </w:p>
        </w:tc>
      </w:tr>
      <w:tr w:rsidR="007F05BC" w14:paraId="3453EDAC" w14:textId="77777777">
        <w:tc>
          <w:tcPr>
            <w:tcW w:w="2339" w:type="dxa"/>
          </w:tcPr>
          <w:p w14:paraId="0BDA64D0" w14:textId="77777777" w:rsidR="007F05BC" w:rsidRDefault="00DD392A">
            <w:r>
              <w:t>random (errors averaged)</w:t>
            </w:r>
          </w:p>
        </w:tc>
        <w:tc>
          <w:tcPr>
            <w:tcW w:w="2339" w:type="dxa"/>
          </w:tcPr>
          <w:p w14:paraId="545A3FED" w14:textId="77777777" w:rsidR="007F05BC" w:rsidRDefault="00DD392A">
            <w:r>
              <w:t>0.50</w:t>
            </w:r>
          </w:p>
        </w:tc>
        <w:tc>
          <w:tcPr>
            <w:tcW w:w="2339" w:type="dxa"/>
          </w:tcPr>
          <w:p w14:paraId="25534210" w14:textId="77777777" w:rsidR="007F05BC" w:rsidRDefault="00DD392A">
            <w:r>
              <w:t>13 of 17</w:t>
            </w:r>
          </w:p>
        </w:tc>
        <w:tc>
          <w:tcPr>
            <w:tcW w:w="2339" w:type="dxa"/>
          </w:tcPr>
          <w:p w14:paraId="061A26EC" w14:textId="77777777" w:rsidR="007F05BC" w:rsidRDefault="00DD392A">
            <w:r>
              <w:t>correspondence; norm preserved</w:t>
            </w:r>
          </w:p>
        </w:tc>
      </w:tr>
      <w:tr w:rsidR="007F05BC" w14:paraId="68B9B2F0" w14:textId="77777777">
        <w:tc>
          <w:tcPr>
            <w:tcW w:w="2339" w:type="dxa"/>
          </w:tcPr>
          <w:p w14:paraId="12D1B355" w14:textId="77777777" w:rsidR="007F05BC" w:rsidRDefault="00DD392A">
            <w:r>
              <w:t>cyclic shift</w:t>
            </w:r>
          </w:p>
        </w:tc>
        <w:tc>
          <w:tcPr>
            <w:tcW w:w="2339" w:type="dxa"/>
          </w:tcPr>
          <w:p w14:paraId="11D9812C" w14:textId="77777777" w:rsidR="007F05BC" w:rsidRDefault="00DD392A">
            <w:r>
              <w:t>0.52</w:t>
            </w:r>
          </w:p>
        </w:tc>
        <w:tc>
          <w:tcPr>
            <w:tcW w:w="2339" w:type="dxa"/>
          </w:tcPr>
          <w:p w14:paraId="603D3EC9" w14:textId="77777777" w:rsidR="007F05BC" w:rsidRDefault="00DD392A">
            <w:r>
              <w:t>14 of 17</w:t>
            </w:r>
          </w:p>
        </w:tc>
        <w:tc>
          <w:tcPr>
            <w:tcW w:w="2339" w:type="dxa"/>
          </w:tcPr>
          <w:p w14:paraId="289EA200" w14:textId="77777777" w:rsidR="007F05BC" w:rsidRDefault="00DD392A">
            <w:r>
              <w:t>correspondence; norm preserved</w:t>
            </w:r>
          </w:p>
        </w:tc>
      </w:tr>
      <w:tr w:rsidR="007F05BC" w14:paraId="1FB0342C" w14:textId="77777777">
        <w:tc>
          <w:tcPr>
            <w:tcW w:w="2339" w:type="dxa"/>
          </w:tcPr>
          <w:p w14:paraId="37129255" w14:textId="77777777" w:rsidR="007F05BC" w:rsidRDefault="00DD392A">
            <w:r>
              <w:t>zeroed</w:t>
            </w:r>
          </w:p>
        </w:tc>
        <w:tc>
          <w:tcPr>
            <w:tcW w:w="2339" w:type="dxa"/>
          </w:tcPr>
          <w:p w14:paraId="5E8484FE" w14:textId="77777777" w:rsidR="007F05BC" w:rsidRDefault="00DD392A">
            <w:r>
              <w:t>0.67</w:t>
            </w:r>
          </w:p>
        </w:tc>
        <w:tc>
          <w:tcPr>
            <w:tcW w:w="2339" w:type="dxa"/>
          </w:tcPr>
          <w:p w14:paraId="1CEEF45E" w14:textId="77777777" w:rsidR="007F05BC" w:rsidRDefault="00DD392A">
            <w:r>
              <w:t>14 of 17</w:t>
            </w:r>
          </w:p>
        </w:tc>
        <w:tc>
          <w:tcPr>
            <w:tcW w:w="2339" w:type="dxa"/>
          </w:tcPr>
          <w:p w14:paraId="162189CD" w14:textId="77777777" w:rsidR="007F05BC" w:rsidRDefault="00DD392A">
            <w:r>
              <w:t>embeddings entirely; norm removed</w:t>
            </w:r>
          </w:p>
        </w:tc>
      </w:tr>
    </w:tbl>
    <w:p w14:paraId="45CE4663" w14:textId="77777777" w:rsidR="001A5677" w:rsidRPr="00F22774" w:rsidRDefault="001A5677" w:rsidP="001A5677">
      <w:pPr>
        <w:jc w:val="both"/>
        <w:rPr>
          <w:lang w:val="en-US"/>
        </w:rPr>
      </w:pPr>
      <w:r>
        <w:rPr>
          <w:rFonts w:ascii="Times New Roman" w:eastAsia="Times New Roman" w:hAnsi="Times New Roman" w:cs="Times New Roman"/>
          <w:bCs/>
          <w:lang w:val="en-US"/>
        </w:rPr>
        <w:t>A second comparison answers the objection that the measurement is simply insensitive. Under the original objective, in which the decomposition path is compressed to a near-constant, zeroing produces a median effect of 0.05 W with an even split of signs and no household anywhere near the practical threshold. Under the corrected objective, in which the path is a working forecaster, the median absolute effect is ten times larger and the sign is consistent. The instrument detects an effect where the mechanism has room to act and reports none where it does not, which is the behaviour a valid instrument should show.</w:t>
      </w:r>
    </w:p>
    <w:p w14:paraId="156F2BF8" w14:textId="77777777" w:rsidR="001A5677" w:rsidRPr="00F22774" w:rsidRDefault="00B611D3" w:rsidP="001A5677">
      <w:pPr>
        <w:pStyle w:val="3"/>
        <w:ind w:firstLine="426"/>
        <w:rPr>
          <w:lang w:val="en-US"/>
        </w:rPr>
      </w:pPr>
      <w:r>
        <w:rPr>
          <w:lang w:val="en-US"/>
        </w:rPr>
        <w:t>5.3.5. An inversion of the representational account</w:t>
      </w:r>
    </w:p>
    <w:p w14:paraId="64F68110" w14:textId="77777777" w:rsidR="001A5677" w:rsidRPr="00F22774" w:rsidRDefault="001A5677" w:rsidP="001A5677">
      <w:pPr>
        <w:jc w:val="both"/>
        <w:rPr>
          <w:lang w:val="en-US"/>
        </w:rPr>
      </w:pPr>
      <w:r>
        <w:rPr>
          <w:rFonts w:ascii="Times New Roman" w:eastAsia="Times New Roman" w:hAnsi="Times New Roman" w:cs="Times New Roman"/>
          <w:lang w:val="en-US"/>
        </w:rPr>
        <w:t>Probe accuracy is significantly lower in the configuration where the mechanism matters more. Its median is 0.946 under the corrected objective against 0.981 under the original one, and the difference is consistent across households (Wilcoxon p = 0.0004, n = 17). Where the decomposition path is compressed to a near-constant, mode identity is encoded almost perfectly and is worth nothing; where the path actually forecasts, identity is encoded less sharply and is worth slightly more.</w:t>
      </w:r>
    </w:p>
    <w:p w14:paraId="5FC236F3" w14:textId="77777777" w:rsidR="001A5677" w:rsidRPr="00F22774" w:rsidRDefault="001A5677" w:rsidP="001A5677">
      <w:pPr>
        <w:jc w:val="both"/>
        <w:rPr>
          <w:lang w:val="en-US"/>
        </w:rPr>
      </w:pPr>
      <w:r>
        <w:rPr>
          <w:rFonts w:ascii="Times New Roman" w:eastAsia="Times New Roman" w:hAnsi="Times New Roman" w:cs="Times New Roman"/>
          <w:lang w:val="en-US"/>
        </w:rPr>
        <w:t>The natural reading is that encoder capacity is finite and is spent on whichever task the objective makes binding. When the path is not required to produce a calibrated forecast, representing mode identity is the cheapest available structure and the encoder supplies it abundantly. Two conclusions follow, and the control of the preceding section is needed for both. The strength with which a property is encoded is not evidence that the property is used, and in our data the two are related inversely. And a difference in probe accuracy between configurations is not by itself a difference the mechanism produced, since most of the accuracy is present without it. A representational criterion alone cannot establish that a mechanism contributes; a representational criterion without a mechanism-absent control cannot even establish that the mechanism is responsible for what is measured.</w:t>
      </w:r>
    </w:p>
    <w:p w14:paraId="38C2F6F2" w14:textId="77777777" w:rsidR="001A5677" w:rsidRPr="00F22774" w:rsidRDefault="00CD2C2E" w:rsidP="00147E50">
      <w:pPr>
        <w:pStyle w:val="2"/>
        <w:numPr>
          <w:ilvl w:val="1"/>
          <w:numId w:val="1"/>
        </w:numPr>
        <w:rPr>
          <w:lang w:val="en-US"/>
        </w:rPr>
      </w:pPr>
      <w:r>
        <w:rPr>
          <w:lang w:val="en-US"/>
        </w:rPr>
        <w:t xml:space="preserve"> Result 4: the pooled effect and the fate of the original finding</w:t>
      </w:r>
    </w:p>
    <w:p w14:paraId="2A88869F" w14:textId="77777777" w:rsidR="00147E50" w:rsidRPr="00F22774" w:rsidRDefault="00B611D3" w:rsidP="00147E50">
      <w:pPr>
        <w:pStyle w:val="3"/>
        <w:ind w:firstLine="426"/>
        <w:rPr>
          <w:lang w:val="en-US"/>
        </w:rPr>
      </w:pPr>
      <w:r>
        <w:rPr>
          <w:lang w:val="en-US"/>
        </w:rPr>
        <w:t>5.4.1. Pooling across households</w:t>
      </w:r>
    </w:p>
    <w:p w14:paraId="52A13A08" w14:textId="77777777" w:rsidR="00147E50" w:rsidRPr="00F22774" w:rsidRDefault="00147E50" w:rsidP="00147E50">
      <w:pPr>
        <w:jc w:val="both"/>
        <w:rPr>
          <w:lang w:val="en-US"/>
        </w:rPr>
      </w:pPr>
      <w:r>
        <w:t>Each household yields one estimate of the ablation effect and one standard error. Households differ in occupancy, appliance stock, series length and measurement quality, so a fixed-effect summary would understate uncertainty about households in general. We therefore use a random-effects model with between-household variance estimated by REML and modified Hartung–Knapp inference for the pooled mean; a prediction interval describes the expected range for a new household.</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2"/>
        <w:gridCol w:w="473"/>
      </w:tblGrid>
      <w:tr w:rsidR="00220724" w14:paraId="7545FAC4" w14:textId="77777777" w:rsidTr="00647582">
        <w:tc>
          <w:tcPr>
            <w:tcW w:w="9067" w:type="dxa"/>
          </w:tcPr>
          <w:p w14:paraId="0E3C2E8F" w14:textId="77777777" w:rsidR="00220724" w:rsidRPr="00220724" w:rsidRDefault="00220724" w:rsidP="00220724">
            <w:pPr>
              <w:tabs>
                <w:tab w:val="center" w:pos="4677"/>
                <w:tab w:val="right" w:pos="9355"/>
              </w:tabs>
              <w:spacing w:before="80"/>
              <w:jc w:val="center"/>
              <w:rPr>
                <w:rFonts w:ascii="Times New Roman" w:hAnsi="Times New Roman" w:cs="Times New Roman"/>
                <w:lang w:val="en-US"/>
              </w:rPr>
            </w:pPr>
            <m:oMathPara>
              <m:oMath>
                <m:r>
                  <m:rPr>
                    <m:sty m:val="p"/>
                  </m:rPr>
                  <w:rPr>
                    <w:rFonts w:ascii="Cambria Math" w:hAnsi="Cambria Math" w:cs="Times New Roman"/>
                    <w:lang w:val="en-US"/>
                  </w:rPr>
                  <m:t>y</m:t>
                </m:r>
                <m:d>
                  <m:dPr>
                    <m:ctrlPr>
                      <w:rPr>
                        <w:rFonts w:ascii="Cambria Math" w:hAnsi="Cambria Math" w:cs="Times New Roman"/>
                        <w:i/>
                        <w:lang w:val="en-US"/>
                      </w:rPr>
                    </m:ctrlPr>
                  </m:dPr>
                  <m:e>
                    <m:r>
                      <m:rPr>
                        <m:sty m:val="p"/>
                      </m:rPr>
                      <w:rPr>
                        <w:rFonts w:ascii="Cambria Math" w:hAnsi="Cambria Math" w:cs="Times New Roman"/>
                        <w:lang w:val="en-US"/>
                      </w:rPr>
                      <m:t>h</m:t>
                    </m:r>
                  </m:e>
                </m:d>
                <m:r>
                  <m:rPr>
                    <m:sty m:val="p"/>
                  </m:rPr>
                  <w:rPr>
                    <w:rFonts w:ascii="Cambria Math" w:hAnsi="Cambria Math" w:cs="Times New Roman"/>
                    <w:lang w:val="en-US"/>
                  </w:rPr>
                  <m:t>=μ+u</m:t>
                </m:r>
                <m:d>
                  <m:dPr>
                    <m:ctrlPr>
                      <w:rPr>
                        <w:rFonts w:ascii="Cambria Math" w:hAnsi="Cambria Math" w:cs="Times New Roman"/>
                        <w:i/>
                        <w:lang w:val="en-US"/>
                      </w:rPr>
                    </m:ctrlPr>
                  </m:dPr>
                  <m:e>
                    <m:r>
                      <m:rPr>
                        <m:sty m:val="p"/>
                      </m:rPr>
                      <w:rPr>
                        <w:rFonts w:ascii="Cambria Math" w:hAnsi="Cambria Math" w:cs="Times New Roman"/>
                        <w:lang w:val="en-US"/>
                      </w:rPr>
                      <m:t>h</m:t>
                    </m:r>
                  </m:e>
                </m:d>
                <m:r>
                  <m:rPr>
                    <m:sty m:val="p"/>
                  </m:rPr>
                  <w:rPr>
                    <w:rFonts w:ascii="Cambria Math" w:hAnsi="Cambria Math" w:cs="Times New Roman"/>
                    <w:lang w:val="en-US"/>
                  </w:rPr>
                  <m:t>+e</m:t>
                </m:r>
                <m:d>
                  <m:dPr>
                    <m:ctrlPr>
                      <w:rPr>
                        <w:rFonts w:ascii="Cambria Math" w:hAnsi="Cambria Math" w:cs="Times New Roman"/>
                        <w:i/>
                        <w:lang w:val="en-US"/>
                      </w:rPr>
                    </m:ctrlPr>
                  </m:dPr>
                  <m:e>
                    <m:r>
                      <m:rPr>
                        <m:sty m:val="p"/>
                      </m:rPr>
                      <w:rPr>
                        <w:rFonts w:ascii="Cambria Math" w:hAnsi="Cambria Math" w:cs="Times New Roman"/>
                        <w:lang w:val="en-US"/>
                      </w:rPr>
                      <m:t>h</m:t>
                    </m:r>
                  </m:e>
                </m:d>
                <m:r>
                  <m:rPr>
                    <m:sty m:val="p"/>
                  </m:rPr>
                  <w:rPr>
                    <w:rFonts w:ascii="Cambria Math" w:hAnsi="Cambria Math" w:cs="Times New Roman"/>
                    <w:lang w:val="en-US"/>
                  </w:rPr>
                  <m:t>,   u~N</m:t>
                </m:r>
                <m:d>
                  <m:dPr>
                    <m:ctrlPr>
                      <w:rPr>
                        <w:rFonts w:ascii="Cambria Math" w:hAnsi="Cambria Math" w:cs="Times New Roman"/>
                        <w:i/>
                        <w:lang w:val="en-US"/>
                      </w:rPr>
                    </m:ctrlPr>
                  </m:dPr>
                  <m:e>
                    <m:r>
                      <m:rPr>
                        <m:sty m:val="p"/>
                      </m:rPr>
                      <w:rPr>
                        <w:rFonts w:ascii="Cambria Math" w:hAnsi="Cambria Math" w:cs="Times New Roman"/>
                        <w:lang w:val="en-US"/>
                      </w:rPr>
                      <m:t xml:space="preserve">0, </m:t>
                    </m:r>
                    <m:sSup>
                      <m:sSupPr>
                        <m:ctrlPr>
                          <w:rPr>
                            <w:rFonts w:ascii="Cambria Math" w:hAnsi="Cambria Math" w:cs="Times New Roman"/>
                            <w:i/>
                            <w:lang w:val="en-US"/>
                          </w:rPr>
                        </m:ctrlPr>
                      </m:sSupPr>
                      <m:e>
                        <m:r>
                          <m:rPr>
                            <m:sty m:val="p"/>
                          </m:rPr>
                          <w:rPr>
                            <w:rFonts w:ascii="Cambria Math" w:hAnsi="Cambria Math" w:cs="Times New Roman"/>
                            <w:lang w:val="en-US"/>
                          </w:rPr>
                          <m:t>τ</m:t>
                        </m:r>
                      </m:e>
                      <m:sup>
                        <m:r>
                          <m:rPr>
                            <m:sty m:val="p"/>
                          </m:rPr>
                          <w:rPr>
                            <w:rFonts w:ascii="Cambria Math" w:hAnsi="Cambria Math" w:cs="Times New Roman"/>
                            <w:lang w:val="en-US"/>
                          </w:rPr>
                          <m:t>2</m:t>
                        </m:r>
                      </m:sup>
                    </m:sSup>
                  </m:e>
                </m:d>
                <m:r>
                  <m:rPr>
                    <m:sty m:val="p"/>
                  </m:rPr>
                  <w:rPr>
                    <w:rFonts w:ascii="Cambria Math" w:hAnsi="Cambria Math" w:cs="Times New Roman"/>
                    <w:lang w:val="en-US"/>
                  </w:rPr>
                  <m:t>,   e(h)~N(0,v</m:t>
                </m:r>
                <m:d>
                  <m:dPr>
                    <m:ctrlPr>
                      <w:rPr>
                        <w:rFonts w:ascii="Cambria Math" w:hAnsi="Cambria Math" w:cs="Times New Roman"/>
                        <w:i/>
                        <w:lang w:val="en-US"/>
                      </w:rPr>
                    </m:ctrlPr>
                  </m:dPr>
                  <m:e>
                    <m:r>
                      <m:rPr>
                        <m:sty m:val="p"/>
                      </m:rPr>
                      <w:rPr>
                        <w:rFonts w:ascii="Cambria Math" w:hAnsi="Cambria Math" w:cs="Times New Roman"/>
                        <w:lang w:val="en-US"/>
                      </w:rPr>
                      <m:t>h</m:t>
                    </m:r>
                  </m:e>
                </m:d>
                <m:r>
                  <m:rPr>
                    <m:sty m:val="p"/>
                  </m:rPr>
                  <w:rPr>
                    <w:rFonts w:ascii="Cambria Math" w:hAnsi="Cambria Math" w:cs="Times New Roman"/>
                    <w:lang w:val="en-US"/>
                  </w:rPr>
                  <m:t>)</m:t>
                </m:r>
              </m:oMath>
            </m:oMathPara>
          </w:p>
        </w:tc>
        <w:tc>
          <w:tcPr>
            <w:tcW w:w="278" w:type="dxa"/>
          </w:tcPr>
          <w:p w14:paraId="35D2DBC6" w14:textId="77777777" w:rsidR="00220724" w:rsidRPr="00220724" w:rsidRDefault="00220724" w:rsidP="00220724">
            <w:pPr>
              <w:tabs>
                <w:tab w:val="center" w:pos="4677"/>
                <w:tab w:val="right" w:pos="9355"/>
              </w:tabs>
              <w:spacing w:before="80"/>
              <w:jc w:val="right"/>
              <w:rPr>
                <w:rFonts w:ascii="Times New Roman" w:hAnsi="Times New Roman" w:cs="Times New Roman"/>
              </w:rPr>
            </w:pPr>
            <w:r>
              <w:rPr>
                <w:rFonts w:ascii="Times New Roman" w:hAnsi="Times New Roman" w:cs="Times New Roman"/>
              </w:rPr>
              <w:t>(5)</w:t>
            </w:r>
          </w:p>
        </w:tc>
      </w:tr>
    </w:tbl>
    <w:p w14:paraId="18B2281E" w14:textId="77777777" w:rsidR="00147E50" w:rsidRPr="00F22774" w:rsidRDefault="00147E50" w:rsidP="00220724">
      <w:pPr>
        <w:spacing w:before="160"/>
        <w:jc w:val="both"/>
        <w:rPr>
          <w:lang w:val="en-US"/>
        </w:rPr>
      </w:pPr>
      <w:r>
        <w:rPr>
          <w:rFonts w:ascii="Times New Roman" w:eastAsia="Times New Roman" w:hAnsi="Times New Roman" w:cs="Times New Roman"/>
          <w:lang w:val="en-US"/>
        </w:rPr>
        <w:t xml:space="preserve">where </w:t>
      </w:r>
      <m:oMath>
        <m:r>
          <m:rPr>
            <m:sty m:val="p"/>
          </m:rPr>
          <w:rPr>
            <w:rFonts w:ascii="Cambria Math" w:hAnsi="Cambria Math" w:cs="Times New Roman"/>
            <w:lang w:val="en-US"/>
          </w:rPr>
          <m:t>v</m:t>
        </m:r>
        <m:d>
          <m:dPr>
            <m:ctrlPr>
              <w:rPr>
                <w:rFonts w:ascii="Cambria Math" w:hAnsi="Cambria Math" w:cs="Times New Roman"/>
                <w:i/>
                <w:lang w:val="en-US"/>
              </w:rPr>
            </m:ctrlPr>
          </m:dPr>
          <m:e>
            <m:r>
              <m:rPr>
                <m:sty m:val="p"/>
              </m:rPr>
              <w:rPr>
                <w:rFonts w:ascii="Cambria Math" w:hAnsi="Cambria Math" w:cs="Times New Roman"/>
                <w:lang w:val="en-US"/>
              </w:rPr>
              <m:t>h</m:t>
            </m:r>
          </m:e>
        </m:d>
      </m:oMath>
      <w:r>
        <w:rPr>
          <w:rFonts w:ascii="Times New Roman" w:eastAsia="Times New Roman" w:hAnsi="Times New Roman" w:cs="Times New Roman"/>
          <w:lang w:val="en-US"/>
        </w:rPr>
        <w:t xml:space="preserve"> is the squared standard error of household </w:t>
      </w:r>
      <m:oMath>
        <m:r>
          <m:rPr>
            <m:sty m:val="p"/>
          </m:rPr>
          <w:rPr>
            <w:rFonts w:ascii="Cambria Math" w:eastAsia="Times New Roman" w:hAnsi="Cambria Math" w:cs="Times New Roman"/>
            <w:lang w:val="en-US"/>
          </w:rPr>
          <m:t>h</m:t>
        </m:r>
      </m:oMath>
      <w:r>
        <w:rPr>
          <w:rFonts w:ascii="Times New Roman" w:eastAsia="Times New Roman" w:hAnsi="Times New Roman" w:cs="Times New Roman"/>
          <w:lang w:val="en-US"/>
        </w:rPr>
        <w:t xml:space="preserve">, containing both the window and the seed </w:t>
      </w:r>
      <w:proofErr w:type="gramStart"/>
      <w:r>
        <w:rPr>
          <w:rFonts w:ascii="Times New Roman" w:eastAsia="Times New Roman" w:hAnsi="Times New Roman" w:cs="Times New Roman"/>
          <w:lang w:val="en-US"/>
        </w:rPr>
        <w:t>components.</w:t>
      </w:r>
      <w:proofErr w:type="gramEnd"/>
      <w:r>
        <w:rPr>
          <w:rFonts w:ascii="Times New Roman" w:eastAsia="Times New Roman" w:hAnsi="Times New Roman" w:cs="Times New Roman"/>
          <w:lang w:val="en-US"/>
        </w:rPr>
        <w:t xml:space="preserve"> Alongside the summary effect we report the prediction interval, which is the interval within which the effect in a new household is expected to fall. For a practitioner deciding whether to adopt the component this is the relevant quantity, and it is wider than the confidence interval of the summary by construction.</w:t>
      </w:r>
    </w:p>
    <w:p w14:paraId="05B9C491" w14:textId="77777777" w:rsidR="00147E50" w:rsidRPr="00F22774" w:rsidRDefault="00B611D3" w:rsidP="00147E50">
      <w:pPr>
        <w:pStyle w:val="3"/>
        <w:ind w:firstLine="426"/>
        <w:rPr>
          <w:lang w:val="en-US"/>
        </w:rPr>
      </w:pPr>
      <w:bookmarkStart w:id="3" w:name="_Hlk236747813"/>
      <w:r>
        <w:rPr>
          <w:lang w:val="en-US"/>
        </w:rPr>
        <w:lastRenderedPageBreak/>
        <w:t>5.4.2. The pooled effect</w:t>
      </w:r>
    </w:p>
    <w:p w14:paraId="42B6B4F5" w14:textId="77777777" w:rsidR="00147E50" w:rsidRPr="00F22774" w:rsidRDefault="007915AA" w:rsidP="00147E50">
      <w:pPr>
        <w:jc w:val="both"/>
        <w:rPr>
          <w:rFonts w:ascii="Times New Roman" w:eastAsia="Times New Roman" w:hAnsi="Times New Roman" w:cs="Times New Roman"/>
          <w:lang w:val="en-US"/>
        </w:rPr>
      </w:pPr>
      <w:r>
        <w:rPr>
          <w:rFonts w:ascii="Times New Roman" w:eastAsia="Times New Roman" w:hAnsi="Times New Roman" w:cs="Times New Roman"/>
          <w:lang w:val="en-US"/>
        </w:rPr>
        <w:t>As reported in Table 6 and illustrated in Fig. 5, the pooled effect is small. Table 6a repeats the primary combination on the normalised scale, on which the practical threshold is a single line and the equivalence claim below is made.</w:t>
      </w:r>
    </w:p>
    <w:p w14:paraId="76490360" w14:textId="77777777" w:rsidR="00D5053E" w:rsidRPr="00F22774" w:rsidRDefault="00D5053E" w:rsidP="00147E50">
      <w:pPr>
        <w:jc w:val="both"/>
        <w:rPr>
          <w:lang w:val="en-US"/>
        </w:rPr>
      </w:pPr>
      <w:r>
        <w:rPr>
          <w:rFonts w:ascii="Times New Roman" w:eastAsia="Times New Roman" w:hAnsi="Times New Roman" w:cs="Times New Roman"/>
          <w:lang w:val="en-US"/>
        </w:rPr>
        <w:t xml:space="preserve">Table 6. Random‑effects pooling of per‑household ablation effects for four </w:t>
      </w:r>
      <w:proofErr w:type="gramStart"/>
      <w:r>
        <w:rPr>
          <w:rFonts w:ascii="Times New Roman" w:eastAsia="Times New Roman" w:hAnsi="Times New Roman" w:cs="Times New Roman"/>
          <w:lang w:val="en-US"/>
        </w:rPr>
        <w:t>auxiliary</w:t>
      </w:r>
      <w:proofErr w:type="gramEnd"/>
      <w:r>
        <w:rPr>
          <w:rFonts w:ascii="Times New Roman" w:eastAsia="Times New Roman" w:hAnsi="Times New Roman" w:cs="Times New Roman"/>
          <w:lang w:val="en-US"/>
        </w:rPr>
        <w:t xml:space="preserve">‑objective/output combinations. Standard errors propagate training and evaluation variance; </w:t>
      </w:r>
      <w:r>
        <w:rPr>
          <w:rFonts w:ascii="Times New Roman" w:eastAsia="Times New Roman" w:hAnsi="Times New Roman" w:cs="Times New Roman"/>
        </w:rPr>
        <w:t>τ</w:t>
      </w:r>
      <w:r>
        <w:rPr>
          <w:rFonts w:ascii="Times New Roman" w:eastAsia="Times New Roman" w:hAnsi="Times New Roman" w:cs="Times New Roman"/>
          <w:lang w:val="en-US"/>
        </w:rPr>
        <w:t xml:space="preserve"> is between‑household SD and the prediction interval applies to a new household. Heterogeneity is absent only in the first row; in the other three it persists under full propagation, so the collapse is not general.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8"/>
        <w:gridCol w:w="1555"/>
        <w:gridCol w:w="860"/>
        <w:gridCol w:w="907"/>
        <w:gridCol w:w="1144"/>
        <w:gridCol w:w="1711"/>
      </w:tblGrid>
      <w:tr w:rsidR="00147E50" w:rsidRPr="00F22774" w14:paraId="775BF634" w14:textId="77777777" w:rsidTr="00D85B70">
        <w:trPr>
          <w:tblHeader w:val="true"/>
        </w:trPr>
        <w:tc>
          <w:tcPr>
            <w:tcW w:w="3168" w:type="dxa"/>
          </w:tcPr>
          <w:p w14:paraId="6A137B0D" w14:textId="77777777" w:rsidR="00147E50" w:rsidRPr="00F22774" w:rsidRDefault="00147E50" w:rsidP="00AE3E64">
            <w:pPr>
              <w:spacing w:before="40" w:after="40"/>
            </w:pPr>
            <w:r>
              <w:rPr>
                <w:rFonts w:ascii="Times New Roman" w:eastAsia="Times New Roman" w:hAnsi="Times New Roman" w:cs="Times New Roman"/>
                <w:b/>
                <w:bCs/>
                <w:sz w:val="20"/>
                <w:szCs w:val="20"/>
              </w:rPr>
              <w:t>Combination</w:t>
            </w:r>
          </w:p>
        </w:tc>
        <w:tc>
          <w:tcPr>
            <w:tcW w:w="1555" w:type="dxa"/>
          </w:tcPr>
          <w:p w14:paraId="08648143" w14:textId="77777777" w:rsidR="00147E50" w:rsidRPr="00F22774" w:rsidRDefault="00147E50" w:rsidP="00AE3E64">
            <w:pPr>
              <w:spacing w:before="40" w:after="40"/>
              <w:jc w:val="center"/>
            </w:pPr>
            <w:r>
              <w:rPr>
                <w:rFonts w:ascii="Times New Roman" w:eastAsia="Times New Roman" w:hAnsi="Times New Roman" w:cs="Times New Roman"/>
                <w:b/>
                <w:bCs/>
                <w:sz w:val="20"/>
                <w:szCs w:val="20"/>
              </w:rPr>
              <w:t>Pooled effect, W</w:t>
            </w:r>
          </w:p>
        </w:tc>
        <w:tc>
          <w:tcPr>
            <w:tcW w:w="860" w:type="dxa"/>
          </w:tcPr>
          <w:p w14:paraId="12BF8B29" w14:textId="77777777" w:rsidR="00147E50" w:rsidRPr="00F22774" w:rsidRDefault="00147E50" w:rsidP="00AE3E64">
            <w:pPr>
              <w:spacing w:before="40" w:after="40"/>
              <w:jc w:val="center"/>
            </w:pPr>
            <w:r>
              <w:rPr>
                <w:rFonts w:ascii="Times New Roman" w:eastAsia="Times New Roman" w:hAnsi="Times New Roman" w:cs="Times New Roman"/>
                <w:b/>
                <w:bCs/>
                <w:sz w:val="20"/>
                <w:szCs w:val="20"/>
              </w:rPr>
              <w:t>p</w:t>
            </w:r>
          </w:p>
        </w:tc>
        <w:tc>
          <w:tcPr>
            <w:tcW w:w="907" w:type="dxa"/>
          </w:tcPr>
          <w:p w14:paraId="594A50A0" w14:textId="77777777" w:rsidR="00147E50" w:rsidRPr="00F22774" w:rsidRDefault="00147E50" w:rsidP="00AE3E64">
            <w:pPr>
              <w:spacing w:before="40" w:after="40"/>
              <w:jc w:val="center"/>
            </w:pPr>
            <w:r>
              <w:rPr>
                <w:rFonts w:ascii="Times New Roman" w:eastAsia="Times New Roman" w:hAnsi="Times New Roman" w:cs="Times New Roman"/>
                <w:b/>
                <w:bCs/>
                <w:sz w:val="20"/>
                <w:szCs w:val="20"/>
              </w:rPr>
              <w:t>τ, W</w:t>
            </w:r>
          </w:p>
        </w:tc>
        <w:tc>
          <w:tcPr>
            <w:tcW w:w="1144" w:type="dxa"/>
          </w:tcPr>
          <w:p w14:paraId="1303F4D3" w14:textId="77777777" w:rsidR="00147E50" w:rsidRPr="00F22774" w:rsidRDefault="00147E50" w:rsidP="00AE3E64">
            <w:pPr>
              <w:spacing w:before="40" w:after="40"/>
              <w:jc w:val="center"/>
            </w:pPr>
            <w:r>
              <w:rPr>
                <w:rFonts w:ascii="Times New Roman" w:eastAsia="Times New Roman" w:hAnsi="Times New Roman" w:cs="Times New Roman"/>
                <w:b/>
                <w:bCs/>
                <w:sz w:val="20"/>
                <w:szCs w:val="20"/>
              </w:rPr>
              <w:t>I²</w:t>
            </w:r>
          </w:p>
        </w:tc>
        <w:tc>
          <w:tcPr>
            <w:tcW w:w="1711" w:type="dxa"/>
          </w:tcPr>
          <w:p w14:paraId="19D40F4F" w14:textId="77777777" w:rsidR="00147E50" w:rsidRPr="00F22774" w:rsidRDefault="00147E50" w:rsidP="00AE3E64">
            <w:pPr>
              <w:spacing w:before="40" w:after="40"/>
              <w:jc w:val="center"/>
            </w:pPr>
            <w:r>
              <w:rPr>
                <w:rFonts w:ascii="Times New Roman" w:eastAsia="Times New Roman" w:hAnsi="Times New Roman" w:cs="Times New Roman"/>
                <w:b/>
                <w:bCs/>
                <w:sz w:val="20"/>
                <w:szCs w:val="20"/>
              </w:rPr>
              <w:t>Prediction interval, W</w:t>
            </w:r>
          </w:p>
        </w:tc>
      </w:tr>
      <w:tr w:rsidR="00147E50" w:rsidRPr="00F22774" w14:paraId="56D14627" w14:textId="77777777" w:rsidTr="00D85B70">
        <w:tc>
          <w:tcPr>
            <w:tcW w:w="3168" w:type="dxa"/>
          </w:tcPr>
          <w:p w14:paraId="1E01250D" w14:textId="77777777" w:rsidR="00147E50" w:rsidRPr="00F22774" w:rsidRDefault="00147E50" w:rsidP="00AE3E64">
            <w:pPr>
              <w:spacing w:before="40" w:after="40"/>
            </w:pPr>
            <w:r>
              <w:rPr>
                <w:rFonts w:ascii="Times New Roman" w:eastAsia="Times New Roman" w:hAnsi="Times New Roman" w:cs="Times New Roman"/>
                <w:sz w:val="20"/>
                <w:szCs w:val="20"/>
              </w:rPr>
              <w:t>Corrected objective, fused forecast</w:t>
            </w:r>
          </w:p>
        </w:tc>
        <w:tc>
          <w:tcPr>
            <w:tcW w:w="1555" w:type="dxa"/>
          </w:tcPr>
          <w:p w14:paraId="2CF71673" w14:textId="77777777" w:rsidR="00147E50" w:rsidRPr="00F22774" w:rsidRDefault="00147E50" w:rsidP="00AE3E64">
            <w:pPr>
              <w:spacing w:before="40" w:after="40"/>
              <w:jc w:val="center"/>
            </w:pPr>
            <w:r>
              <w:rPr>
                <w:rFonts w:ascii="Times New Roman" w:eastAsia="Times New Roman" w:hAnsi="Times New Roman" w:cs="Times New Roman"/>
                <w:sz w:val="20"/>
                <w:szCs w:val="20"/>
              </w:rPr>
              <w:t>−0.28 (0.19)</w:t>
            </w:r>
          </w:p>
        </w:tc>
        <w:tc>
          <w:tcPr>
            <w:tcW w:w="860" w:type="dxa"/>
          </w:tcPr>
          <w:p w14:paraId="1E25127F" w14:textId="77777777" w:rsidR="00147E50" w:rsidRPr="00F22774" w:rsidRDefault="00147E50" w:rsidP="00AE3E64">
            <w:pPr>
              <w:spacing w:before="40" w:after="40"/>
              <w:jc w:val="center"/>
            </w:pPr>
            <w:r>
              <w:rPr>
                <w:rFonts w:ascii="Times New Roman" w:eastAsia="Times New Roman" w:hAnsi="Times New Roman" w:cs="Times New Roman"/>
                <w:sz w:val="20"/>
                <w:szCs w:val="20"/>
              </w:rPr>
              <w:t>0.141</w:t>
            </w:r>
          </w:p>
        </w:tc>
        <w:tc>
          <w:tcPr>
            <w:tcW w:w="907" w:type="dxa"/>
          </w:tcPr>
          <w:p w14:paraId="0F434803" w14:textId="77777777" w:rsidR="00147E50" w:rsidRPr="00F22774" w:rsidRDefault="00147E50" w:rsidP="00AE3E64">
            <w:pPr>
              <w:spacing w:before="40" w:after="40"/>
              <w:jc w:val="center"/>
            </w:pPr>
            <w:r>
              <w:rPr>
                <w:rFonts w:ascii="Times New Roman" w:eastAsia="Times New Roman" w:hAnsi="Times New Roman" w:cs="Times New Roman"/>
                <w:sz w:val="20"/>
                <w:szCs w:val="20"/>
              </w:rPr>
              <w:t>0.35</w:t>
            </w:r>
          </w:p>
        </w:tc>
        <w:tc>
          <w:tcPr>
            <w:tcW w:w="1144" w:type="dxa"/>
          </w:tcPr>
          <w:p w14:paraId="232E6592" w14:textId="77777777" w:rsidR="00147E50" w:rsidRPr="00F22774" w:rsidRDefault="00147E50" w:rsidP="00AE3E64">
            <w:pPr>
              <w:spacing w:before="40" w:after="40"/>
              <w:jc w:val="center"/>
            </w:pPr>
            <w:r>
              <w:rPr>
                <w:rFonts w:ascii="Times New Roman" w:eastAsia="Times New Roman" w:hAnsi="Times New Roman" w:cs="Times New Roman"/>
                <w:sz w:val="20"/>
                <w:szCs w:val="20"/>
              </w:rPr>
              <w:t>26.9%</w:t>
            </w:r>
          </w:p>
        </w:tc>
        <w:tc>
          <w:tcPr>
            <w:tcW w:w="1711" w:type="dxa"/>
          </w:tcPr>
          <w:p w14:paraId="45FB5AA5" w14:textId="77777777" w:rsidR="00147E50" w:rsidRPr="00F22774" w:rsidRDefault="00147E50" w:rsidP="00AE3E64">
            <w:pPr>
              <w:spacing w:before="40" w:after="40"/>
              <w:jc w:val="center"/>
            </w:pPr>
            <w:r>
              <w:rPr>
                <w:rFonts w:ascii="Times New Roman" w:eastAsia="Times New Roman" w:hAnsi="Times New Roman" w:cs="Times New Roman"/>
                <w:sz w:val="20"/>
                <w:szCs w:val="20"/>
              </w:rPr>
              <w:t>[−1.14, +0.57]</w:t>
            </w:r>
          </w:p>
        </w:tc>
      </w:tr>
      <w:tr w:rsidR="00147E50" w:rsidRPr="00F22774" w14:paraId="70F1FF6D" w14:textId="77777777" w:rsidTr="00D85B70">
        <w:tc>
          <w:tcPr>
            <w:tcW w:w="3168" w:type="dxa"/>
          </w:tcPr>
          <w:p w14:paraId="357D3AAF" w14:textId="77777777" w:rsidR="00147E50" w:rsidRPr="00F22774" w:rsidRDefault="00147E50" w:rsidP="00AE3E64">
            <w:pPr>
              <w:spacing w:before="40" w:after="40"/>
            </w:pPr>
            <w:r>
              <w:rPr>
                <w:rFonts w:ascii="Times New Roman" w:eastAsia="Times New Roman" w:hAnsi="Times New Roman" w:cs="Times New Roman"/>
                <w:sz w:val="20"/>
                <w:szCs w:val="20"/>
              </w:rPr>
              <w:t>Corrected objective, branch output</w:t>
            </w:r>
          </w:p>
        </w:tc>
        <w:tc>
          <w:tcPr>
            <w:tcW w:w="1555" w:type="dxa"/>
          </w:tcPr>
          <w:p w14:paraId="2041105C" w14:textId="77777777" w:rsidR="00147E50" w:rsidRPr="00F22774" w:rsidRDefault="00147E50" w:rsidP="00AE3E64">
            <w:pPr>
              <w:spacing w:before="40" w:after="40"/>
              <w:jc w:val="center"/>
            </w:pPr>
            <w:r>
              <w:rPr>
                <w:rFonts w:ascii="Times New Roman" w:eastAsia="Times New Roman" w:hAnsi="Times New Roman" w:cs="Times New Roman"/>
                <w:sz w:val="20"/>
                <w:szCs w:val="20"/>
              </w:rPr>
              <w:t>−0.73 (0.57)</w:t>
            </w:r>
          </w:p>
        </w:tc>
        <w:tc>
          <w:tcPr>
            <w:tcW w:w="860" w:type="dxa"/>
          </w:tcPr>
          <w:p w14:paraId="7B1D6984" w14:textId="77777777" w:rsidR="00147E50" w:rsidRPr="00F22774" w:rsidRDefault="00147E50" w:rsidP="00AE3E64">
            <w:pPr>
              <w:spacing w:before="40" w:after="40"/>
              <w:jc w:val="center"/>
            </w:pPr>
            <w:r>
              <w:rPr>
                <w:rFonts w:ascii="Times New Roman" w:eastAsia="Times New Roman" w:hAnsi="Times New Roman" w:cs="Times New Roman"/>
                <w:sz w:val="20"/>
                <w:szCs w:val="20"/>
              </w:rPr>
              <w:t>0.201</w:t>
            </w:r>
          </w:p>
        </w:tc>
        <w:tc>
          <w:tcPr>
            <w:tcW w:w="907" w:type="dxa"/>
          </w:tcPr>
          <w:p w14:paraId="3265F3D3" w14:textId="77777777" w:rsidR="00147E50" w:rsidRPr="00F22774" w:rsidRDefault="00147E50" w:rsidP="00AE3E64">
            <w:pPr>
              <w:spacing w:before="40" w:after="40"/>
              <w:jc w:val="center"/>
            </w:pPr>
            <w:r>
              <w:rPr>
                <w:rFonts w:ascii="Times New Roman" w:eastAsia="Times New Roman" w:hAnsi="Times New Roman" w:cs="Times New Roman"/>
                <w:sz w:val="20"/>
                <w:szCs w:val="20"/>
              </w:rPr>
              <w:t>1.44</w:t>
            </w:r>
          </w:p>
        </w:tc>
        <w:tc>
          <w:tcPr>
            <w:tcW w:w="1144" w:type="dxa"/>
          </w:tcPr>
          <w:p w14:paraId="0C47BDB2" w14:textId="77777777" w:rsidR="00147E50" w:rsidRPr="00F22774" w:rsidRDefault="00147E50" w:rsidP="00AE3E64">
            <w:pPr>
              <w:spacing w:before="40" w:after="40"/>
              <w:jc w:val="center"/>
            </w:pPr>
            <w:r>
              <w:rPr>
                <w:rFonts w:ascii="Times New Roman" w:eastAsia="Times New Roman" w:hAnsi="Times New Roman" w:cs="Times New Roman"/>
                <w:sz w:val="20"/>
                <w:szCs w:val="20"/>
              </w:rPr>
              <w:t>57.5%</w:t>
            </w:r>
          </w:p>
        </w:tc>
        <w:tc>
          <w:tcPr>
            <w:tcW w:w="1711" w:type="dxa"/>
          </w:tcPr>
          <w:p w14:paraId="3745198D" w14:textId="77777777" w:rsidR="00147E50" w:rsidRPr="00F22774" w:rsidRDefault="00147E50" w:rsidP="00AE3E64">
            <w:pPr>
              <w:spacing w:before="40" w:after="40"/>
              <w:jc w:val="center"/>
            </w:pPr>
            <w:r>
              <w:rPr>
                <w:rFonts w:ascii="Times New Roman" w:eastAsia="Times New Roman" w:hAnsi="Times New Roman" w:cs="Times New Roman"/>
                <w:sz w:val="20"/>
                <w:szCs w:val="20"/>
              </w:rPr>
              <w:t>[−4.03, +2.57]</w:t>
            </w:r>
          </w:p>
        </w:tc>
      </w:tr>
      <w:tr w:rsidR="00147E50" w:rsidRPr="00F22774" w14:paraId="512879CA" w14:textId="77777777" w:rsidTr="00D85B70">
        <w:tc>
          <w:tcPr>
            <w:tcW w:w="3168" w:type="dxa"/>
          </w:tcPr>
          <w:p w14:paraId="0EE0E433" w14:textId="77777777" w:rsidR="00147E50" w:rsidRPr="00F22774" w:rsidRDefault="00147E50" w:rsidP="00AE3E64">
            <w:pPr>
              <w:spacing w:before="40" w:after="40"/>
            </w:pPr>
            <w:r>
              <w:rPr>
                <w:rFonts w:ascii="Times New Roman" w:eastAsia="Times New Roman" w:hAnsi="Times New Roman" w:cs="Times New Roman"/>
                <w:sz w:val="20"/>
                <w:szCs w:val="20"/>
              </w:rPr>
              <w:t>Original objective, fused forecast</w:t>
            </w:r>
          </w:p>
        </w:tc>
        <w:tc>
          <w:tcPr>
            <w:tcW w:w="1555" w:type="dxa"/>
          </w:tcPr>
          <w:p w14:paraId="649F25B5" w14:textId="77777777" w:rsidR="00147E50" w:rsidRPr="00F22774" w:rsidRDefault="00147E50" w:rsidP="00AE3E64">
            <w:pPr>
              <w:spacing w:before="40" w:after="40"/>
              <w:jc w:val="center"/>
            </w:pPr>
            <w:r>
              <w:rPr>
                <w:rFonts w:ascii="Times New Roman" w:eastAsia="Times New Roman" w:hAnsi="Times New Roman" w:cs="Times New Roman"/>
                <w:sz w:val="20"/>
                <w:szCs w:val="20"/>
              </w:rPr>
              <w:t>−0.06 (0.33)</w:t>
            </w:r>
          </w:p>
        </w:tc>
        <w:tc>
          <w:tcPr>
            <w:tcW w:w="860" w:type="dxa"/>
          </w:tcPr>
          <w:p w14:paraId="48767EE6" w14:textId="77777777" w:rsidR="00147E50" w:rsidRPr="00F22774" w:rsidRDefault="00147E50" w:rsidP="00AE3E64">
            <w:pPr>
              <w:spacing w:before="40" w:after="40"/>
              <w:jc w:val="center"/>
            </w:pPr>
            <w:r>
              <w:rPr>
                <w:rFonts w:ascii="Times New Roman" w:eastAsia="Times New Roman" w:hAnsi="Times New Roman" w:cs="Times New Roman"/>
                <w:sz w:val="20"/>
                <w:szCs w:val="20"/>
              </w:rPr>
              <w:t>0.857</w:t>
            </w:r>
          </w:p>
        </w:tc>
        <w:tc>
          <w:tcPr>
            <w:tcW w:w="907" w:type="dxa"/>
          </w:tcPr>
          <w:p w14:paraId="04EF17D9" w14:textId="77777777" w:rsidR="00147E50" w:rsidRPr="00F22774" w:rsidRDefault="00147E50" w:rsidP="00AE3E64">
            <w:pPr>
              <w:spacing w:before="40" w:after="40"/>
              <w:jc w:val="center"/>
            </w:pPr>
            <w:r>
              <w:rPr>
                <w:rFonts w:ascii="Times New Roman" w:eastAsia="Times New Roman" w:hAnsi="Times New Roman" w:cs="Times New Roman"/>
                <w:sz w:val="20"/>
                <w:szCs w:val="20"/>
              </w:rPr>
              <w:t>0.83</w:t>
            </w:r>
          </w:p>
        </w:tc>
        <w:tc>
          <w:tcPr>
            <w:tcW w:w="1144" w:type="dxa"/>
          </w:tcPr>
          <w:p w14:paraId="63728E96" w14:textId="77777777" w:rsidR="00147E50" w:rsidRPr="00F22774" w:rsidRDefault="00147E50" w:rsidP="00AE3E64">
            <w:pPr>
              <w:spacing w:before="40" w:after="40"/>
              <w:jc w:val="center"/>
            </w:pPr>
            <w:r>
              <w:rPr>
                <w:rFonts w:ascii="Times New Roman" w:eastAsia="Times New Roman" w:hAnsi="Times New Roman" w:cs="Times New Roman"/>
                <w:sz w:val="20"/>
                <w:szCs w:val="20"/>
              </w:rPr>
              <w:t>55.0%</w:t>
            </w:r>
          </w:p>
        </w:tc>
        <w:tc>
          <w:tcPr>
            <w:tcW w:w="1711" w:type="dxa"/>
          </w:tcPr>
          <w:p w14:paraId="3CD4F785" w14:textId="77777777" w:rsidR="00147E50" w:rsidRPr="00F22774" w:rsidRDefault="00147E50" w:rsidP="00AE3E64">
            <w:pPr>
              <w:spacing w:before="40" w:after="40"/>
              <w:jc w:val="center"/>
            </w:pPr>
            <w:r>
              <w:rPr>
                <w:rFonts w:ascii="Times New Roman" w:eastAsia="Times New Roman" w:hAnsi="Times New Roman" w:cs="Times New Roman"/>
                <w:sz w:val="20"/>
                <w:szCs w:val="20"/>
              </w:rPr>
              <w:t>[−1.96, +1.85]</w:t>
            </w:r>
          </w:p>
        </w:tc>
      </w:tr>
      <w:tr w:rsidR="00147E50" w:rsidRPr="00F22774" w14:paraId="34A1AC15" w14:textId="77777777" w:rsidTr="00D85B70">
        <w:tc>
          <w:tcPr>
            <w:tcW w:w="3168" w:type="dxa"/>
          </w:tcPr>
          <w:p w14:paraId="18D5175F" w14:textId="77777777" w:rsidR="00147E50" w:rsidRPr="00F22774" w:rsidRDefault="00147E50" w:rsidP="00AE3E64">
            <w:pPr>
              <w:spacing w:before="40" w:after="40"/>
            </w:pPr>
            <w:r>
              <w:rPr>
                <w:rFonts w:ascii="Times New Roman" w:eastAsia="Times New Roman" w:hAnsi="Times New Roman" w:cs="Times New Roman"/>
                <w:sz w:val="20"/>
                <w:szCs w:val="20"/>
              </w:rPr>
              <w:t>Original objective, branch output</w:t>
            </w:r>
          </w:p>
        </w:tc>
        <w:tc>
          <w:tcPr>
            <w:tcW w:w="1555" w:type="dxa"/>
          </w:tcPr>
          <w:p w14:paraId="41EE5AF3" w14:textId="77777777" w:rsidR="00147E50" w:rsidRPr="00F22774" w:rsidRDefault="00147E50" w:rsidP="00AE3E64">
            <w:pPr>
              <w:spacing w:before="40" w:after="40"/>
              <w:jc w:val="center"/>
            </w:pPr>
            <w:r>
              <w:rPr>
                <w:rFonts w:ascii="Times New Roman" w:eastAsia="Times New Roman" w:hAnsi="Times New Roman" w:cs="Times New Roman"/>
                <w:sz w:val="20"/>
                <w:szCs w:val="20"/>
              </w:rPr>
              <w:t>−0.74 (0.62)</w:t>
            </w:r>
          </w:p>
        </w:tc>
        <w:tc>
          <w:tcPr>
            <w:tcW w:w="860" w:type="dxa"/>
          </w:tcPr>
          <w:p w14:paraId="7023E208" w14:textId="77777777" w:rsidR="00147E50" w:rsidRPr="00F22774" w:rsidRDefault="00147E50" w:rsidP="00AE3E64">
            <w:pPr>
              <w:spacing w:before="40" w:after="40"/>
              <w:jc w:val="center"/>
            </w:pPr>
            <w:r>
              <w:rPr>
                <w:rFonts w:ascii="Times New Roman" w:eastAsia="Times New Roman" w:hAnsi="Times New Roman" w:cs="Times New Roman"/>
                <w:sz w:val="20"/>
                <w:szCs w:val="20"/>
              </w:rPr>
              <w:t>0.231</w:t>
            </w:r>
          </w:p>
        </w:tc>
        <w:tc>
          <w:tcPr>
            <w:tcW w:w="907" w:type="dxa"/>
          </w:tcPr>
          <w:p w14:paraId="2BA3513B" w14:textId="77777777" w:rsidR="00147E50" w:rsidRPr="00F22774" w:rsidRDefault="00147E50" w:rsidP="00AE3E64">
            <w:pPr>
              <w:spacing w:before="40" w:after="40"/>
              <w:jc w:val="center"/>
            </w:pPr>
            <w:r>
              <w:rPr>
                <w:rFonts w:ascii="Times New Roman" w:eastAsia="Times New Roman" w:hAnsi="Times New Roman" w:cs="Times New Roman"/>
                <w:sz w:val="20"/>
                <w:szCs w:val="20"/>
              </w:rPr>
              <w:t>1.68</w:t>
            </w:r>
          </w:p>
        </w:tc>
        <w:tc>
          <w:tcPr>
            <w:tcW w:w="1144" w:type="dxa"/>
          </w:tcPr>
          <w:p w14:paraId="337015E2" w14:textId="77777777" w:rsidR="00147E50" w:rsidRPr="00F22774" w:rsidRDefault="00147E50" w:rsidP="00AE3E64">
            <w:pPr>
              <w:spacing w:before="40" w:after="40"/>
              <w:jc w:val="center"/>
            </w:pPr>
            <w:r>
              <w:rPr>
                <w:rFonts w:ascii="Times New Roman" w:eastAsia="Times New Roman" w:hAnsi="Times New Roman" w:cs="Times New Roman"/>
                <w:sz w:val="20"/>
                <w:szCs w:val="20"/>
              </w:rPr>
              <w:t>62.4%</w:t>
            </w:r>
          </w:p>
        </w:tc>
        <w:tc>
          <w:tcPr>
            <w:tcW w:w="1711" w:type="dxa"/>
          </w:tcPr>
          <w:p w14:paraId="6E044395" w14:textId="77777777" w:rsidR="00147E50" w:rsidRPr="00F22774" w:rsidRDefault="00147E50" w:rsidP="00AE3E64">
            <w:pPr>
              <w:spacing w:before="40" w:after="40"/>
              <w:jc w:val="center"/>
            </w:pPr>
            <w:r>
              <w:rPr>
                <w:rFonts w:ascii="Times New Roman" w:eastAsia="Times New Roman" w:hAnsi="Times New Roman" w:cs="Times New Roman"/>
                <w:sz w:val="20"/>
                <w:szCs w:val="20"/>
              </w:rPr>
              <w:t>[−4.56, +3.07]</w:t>
            </w:r>
          </w:p>
        </w:tc>
      </w:tr>
    </w:tbl>
    <w:p w14:paraId="39536C55" w14:textId="77777777" w:rsidR="003926C4" w:rsidRPr="00F22774" w:rsidRDefault="003926C4" w:rsidP="00D85B70">
      <w:pPr>
        <w:spacing w:before="160"/>
        <w:jc w:val="center"/>
        <w:rPr>
          <w:rFonts w:ascii="Times New Roman" w:eastAsia="Times New Roman" w:hAnsi="Times New Roman" w:cs="Times New Roman"/>
          <w:lang w:val="en-US"/>
        </w:rPr>
      </w:pPr>
    </w:p>
    <w:p w14:paraId="506FD664" w14:textId="77777777" w:rsidR="003926C4" w:rsidRPr="00F22774" w:rsidRDefault="005746E9" w:rsidP="00047878">
      <w:pPr>
        <w:spacing w:after="0"/>
        <w:jc w:val="cente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22AEEE2C" wp14:editId="2BF3C9DB">
            <wp:extent cx="5940425" cy="5449694"/>
            <wp:effectExtent l="0" t="0" r="3175" b="8255"/>
            <wp:docPr id="8" name="Рисунок 8" descr="Household-level ablation effects with full uncertainty intervals and practical-significance band." title="Household-level ablation effects with full uncertainty intervals and practical-significanc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5449694"/>
                    </a:xfrm>
                    <a:prstGeom prst="rect">
                      <a:avLst/>
                    </a:prstGeom>
                  </pic:spPr>
                </pic:pic>
              </a:graphicData>
            </a:graphic>
          </wp:inline>
        </w:drawing>
      </w:r>
    </w:p>
    <w:p w14:paraId="6D80882D" w14:textId="77777777" w:rsidR="00D85B70" w:rsidRPr="00F22774" w:rsidRDefault="00D85B70" w:rsidP="00047878">
      <w:pPr>
        <w:spacing w:after="0"/>
        <w:jc w:val="both"/>
        <w:rPr>
          <w:rFonts w:ascii="Times New Roman" w:eastAsia="Times New Roman" w:hAnsi="Times New Roman" w:cs="Times New Roman"/>
          <w:lang w:val="en-US"/>
        </w:rPr>
      </w:pPr>
      <w:r>
        <w:rPr>
          <w:rFonts w:ascii="Times New Roman" w:eastAsia="Times New Roman" w:hAnsi="Times New Roman" w:cs="Times New Roman"/>
          <w:lang w:val="en-US"/>
        </w:rPr>
        <w:t>Fig. 5.</w:t>
      </w:r>
      <w:r>
        <w:rPr>
          <w:lang w:val="en-US"/>
        </w:rPr>
        <w:t xml:space="preserve"> </w:t>
      </w:r>
      <w:r>
        <w:rPr>
          <w:rFonts w:ascii="Times New Roman" w:eastAsia="Times New Roman" w:hAnsi="Times New Roman" w:cs="Times New Roman"/>
          <w:lang w:val="en-US"/>
        </w:rPr>
        <w:t xml:space="preserve">Effect of removing the identity mechanism, by household, with and without training‑variance propagation. Each row is one household; points are estimated effects (positive = mechanism helps). Thick intervals use evaluation‑only resampling; thin intervals add seed variance. The pale band marks ±2% of </w:t>
      </w:r>
      <w:r>
        <w:rPr>
          <w:rFonts w:ascii="Times New Roman" w:eastAsia="Times New Roman" w:hAnsi="Times New Roman" w:cs="Times New Roman"/>
          <w:lang w:val="en-US"/>
        </w:rPr>
        <w:lastRenderedPageBreak/>
        <w:t>each household’s MAE (practical‑significance threshold, Section 4.4). The diamond is the random‑effects summary; the bar beneath is the prediction interval. Seven households are significant under the customary interval, two under the full; the summary effect (−0.28 W) and prediction interval [−1.14, +0.57] W lie within the practical‑significance band for all households. Intervals extending beyond the axis are marked with arrows.</w:t>
      </w:r>
    </w:p>
    <w:p w14:paraId="76F51BFB" w14:textId="77777777" w:rsidR="00147E50" w:rsidRPr="00F22774" w:rsidRDefault="00C96B8A" w:rsidP="00047878">
      <w:pPr>
        <w:spacing w:before="160"/>
        <w:jc w:val="both"/>
        <w:rPr>
          <w:lang w:val="en-US"/>
        </w:rPr>
      </w:pPr>
      <w:r>
        <w:rPr>
          <w:rFonts w:ascii="Times New Roman" w:eastAsia="Times New Roman" w:hAnsi="Times New Roman" w:cs="Times New Roman"/>
          <w:lang w:val="en-US"/>
        </w:rPr>
        <w:t>The primary combination is the first. It is the configuration in which the decomposition path is a working forecaster, evaluated on the output the model actually produces. On the normalised scale the pooled effect is −0.26 per cent of household error with a standard error of 0.15 (p = 0.085), the sign is negative on 13 of 17 households, and the prediction interval for a new household is [−0.98, +0.46] per cent. Both limits lie inside the pre-specified threshold of ±2 per cent, on every household in the study and by a factor of two. In watts the same analysis gives −0.28 W (SE 0.19, p = 0.141) with a prediction interval of [−1.14, +0.57] W; that form is retained in Table 6 and Fig. 5 for comparability with the earlier study, but it cannot carry the equivalence claim, because a threshold of 2 per cent of household error corresponds to between 0.8 and 9.8 W across the sample and the interval exceeds the lower end of that range.</w:t>
      </w:r>
    </w:p>
    <w:p w14:paraId="343F7348" w14:textId="77777777" w:rsidR="007F05BC" w:rsidRPr="00DD392A" w:rsidRDefault="00DD392A">
      <w:pPr>
        <w:rPr>
          <w:lang w:val="en-US"/>
        </w:rPr>
      </w:pPr>
      <w:r w:rsidRPr="00DD392A">
        <w:rPr>
          <w:lang w:val="en-US"/>
        </w:rPr>
        <w:t xml:space="preserve">Table 6a. Primary combination on the </w:t>
      </w:r>
      <w:proofErr w:type="spellStart"/>
      <w:r w:rsidRPr="00DD392A">
        <w:rPr>
          <w:lang w:val="en-US"/>
        </w:rPr>
        <w:t>normalised</w:t>
      </w:r>
      <w:proofErr w:type="spellEnd"/>
      <w:r w:rsidRPr="00DD392A">
        <w:rPr>
          <w:lang w:val="en-US"/>
        </w:rPr>
        <w:t xml:space="preserve"> scale: each household's effect expressed as a fraction of its own consta</w:t>
      </w:r>
      <w:r w:rsidRPr="00DD392A">
        <w:rPr>
          <w:lang w:val="en-US"/>
        </w:rPr>
        <w:t>nt-predictor error, so that the practical threshold is the single line ±2 per cent. Window-only standard errors are what a study reporting one training run per configuration would implicitly use; full propagation adds the seed component. Sample sizes are f</w:t>
      </w:r>
      <w:r w:rsidRPr="00DD392A">
        <w:rPr>
          <w:lang w:val="en-US"/>
        </w:rPr>
        <w:t>or 80 per cent power at a two-sided level of 0.05, given as untrimmed / 10 per cent trimmed.</w:t>
      </w:r>
    </w:p>
    <w:tbl>
      <w:tblPr>
        <w:tblStyle w:val="a8"/>
        <w:tblW w:w="0" w:type="auto"/>
        <w:tblLook w:val="04A0" w:firstRow="1" w:lastRow="0" w:firstColumn="1" w:lastColumn="0" w:noHBand="0" w:noVBand="1"/>
      </w:tblPr>
      <w:tblGrid>
        <w:gridCol w:w="3115"/>
        <w:gridCol w:w="3115"/>
        <w:gridCol w:w="3115"/>
      </w:tblGrid>
      <w:tr w:rsidR="007F05BC" w14:paraId="37B1622D" w14:textId="77777777">
        <w:trPr>
          <w:tblHeader w:val="true"/>
        </w:trPr>
        <w:tc>
          <w:tcPr>
            <w:tcW w:w="3118" w:type="dxa"/>
          </w:tcPr>
          <w:p w14:paraId="013657D1" w14:textId="77777777" w:rsidR="007F05BC" w:rsidRDefault="00DD392A">
            <w:proofErr w:type="spellStart"/>
            <w:r>
              <w:rPr>
                <w:b/>
              </w:rPr>
              <w:t>Quantity</w:t>
            </w:r>
            <w:proofErr w:type="spellEnd"/>
          </w:p>
        </w:tc>
        <w:tc>
          <w:tcPr>
            <w:tcW w:w="3118" w:type="dxa"/>
          </w:tcPr>
          <w:p w14:paraId="1CD3AB6B" w14:textId="77777777" w:rsidR="007F05BC" w:rsidRDefault="00DD392A">
            <w:r>
              <w:rPr>
                <w:b/>
              </w:rPr>
              <w:t>Window-only SE</w:t>
            </w:r>
          </w:p>
        </w:tc>
        <w:tc>
          <w:tcPr>
            <w:tcW w:w="3118" w:type="dxa"/>
          </w:tcPr>
          <w:p w14:paraId="7F63EE14" w14:textId="77777777" w:rsidR="007F05BC" w:rsidRDefault="00DD392A">
            <w:r>
              <w:rPr>
                <w:b/>
              </w:rPr>
              <w:t>Full propagation</w:t>
            </w:r>
          </w:p>
        </w:tc>
      </w:tr>
      <w:tr w:rsidR="007F05BC" w14:paraId="40560440" w14:textId="77777777">
        <w:tc>
          <w:tcPr>
            <w:tcW w:w="3118" w:type="dxa"/>
          </w:tcPr>
          <w:p w14:paraId="2B101F9B" w14:textId="77777777" w:rsidR="007F05BC" w:rsidRDefault="00DD392A">
            <w:r>
              <w:t>Pooled effect</w:t>
            </w:r>
          </w:p>
        </w:tc>
        <w:tc>
          <w:tcPr>
            <w:tcW w:w="3118" w:type="dxa"/>
          </w:tcPr>
          <w:p w14:paraId="24994D2F" w14:textId="77777777" w:rsidR="007F05BC" w:rsidRDefault="00DD392A">
            <w:r>
              <w:t>−</w:t>
            </w:r>
            <w:r>
              <w:t>0.40 %</w:t>
            </w:r>
          </w:p>
        </w:tc>
        <w:tc>
          <w:tcPr>
            <w:tcW w:w="3118" w:type="dxa"/>
          </w:tcPr>
          <w:p w14:paraId="2832CFAE" w14:textId="77777777" w:rsidR="007F05BC" w:rsidRDefault="00DD392A">
            <w:r>
              <w:t>−</w:t>
            </w:r>
            <w:r>
              <w:t>0.26 %</w:t>
            </w:r>
          </w:p>
        </w:tc>
      </w:tr>
      <w:tr w:rsidR="007F05BC" w14:paraId="72919669" w14:textId="77777777">
        <w:tc>
          <w:tcPr>
            <w:tcW w:w="3118" w:type="dxa"/>
          </w:tcPr>
          <w:p w14:paraId="3EEDF460" w14:textId="77777777" w:rsidR="007F05BC" w:rsidRDefault="00DD392A">
            <w:r>
              <w:t>p</w:t>
            </w:r>
          </w:p>
        </w:tc>
        <w:tc>
          <w:tcPr>
            <w:tcW w:w="3118" w:type="dxa"/>
          </w:tcPr>
          <w:p w14:paraId="49C4DAA5" w14:textId="77777777" w:rsidR="007F05BC" w:rsidRDefault="00DD392A">
            <w:r>
              <w:t>0.036</w:t>
            </w:r>
          </w:p>
        </w:tc>
        <w:tc>
          <w:tcPr>
            <w:tcW w:w="3118" w:type="dxa"/>
          </w:tcPr>
          <w:p w14:paraId="2004C8A1" w14:textId="77777777" w:rsidR="007F05BC" w:rsidRDefault="00DD392A">
            <w:r>
              <w:t>0.085</w:t>
            </w:r>
          </w:p>
        </w:tc>
      </w:tr>
      <w:tr w:rsidR="007F05BC" w14:paraId="666A477F" w14:textId="77777777">
        <w:tc>
          <w:tcPr>
            <w:tcW w:w="3118" w:type="dxa"/>
          </w:tcPr>
          <w:p w14:paraId="564436C0" w14:textId="77777777" w:rsidR="007F05BC" w:rsidRDefault="00DD392A">
            <w:r>
              <w:t>τ</w:t>
            </w:r>
          </w:p>
        </w:tc>
        <w:tc>
          <w:tcPr>
            <w:tcW w:w="3118" w:type="dxa"/>
          </w:tcPr>
          <w:p w14:paraId="11F5404A" w14:textId="77777777" w:rsidR="007F05BC" w:rsidRDefault="00DD392A">
            <w:r>
              <w:t>0.66 %</w:t>
            </w:r>
          </w:p>
        </w:tc>
        <w:tc>
          <w:tcPr>
            <w:tcW w:w="3118" w:type="dxa"/>
          </w:tcPr>
          <w:p w14:paraId="08B016E0" w14:textId="77777777" w:rsidR="007F05BC" w:rsidRDefault="00DD392A">
            <w:r>
              <w:t>0.30 %</w:t>
            </w:r>
          </w:p>
        </w:tc>
      </w:tr>
      <w:tr w:rsidR="007F05BC" w14:paraId="512EC18D" w14:textId="77777777">
        <w:tc>
          <w:tcPr>
            <w:tcW w:w="3118" w:type="dxa"/>
          </w:tcPr>
          <w:p w14:paraId="1645AEDA" w14:textId="77777777" w:rsidR="007F05BC" w:rsidRDefault="00DD392A">
            <w:r>
              <w:t>I²; Q(16)</w:t>
            </w:r>
          </w:p>
        </w:tc>
        <w:tc>
          <w:tcPr>
            <w:tcW w:w="3118" w:type="dxa"/>
          </w:tcPr>
          <w:p w14:paraId="0A51A143" w14:textId="77777777" w:rsidR="007F05BC" w:rsidRDefault="00DD392A">
            <w:r>
              <w:t>86.7 %; 120.6</w:t>
            </w:r>
          </w:p>
        </w:tc>
        <w:tc>
          <w:tcPr>
            <w:tcW w:w="3118" w:type="dxa"/>
          </w:tcPr>
          <w:p w14:paraId="78A4466D" w14:textId="77777777" w:rsidR="007F05BC" w:rsidRDefault="00DD392A">
            <w:r>
              <w:t>30.4 %; 23.0</w:t>
            </w:r>
          </w:p>
        </w:tc>
      </w:tr>
      <w:tr w:rsidR="007F05BC" w14:paraId="0CDCB733" w14:textId="77777777">
        <w:tc>
          <w:tcPr>
            <w:tcW w:w="3118" w:type="dxa"/>
          </w:tcPr>
          <w:p w14:paraId="09C4251A" w14:textId="77777777" w:rsidR="007F05BC" w:rsidRDefault="00DD392A">
            <w:r>
              <w:t xml:space="preserve">Prediction </w:t>
            </w:r>
            <w:r>
              <w:t>interval</w:t>
            </w:r>
          </w:p>
        </w:tc>
        <w:tc>
          <w:tcPr>
            <w:tcW w:w="3118" w:type="dxa"/>
          </w:tcPr>
          <w:p w14:paraId="44D018FB" w14:textId="77777777" w:rsidR="007F05BC" w:rsidRDefault="00DD392A">
            <w:r>
              <w:t>[−1.85, +1.06] %</w:t>
            </w:r>
          </w:p>
        </w:tc>
        <w:tc>
          <w:tcPr>
            <w:tcW w:w="3118" w:type="dxa"/>
          </w:tcPr>
          <w:p w14:paraId="7E5B3A69" w14:textId="77777777" w:rsidR="007F05BC" w:rsidRDefault="00DD392A">
            <w:r>
              <w:t>[−0.98, +0.46] %</w:t>
            </w:r>
          </w:p>
        </w:tc>
      </w:tr>
      <w:tr w:rsidR="007F05BC" w14:paraId="4DB33FBE" w14:textId="77777777">
        <w:tc>
          <w:tcPr>
            <w:tcW w:w="3118" w:type="dxa"/>
          </w:tcPr>
          <w:p w14:paraId="0A6CC61E" w14:textId="77777777" w:rsidR="007F05BC" w:rsidRDefault="00DD392A">
            <w:r>
              <w:t>Households significant individually</w:t>
            </w:r>
          </w:p>
        </w:tc>
        <w:tc>
          <w:tcPr>
            <w:tcW w:w="3118" w:type="dxa"/>
          </w:tcPr>
          <w:p w14:paraId="09F93548" w14:textId="77777777" w:rsidR="007F05BC" w:rsidRDefault="00DD392A">
            <w:r>
              <w:t>7 of 17</w:t>
            </w:r>
          </w:p>
        </w:tc>
        <w:tc>
          <w:tcPr>
            <w:tcW w:w="3118" w:type="dxa"/>
          </w:tcPr>
          <w:p w14:paraId="387DD077" w14:textId="77777777" w:rsidR="007F05BC" w:rsidRDefault="00DD392A">
            <w:r>
              <w:t>2 of 17</w:t>
            </w:r>
          </w:p>
        </w:tc>
      </w:tr>
      <w:tr w:rsidR="007F05BC" w14:paraId="04F85C89" w14:textId="77777777">
        <w:tc>
          <w:tcPr>
            <w:tcW w:w="3118" w:type="dxa"/>
          </w:tcPr>
          <w:p w14:paraId="70A1460B" w14:textId="77777777" w:rsidR="007F05BC" w:rsidRDefault="00DD392A">
            <w:r>
              <w:t>Households required at 1 %</w:t>
            </w:r>
          </w:p>
        </w:tc>
        <w:tc>
          <w:tcPr>
            <w:tcW w:w="3118" w:type="dxa"/>
          </w:tcPr>
          <w:p w14:paraId="76091505" w14:textId="77777777" w:rsidR="007F05BC" w:rsidRDefault="00DD392A">
            <w:r>
              <w:t>8 / 6</w:t>
            </w:r>
          </w:p>
        </w:tc>
        <w:tc>
          <w:tcPr>
            <w:tcW w:w="3118" w:type="dxa"/>
          </w:tcPr>
          <w:p w14:paraId="557858ED" w14:textId="77777777" w:rsidR="007F05BC" w:rsidRDefault="00DD392A">
            <w:r>
              <w:t>41 / 11</w:t>
            </w:r>
          </w:p>
        </w:tc>
      </w:tr>
      <w:tr w:rsidR="007F05BC" w14:paraId="16F0101C" w14:textId="77777777">
        <w:tc>
          <w:tcPr>
            <w:tcW w:w="3118" w:type="dxa"/>
          </w:tcPr>
          <w:p w14:paraId="47029E7B" w14:textId="77777777" w:rsidR="007F05BC" w:rsidRDefault="00DD392A">
            <w:r>
              <w:t>Households required at 2 %</w:t>
            </w:r>
          </w:p>
        </w:tc>
        <w:tc>
          <w:tcPr>
            <w:tcW w:w="3118" w:type="dxa"/>
          </w:tcPr>
          <w:p w14:paraId="4A869CB0" w14:textId="77777777" w:rsidR="007F05BC" w:rsidRDefault="00DD392A">
            <w:r>
              <w:t>2 / 2</w:t>
            </w:r>
          </w:p>
        </w:tc>
        <w:tc>
          <w:tcPr>
            <w:tcW w:w="3118" w:type="dxa"/>
          </w:tcPr>
          <w:p w14:paraId="2935FB22" w14:textId="77777777" w:rsidR="007F05BC" w:rsidRDefault="00DD392A">
            <w:r>
              <w:t>11 / 3</w:t>
            </w:r>
          </w:p>
        </w:tc>
      </w:tr>
    </w:tbl>
    <w:p w14:paraId="12A6C3F6" w14:textId="77777777" w:rsidR="00147E50" w:rsidRPr="00F22774" w:rsidRDefault="00C96B8A" w:rsidP="00147E50">
      <w:pPr>
        <w:jc w:val="both"/>
        <w:rPr>
          <w:lang w:val="en-US"/>
        </w:rPr>
      </w:pPr>
      <w:r>
        <w:rPr>
          <w:rFonts w:ascii="Times New Roman" w:eastAsia="Times New Roman" w:hAnsi="Times New Roman" w:cs="Times New Roman"/>
          <w:lang w:val="en-US"/>
        </w:rPr>
        <w:t>The conclusion is therefore stronger than a failure to reject a null. It is not that the effect of the identity mechanism is unknown; it is that the effect has been located, and lies close enough to zero that a practically meaningful average improvement can be excluded under the conditions evaluated. The fixed-effect and random-effects estimates differ by 0.03 W, and the heterogeneity statistic gives no evidence of variation between households at conventional levels (</w:t>
      </w:r>
      <w:proofErr w:type="gramStart"/>
      <w:r>
        <w:rPr>
          <w:rFonts w:ascii="Times New Roman" w:eastAsia="Times New Roman" w:hAnsi="Times New Roman" w:cs="Times New Roman"/>
          <w:lang w:val="en-US"/>
        </w:rPr>
        <w:t>Q(</w:t>
      </w:r>
      <w:proofErr w:type="gramEnd"/>
      <w:r>
        <w:rPr>
          <w:rFonts w:ascii="Times New Roman" w:eastAsia="Times New Roman" w:hAnsi="Times New Roman" w:cs="Times New Roman"/>
          <w:lang w:val="en-US"/>
        </w:rPr>
        <w:t>16) = 21.9, p = 0.147). The mechanism behind this collapse was identified in Section 5.2: the gate suppresses seed-driven variation at the fused output (seed standard deviation falls from branch to fused forecast in 14 of 17 households, median ratio 0.50), so the residual dispersion attributed to households is small.</w:t>
      </w:r>
    </w:p>
    <w:p w14:paraId="22B87A47" w14:textId="77777777" w:rsidR="00147E50" w:rsidRPr="00F22774" w:rsidRDefault="00C96B8A" w:rsidP="00147E50">
      <w:pPr>
        <w:jc w:val="both"/>
        <w:rPr>
          <w:lang w:val="en-US"/>
        </w:rPr>
      </w:pPr>
      <w:r>
        <w:rPr>
          <w:rFonts w:ascii="Times New Roman" w:eastAsia="Times New Roman" w:hAnsi="Times New Roman" w:cs="Times New Roman"/>
          <w:lang w:val="en-US"/>
        </w:rPr>
        <w:t>The collapse is specific to this combination and must not be generalized. In the other three combinations in Table 6 the heterogeneity survives full variance propagation: τ remains between 0.83 and 1.68 W and I² between 55.0 and 62.4 per cent, with Cochran's Q significant in all three cases. Genuine between-household variation therefore exists in the branch output and in the misaligned configuration; it is the fused forecast of the coherent configuration in which it disappears.</w:t>
      </w:r>
    </w:p>
    <w:bookmarkEnd w:id="3"/>
    <w:p w14:paraId="1A37BB54" w14:textId="77777777" w:rsidR="00147E50" w:rsidRPr="00F22774" w:rsidRDefault="005A00E2" w:rsidP="00147E50">
      <w:pPr>
        <w:pStyle w:val="3"/>
        <w:ind w:firstLine="426"/>
        <w:rPr>
          <w:lang w:val="en-US"/>
        </w:rPr>
      </w:pPr>
      <w:r>
        <w:rPr>
          <w:lang w:val="en-US"/>
        </w:rPr>
        <w:t xml:space="preserve">5.4.3. Why the original finding </w:t>
      </w:r>
      <w:proofErr w:type="gramStart"/>
      <w:r>
        <w:rPr>
          <w:lang w:val="en-US"/>
        </w:rPr>
        <w:t>appeared</w:t>
      </w:r>
      <w:proofErr w:type="gramEnd"/>
    </w:p>
    <w:p w14:paraId="671A4E92" w14:textId="77777777" w:rsidR="00147E50" w:rsidRPr="00F22774" w:rsidRDefault="00147E50" w:rsidP="00844329">
      <w:pPr>
        <w:spacing w:after="0"/>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The hypothesis under test was formulated on five households of a single dataset (see Fig. 6 for required sample sizes under proper variance propagation), where the comparison favoured the configuration containing the identity mechanism at p = 0.032. That study was never published, and the figures quoted here are taken from its final report; its preprocessing code was not the code used here and its trained artefacts were built on a different chronological split, so the comparison available to us is with its design and its reported statistic rather than with its intermediate outputs. Nothing in the present analysis suggests that this </w:t>
      </w:r>
      <w:r>
        <w:rPr>
          <w:rFonts w:ascii="Times New Roman" w:eastAsia="Times New Roman" w:hAnsi="Times New Roman" w:cs="Times New Roman"/>
          <w:lang w:val="en-US"/>
        </w:rPr>
        <w:lastRenderedPageBreak/>
        <w:t>figure was computed incorrectly. It is, rather, what a study of that size will produce with some regularity when the effect is null and the uncertainty is understated.</w:t>
      </w:r>
    </w:p>
    <w:p w14:paraId="774514B2" w14:textId="77777777" w:rsidR="00700C41" w:rsidRPr="00F22774" w:rsidRDefault="00700C41" w:rsidP="00844329">
      <w:pPr>
        <w:spacing w:after="0"/>
        <w:jc w:val="center"/>
        <w:rPr>
          <w:rFonts w:ascii="Times New Roman" w:eastAsia="Times New Roman" w:hAnsi="Times New Roman" w:cs="Times New Roman"/>
          <w:lang w:val="en-US"/>
        </w:rPr>
      </w:pPr>
      <w:r>
        <w:rPr>
          <w:rFonts w:ascii="Times New Roman" w:eastAsia="Times New Roman" w:hAnsi="Times New Roman" w:cs="Times New Roman"/>
          <w:noProof/>
          <w:lang w:val="en-US"/>
        </w:rPr>
        <w:drawing>
          <wp:inline distT="0" distB="0" distL="0" distR="0" wp14:anchorId="42938F0E" wp14:editId="31E3E447">
            <wp:extent cx="4590297" cy="3060198"/>
            <wp:effectExtent l="0" t="0" r="1270" b="0"/>
            <wp:docPr id="1" name="Рисунок 1" descr="Required number of households versus detectable effect size under alternative uncertainty assumptions." title="Required number of households versus detectable effect size under alternative uncertainty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0297" cy="3060198"/>
                    </a:xfrm>
                    <a:prstGeom prst="rect">
                      <a:avLst/>
                    </a:prstGeom>
                  </pic:spPr>
                </pic:pic>
              </a:graphicData>
            </a:graphic>
          </wp:inline>
        </w:drawing>
      </w:r>
    </w:p>
    <w:p w14:paraId="3037F2D1" w14:textId="77777777" w:rsidR="00D85B70" w:rsidRPr="00F22774" w:rsidRDefault="00D85B70" w:rsidP="00844329">
      <w:pPr>
        <w:spacing w:after="0"/>
        <w:jc w:val="both"/>
        <w:rPr>
          <w:rFonts w:ascii="Times New Roman" w:hAnsi="Times New Roman" w:cs="Times New Roman"/>
          <w:lang w:val="en-US"/>
        </w:rPr>
      </w:pPr>
      <w:r>
        <w:rPr>
          <w:rFonts w:ascii="Times New Roman" w:hAnsi="Times New Roman" w:cs="Times New Roman"/>
          <w:lang w:val="en-US"/>
        </w:rPr>
        <w:t>Fig. 6. Households required to detect a given mean effect at 80 per cent power and a two-sided level of 0.05, computed from the variance components estimated here. The upper curve propagates both the evaluation and the training component; the lower curve propagates the evaluation component alone, as a study reporting a single training run per configuration would implicitly do. The star marks the design of the study that originated the hypothesis: five households, at an effect size of 2 W. The axes are in watts, matching the scale of the earlier study; the normalised counterparts are in Table 6a. Dashed curves repeat both calculations without the single household whose degenerate test targets supply 79 per cent of the mean within-household variance, which bounds how far the individual figures should be trusted. The vertical axis is logarithmic.</w:t>
      </w:r>
    </w:p>
    <w:p w14:paraId="6D6B0308" w14:textId="77777777" w:rsidR="00147E50" w:rsidRPr="00F22774" w:rsidRDefault="00147E50" w:rsidP="004B04DF">
      <w:pPr>
        <w:spacing w:before="160"/>
        <w:jc w:val="both"/>
        <w:rPr>
          <w:lang w:val="en-US"/>
        </w:rPr>
      </w:pPr>
      <w:r>
        <w:rPr>
          <w:rFonts w:ascii="Times New Roman" w:eastAsia="Times New Roman" w:hAnsi="Times New Roman" w:cs="Times New Roman"/>
          <w:lang w:val="en-US"/>
        </w:rPr>
        <w:t>Two mechanisms compound. First, the standard error used at the time was estimated by resampling test observations alone and therefore captured about a fifth of the variance, as quantified in the preceding section. Second, five households provide no useful power against an effect of this size: with full variance propagation, detecting a mean effect of one per cent of household error at 80 per cent power requires 41 households on the untrimmed estimate and 11 on the trimmed one. A study with five is not underpowered by a modest margin, and its significant results are dominated by whichever direction the sampling happened to take.</w:t>
      </w:r>
    </w:p>
    <w:p w14:paraId="3D603235" w14:textId="77777777" w:rsidR="00147E50" w:rsidRPr="00F22774" w:rsidRDefault="00147E50" w:rsidP="00147E50">
      <w:pPr>
        <w:jc w:val="both"/>
        <w:rPr>
          <w:lang w:val="en-US"/>
        </w:rPr>
      </w:pPr>
      <w:r>
        <w:rPr>
          <w:rFonts w:ascii="Times New Roman" w:eastAsia="Times New Roman" w:hAnsi="Times New Roman" w:cs="Times New Roman"/>
          <w:b/>
          <w:bCs/>
          <w:lang w:val="en-US"/>
        </w:rPr>
        <w:t xml:space="preserve">This is not a criticism specific to the earlier work. </w:t>
      </w:r>
      <w:r>
        <w:rPr>
          <w:rFonts w:ascii="Times New Roman" w:eastAsia="Times New Roman" w:hAnsi="Times New Roman" w:cs="Times New Roman"/>
          <w:lang w:val="en-US"/>
        </w:rPr>
        <w:t xml:space="preserve">Five households </w:t>
      </w:r>
      <w:proofErr w:type="gramStart"/>
      <w:r>
        <w:rPr>
          <w:rFonts w:ascii="Times New Roman" w:eastAsia="Times New Roman" w:hAnsi="Times New Roman" w:cs="Times New Roman"/>
          <w:lang w:val="en-US"/>
        </w:rPr>
        <w:t>is</w:t>
      </w:r>
      <w:proofErr w:type="gramEnd"/>
      <w:r>
        <w:rPr>
          <w:rFonts w:ascii="Times New Roman" w:eastAsia="Times New Roman" w:hAnsi="Times New Roman" w:cs="Times New Roman"/>
          <w:lang w:val="en-US"/>
        </w:rPr>
        <w:t xml:space="preserve"> at the generous end of what is reported in the applied forecasting literature for cross-household architectural claims, and the practice of estimating uncertainty by resampling the evaluation set is close to universal. The point of reconstructing the original finding is not that it was carelessly obtained but that it was obtained by the standard procedure, and that the standard procedure produced it in the absence of any effect.</w:t>
      </w:r>
    </w:p>
    <w:p w14:paraId="2E72EF1A" w14:textId="77777777" w:rsidR="00147E50" w:rsidRPr="00F22774" w:rsidRDefault="005A00E2" w:rsidP="00147E50">
      <w:pPr>
        <w:pStyle w:val="3"/>
        <w:ind w:firstLine="426"/>
        <w:rPr>
          <w:lang w:val="en-US"/>
        </w:rPr>
      </w:pPr>
      <w:r>
        <w:rPr>
          <w:lang w:val="en-US"/>
        </w:rPr>
        <w:t>5.4.4. Robustness</w:t>
      </w:r>
    </w:p>
    <w:p w14:paraId="0A4B75BE" w14:textId="77777777" w:rsidR="00147E50" w:rsidRPr="00F22774" w:rsidRDefault="00147E50" w:rsidP="00147E50">
      <w:pPr>
        <w:jc w:val="both"/>
        <w:rPr>
          <w:lang w:val="en-US"/>
        </w:rPr>
      </w:pPr>
      <w:r>
        <w:rPr>
          <w:rFonts w:ascii="Times New Roman" w:eastAsia="Times New Roman" w:hAnsi="Times New Roman" w:cs="Times New Roman"/>
          <w:lang w:val="en-US"/>
        </w:rPr>
        <w:t xml:space="preserve">The three households flagged in the data audit (Section 4.2.1) are retained in the analysis above. Removing them one at a time moves the pooled estimate on the normalised scale between −0.15 and −0.35 per cent, never changing its sign, and moves I² between 4.5 and 34.8 per cent, never to significance. In watts, removing the most affected household leaves the pooled estimate at −0.29 W with τ rising from 0.35 to 0.38, and removing all three gives −0.28 W with τ = 0.40. The summary effect is therefore insensitive to the flagged households while the interval widens slightly as the sample shrinks, and in every </w:t>
      </w:r>
      <w:proofErr w:type="gramStart"/>
      <w:r>
        <w:rPr>
          <w:rFonts w:ascii="Times New Roman" w:eastAsia="Times New Roman" w:hAnsi="Times New Roman" w:cs="Times New Roman"/>
          <w:lang w:val="en-US"/>
        </w:rPr>
        <w:t>case</w:t>
      </w:r>
      <w:proofErr w:type="gramEnd"/>
      <w:r>
        <w:rPr>
          <w:rFonts w:ascii="Times New Roman" w:eastAsia="Times New Roman" w:hAnsi="Times New Roman" w:cs="Times New Roman"/>
          <w:lang w:val="en-US"/>
        </w:rPr>
        <w:t xml:space="preserve"> it remains inside the band of practical irrelevance. The one quantity that is not insensitive is the sample-size calculation, for the reason given in Section 5.2.4.</w:t>
      </w:r>
    </w:p>
    <w:p w14:paraId="0BF09D78" w14:textId="77777777" w:rsidR="00147E50" w:rsidRPr="00F22774" w:rsidRDefault="00147E50" w:rsidP="00147E50">
      <w:pPr>
        <w:jc w:val="both"/>
        <w:rPr>
          <w:lang w:val="en-US"/>
        </w:rPr>
      </w:pPr>
      <w:r>
        <w:rPr>
          <w:rFonts w:ascii="Times New Roman" w:eastAsia="Times New Roman" w:hAnsi="Times New Roman" w:cs="Times New Roman"/>
          <w:lang w:val="en-US"/>
        </w:rPr>
        <w:lastRenderedPageBreak/>
        <w:t>Individually, 2 of the 17 households show an effect distinguishable from zero after full variance propagation, against 7 under window-only standard errors. Neither of the two exceeds the practical threshold once expressed relative to its own error.</w:t>
      </w:r>
    </w:p>
    <w:p w14:paraId="28D5B4D9" w14:textId="77777777" w:rsidR="00147E50" w:rsidRPr="00F22774" w:rsidRDefault="005A00E2" w:rsidP="00147E50">
      <w:pPr>
        <w:pStyle w:val="3"/>
        <w:ind w:firstLine="426"/>
        <w:rPr>
          <w:lang w:val="en-US"/>
        </w:rPr>
      </w:pPr>
      <w:r>
        <w:rPr>
          <w:lang w:val="en-US"/>
        </w:rPr>
        <w:t>5.4.5. What the analysis supports</w:t>
      </w:r>
    </w:p>
    <w:p w14:paraId="2987C1C6" w14:textId="77777777" w:rsidR="00147E50" w:rsidRPr="00F22774" w:rsidRDefault="00147E50" w:rsidP="00147E50">
      <w:pPr>
        <w:jc w:val="both"/>
        <w:rPr>
          <w:lang w:val="en-US"/>
        </w:rPr>
      </w:pPr>
      <w:r>
        <w:rPr>
          <w:rFonts w:ascii="Times New Roman" w:eastAsia="Times New Roman" w:hAnsi="Times New Roman" w:cs="Times New Roman"/>
          <w:lang w:val="en-US"/>
        </w:rPr>
        <w:t>Three statements are supported by the pooling, in decreasing order of strength. The identity mechanism has no practically meaningful average effect on forecast accuracy under the conditions evaluated, and the prediction interval is narrow enough to say so rather than merely to fail to detect one. The apparent variation of the effect between households, which motivated the cross-dataset framing of the original study, is largely an artefact of attributing training variance to the wrong level of the hierarchy. And the number of households required to establish an architectural effect of the size typically claimed in this literature is one to two orders of magnitude larger than what is customarily used.</w:t>
      </w:r>
    </w:p>
    <w:p w14:paraId="582193B5" w14:textId="77777777" w:rsidR="007F05BC" w:rsidRPr="00DD392A" w:rsidRDefault="00DD392A">
      <w:pPr>
        <w:pStyle w:val="2"/>
        <w:rPr>
          <w:lang w:val="en-US"/>
        </w:rPr>
      </w:pPr>
      <w:r w:rsidRPr="00DD392A">
        <w:rPr>
          <w:lang w:val="en-US"/>
        </w:rPr>
        <w:t>Result 5: a preregistered replication on a second domain</w:t>
      </w:r>
    </w:p>
    <w:p w14:paraId="1B2C6B3C" w14:textId="77777777" w:rsidR="007F05BC" w:rsidRPr="00DD392A" w:rsidRDefault="00DD392A">
      <w:pPr>
        <w:pStyle w:val="3"/>
        <w:rPr>
          <w:lang w:val="en-US"/>
        </w:rPr>
      </w:pPr>
      <w:r w:rsidRPr="00DD392A">
        <w:rPr>
          <w:lang w:val="en-US"/>
        </w:rPr>
        <w:t>5.5.1. Design and registration</w:t>
      </w:r>
    </w:p>
    <w:p w14:paraId="121AA688"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Everything reported so far was obtained on residential load. The dominance of training randomness over between-un</w:t>
      </w:r>
      <w:r w:rsidRPr="00DD392A">
        <w:rPr>
          <w:rFonts w:ascii="Times New Roman" w:hAnsi="Times New Roman" w:cs="Times New Roman"/>
          <w:lang w:val="en-US"/>
        </w:rPr>
        <w:t xml:space="preserve">it variation could therefore be a property of household consumption, which is highly stochastic and driven by occupant </w:t>
      </w:r>
      <w:proofErr w:type="spellStart"/>
      <w:r w:rsidRPr="00DD392A">
        <w:rPr>
          <w:rFonts w:ascii="Times New Roman" w:hAnsi="Times New Roman" w:cs="Times New Roman"/>
          <w:lang w:val="en-US"/>
        </w:rPr>
        <w:t>behaviour</w:t>
      </w:r>
      <w:proofErr w:type="spellEnd"/>
      <w:r w:rsidRPr="00DD392A">
        <w:rPr>
          <w:rFonts w:ascii="Times New Roman" w:hAnsi="Times New Roman" w:cs="Times New Roman"/>
          <w:lang w:val="en-US"/>
        </w:rPr>
        <w:t>, rather than of the evaluation procedure. It could equally be an artefact of analyses that were, as Section 4.5.1 records, chos</w:t>
      </w:r>
      <w:r w:rsidRPr="00DD392A">
        <w:rPr>
          <w:rFonts w:ascii="Times New Roman" w:hAnsi="Times New Roman" w:cs="Times New Roman"/>
          <w:lang w:val="en-US"/>
        </w:rPr>
        <w:t>en after preliminary results. This section addresses both objections with a single experiment: the central quantity is measured again on a different class of consumer under a design fixed in writing before the first training run.</w:t>
      </w:r>
    </w:p>
    <w:p w14:paraId="237358B2"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The second domain is ECL, </w:t>
      </w:r>
      <w:r w:rsidRPr="00DD392A">
        <w:rPr>
          <w:rFonts w:ascii="Times New Roman" w:hAnsi="Times New Roman" w:cs="Times New Roman"/>
          <w:lang w:val="en-US"/>
        </w:rPr>
        <w:t>321 hourly series of predominantly commercial and industrial consumption, aggregated to hourly resolution from the original quarter-hourly records by a third party. The client plays the role of the household. Consumption profiles of such consumers are mark</w:t>
      </w:r>
      <w:r w:rsidRPr="00DD392A">
        <w:rPr>
          <w:rFonts w:ascii="Times New Roman" w:hAnsi="Times New Roman" w:cs="Times New Roman"/>
          <w:lang w:val="en-US"/>
        </w:rPr>
        <w:t>edly more regular than residential ones, so agreement between the domains would be agreement in spite of their difference rather than because of their similarity.</w:t>
      </w:r>
    </w:p>
    <w:p w14:paraId="1B1E5B5D"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A registration document fixed the eligibility rule, the number of units, the </w:t>
      </w:r>
      <w:proofErr w:type="spellStart"/>
      <w:r w:rsidRPr="00DD392A">
        <w:rPr>
          <w:rFonts w:ascii="Times New Roman" w:hAnsi="Times New Roman" w:cs="Times New Roman"/>
          <w:lang w:val="en-US"/>
        </w:rPr>
        <w:t>estimand</w:t>
      </w:r>
      <w:proofErr w:type="spellEnd"/>
      <w:r w:rsidRPr="00DD392A">
        <w:rPr>
          <w:rFonts w:ascii="Times New Roman" w:hAnsi="Times New Roman" w:cs="Times New Roman"/>
          <w:lang w:val="en-US"/>
        </w:rPr>
        <w:t>, the an</w:t>
      </w:r>
      <w:r w:rsidRPr="00DD392A">
        <w:rPr>
          <w:rFonts w:ascii="Times New Roman" w:hAnsi="Times New Roman" w:cs="Times New Roman"/>
          <w:lang w:val="en-US"/>
        </w:rPr>
        <w:t>alysis and the success criteria, and a deviation log records every change made afterwards; both are included in the repository. A client was eligible if fewer than one per cent of its training hours were zero, its longest run of identical consecutive readi</w:t>
      </w:r>
      <w:r w:rsidRPr="00DD392A">
        <w:rPr>
          <w:rFonts w:ascii="Times New Roman" w:hAnsi="Times New Roman" w:cs="Times New Roman"/>
          <w:lang w:val="en-US"/>
        </w:rPr>
        <w:t>ngs was at most 48 hours, its test segment had non-zero variance and contained at least 120 disjoint windows. From the eligible pool, 17 clients were drawn at random with a fixed seed - the same number as the households, so that medians are directly compar</w:t>
      </w:r>
      <w:r w:rsidRPr="00DD392A">
        <w:rPr>
          <w:rFonts w:ascii="Times New Roman" w:hAnsi="Times New Roman" w:cs="Times New Roman"/>
          <w:lang w:val="en-US"/>
        </w:rPr>
        <w:t>able. Preprocessing used the same code as the main experiment, and the hyperparameters were frozen at their household values and not tuned on ECL.</w:t>
      </w:r>
    </w:p>
    <w:p w14:paraId="76A3C930"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Two design decisions require statement. First, the seed share depends on the number of evaluation windows, si</w:t>
      </w:r>
      <w:r w:rsidRPr="00DD392A">
        <w:rPr>
          <w:rFonts w:ascii="Times New Roman" w:hAnsi="Times New Roman" w:cs="Times New Roman"/>
          <w:lang w:val="en-US"/>
        </w:rPr>
        <w:t>nce the window component of the variance of the mean is divided by that number and the seed component only by the number of seeds; ECL affords 157 windows per client against 78 to 171 for the households, so the test segment was truncated to a fixed 120 win</w:t>
      </w:r>
      <w:r w:rsidRPr="00DD392A">
        <w:rPr>
          <w:rFonts w:ascii="Times New Roman" w:hAnsi="Times New Roman" w:cs="Times New Roman"/>
          <w:lang w:val="en-US"/>
        </w:rPr>
        <w:t>dows for the primary analysis, with the full segment retained as a sensitivity check. Second, mean consumption across the sampled clients spans three orders of magnitude, so all per-window errors were divided by the persistence error of the same client bef</w:t>
      </w:r>
      <w:r w:rsidRPr="00DD392A">
        <w:rPr>
          <w:rFonts w:ascii="Times New Roman" w:hAnsi="Times New Roman" w:cs="Times New Roman"/>
          <w:lang w:val="en-US"/>
        </w:rPr>
        <w:t>ore analysis; in absolute units the inverse-variance weighting of the pooling would have been determined by two clients out of seventeen. The share and the ratio are dimensionless and are unaffected.</w:t>
      </w:r>
    </w:p>
    <w:p w14:paraId="046A1E71"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The </w:t>
      </w:r>
      <w:proofErr w:type="spellStart"/>
      <w:r w:rsidRPr="00DD392A">
        <w:rPr>
          <w:rFonts w:ascii="Times New Roman" w:hAnsi="Times New Roman" w:cs="Times New Roman"/>
          <w:lang w:val="en-US"/>
        </w:rPr>
        <w:t>estimand</w:t>
      </w:r>
      <w:proofErr w:type="spellEnd"/>
      <w:r w:rsidRPr="00DD392A">
        <w:rPr>
          <w:rFonts w:ascii="Times New Roman" w:hAnsi="Times New Roman" w:cs="Times New Roman"/>
          <w:lang w:val="en-US"/>
        </w:rPr>
        <w:t xml:space="preserve"> is the one used throughout the paper: the e</w:t>
      </w:r>
      <w:r w:rsidRPr="00DD392A">
        <w:rPr>
          <w:rFonts w:ascii="Times New Roman" w:hAnsi="Times New Roman" w:cs="Times New Roman"/>
          <w:lang w:val="en-US"/>
        </w:rPr>
        <w:t>ffect of the mode-identity embeddings within the coherent configuration. Three configurations were trained for each client at five seeds each - the coherent cell with and without the embeddings, which form the pair, and the incoherent cell with them, which</w:t>
      </w:r>
      <w:r w:rsidRPr="00DD392A">
        <w:rPr>
          <w:rFonts w:ascii="Times New Roman" w:hAnsi="Times New Roman" w:cs="Times New Roman"/>
          <w:lang w:val="en-US"/>
        </w:rPr>
        <w:t xml:space="preserve"> supports the masking comparison - for 255 runs in total.</w:t>
      </w:r>
    </w:p>
    <w:p w14:paraId="761E8D05" w14:textId="77777777" w:rsidR="007F05BC" w:rsidRPr="00DD392A" w:rsidRDefault="00DD392A">
      <w:pPr>
        <w:pStyle w:val="3"/>
        <w:rPr>
          <w:lang w:val="en-US"/>
        </w:rPr>
      </w:pPr>
      <w:r w:rsidRPr="00DD392A">
        <w:rPr>
          <w:lang w:val="en-US"/>
        </w:rPr>
        <w:t>5.5.2. What replicated</w:t>
      </w:r>
    </w:p>
    <w:p w14:paraId="0D14ECF5"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The central figure reproduces exactly. The median share of the variance of the mean effect attributable to training randomness is 83 per cent on the fused output, the same val</w:t>
      </w:r>
      <w:r w:rsidRPr="00DD392A">
        <w:rPr>
          <w:rFonts w:ascii="Times New Roman" w:hAnsi="Times New Roman" w:cs="Times New Roman"/>
          <w:lang w:val="en-US"/>
        </w:rPr>
        <w:t xml:space="preserve">ue as on the 17 households, and the number of units whose exact interval excludes a minority contribution is likewise identical at 10 of 17; the </w:t>
      </w:r>
      <w:r w:rsidRPr="00DD392A">
        <w:rPr>
          <w:rFonts w:ascii="Times New Roman" w:hAnsi="Times New Roman" w:cs="Times New Roman"/>
          <w:lang w:val="en-US"/>
        </w:rPr>
        <w:lastRenderedPageBreak/>
        <w:t>median lower limit is in fact higher, 57 against 51 per cent. The share exceeds one half on 14 clients and four</w:t>
      </w:r>
      <w:r w:rsidRPr="00DD392A">
        <w:rPr>
          <w:rFonts w:ascii="Times New Roman" w:hAnsi="Times New Roman" w:cs="Times New Roman"/>
          <w:lang w:val="en-US"/>
        </w:rPr>
        <w:t xml:space="preserve"> fifths on nine. Pooling reproduces the same picture: a summary effect indistinguishable from zero, low and non-significant heterogeneity, and a between-unit standard deviation several times the effect it is meant to qualify. Table 8 places the two domains</w:t>
      </w:r>
      <w:r w:rsidRPr="00DD392A">
        <w:rPr>
          <w:rFonts w:ascii="Times New Roman" w:hAnsi="Times New Roman" w:cs="Times New Roman"/>
          <w:lang w:val="en-US"/>
        </w:rPr>
        <w:t xml:space="preserve"> side by side.</w:t>
      </w:r>
    </w:p>
    <w:p w14:paraId="76D33B75"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Table 8. Replication of the variance result on a second domain. Household figures are the 17-household analysis of Sections 5.2 and 5.4; ECL figures are the preregistered replication of this section at the registered evaluation design (W = 1</w:t>
      </w:r>
      <w:r w:rsidRPr="00DD392A">
        <w:rPr>
          <w:rFonts w:ascii="Times New Roman" w:hAnsi="Times New Roman" w:cs="Times New Roman"/>
          <w:lang w:val="en-US"/>
        </w:rPr>
        <w:t>20) and at the full test segment (W = 157), the latter computed from the same trained weights. Effects are in watts for the households and in units of the client's persistence error for ECL, so their magnitudes are not comparable; shares, ratios, heterogen</w:t>
      </w:r>
      <w:r w:rsidRPr="00DD392A">
        <w:rPr>
          <w:rFonts w:ascii="Times New Roman" w:hAnsi="Times New Roman" w:cs="Times New Roman"/>
          <w:lang w:val="en-US"/>
        </w:rPr>
        <w:t>eity and sign splits are.</w:t>
      </w:r>
    </w:p>
    <w:tbl>
      <w:tblPr>
        <w:tblStyle w:val="a8"/>
        <w:tblW w:w="0" w:type="auto"/>
        <w:tblLook w:val="04A0" w:firstRow="1" w:lastRow="0" w:firstColumn="1" w:lastColumn="0" w:noHBand="0" w:noVBand="1"/>
      </w:tblPr>
      <w:tblGrid>
        <w:gridCol w:w="2336"/>
        <w:gridCol w:w="2337"/>
        <w:gridCol w:w="2336"/>
        <w:gridCol w:w="2336"/>
      </w:tblGrid>
      <w:tr w:rsidR="007F05BC" w:rsidRPr="00DD392A" w14:paraId="0824B717" w14:textId="77777777">
        <w:trPr>
          <w:tblHeader w:val="true"/>
        </w:trPr>
        <w:tc>
          <w:tcPr>
            <w:tcW w:w="2339" w:type="dxa"/>
          </w:tcPr>
          <w:p w14:paraId="209CEA25" w14:textId="77777777" w:rsidR="007F05BC" w:rsidRPr="00DD392A" w:rsidRDefault="00DD392A">
            <w:pPr>
              <w:rPr>
                <w:rFonts w:ascii="Times New Roman" w:hAnsi="Times New Roman" w:cs="Times New Roman"/>
              </w:rPr>
            </w:pPr>
            <w:proofErr w:type="spellStart"/>
            <w:r w:rsidRPr="00DD392A">
              <w:rPr>
                <w:rFonts w:ascii="Times New Roman" w:hAnsi="Times New Roman" w:cs="Times New Roman"/>
                <w:b/>
              </w:rPr>
              <w:t>Quantity</w:t>
            </w:r>
            <w:proofErr w:type="spellEnd"/>
          </w:p>
        </w:tc>
        <w:tc>
          <w:tcPr>
            <w:tcW w:w="2339" w:type="dxa"/>
          </w:tcPr>
          <w:p w14:paraId="3ECF63FC" w14:textId="77777777" w:rsidR="007F05BC" w:rsidRPr="00DD392A" w:rsidRDefault="00DD392A">
            <w:pPr>
              <w:rPr>
                <w:rFonts w:ascii="Times New Roman" w:hAnsi="Times New Roman" w:cs="Times New Roman"/>
              </w:rPr>
            </w:pPr>
            <w:r w:rsidRPr="00DD392A">
              <w:rPr>
                <w:rFonts w:ascii="Times New Roman" w:hAnsi="Times New Roman" w:cs="Times New Roman"/>
                <w:b/>
              </w:rPr>
              <w:t>17 households</w:t>
            </w:r>
          </w:p>
        </w:tc>
        <w:tc>
          <w:tcPr>
            <w:tcW w:w="2339" w:type="dxa"/>
          </w:tcPr>
          <w:p w14:paraId="353B8C85" w14:textId="77777777" w:rsidR="007F05BC" w:rsidRPr="00DD392A" w:rsidRDefault="00DD392A">
            <w:pPr>
              <w:rPr>
                <w:rFonts w:ascii="Times New Roman" w:hAnsi="Times New Roman" w:cs="Times New Roman"/>
              </w:rPr>
            </w:pPr>
            <w:r w:rsidRPr="00DD392A">
              <w:rPr>
                <w:rFonts w:ascii="Times New Roman" w:hAnsi="Times New Roman" w:cs="Times New Roman"/>
                <w:b/>
              </w:rPr>
              <w:t>ECL, W = 120</w:t>
            </w:r>
          </w:p>
        </w:tc>
        <w:tc>
          <w:tcPr>
            <w:tcW w:w="2339" w:type="dxa"/>
          </w:tcPr>
          <w:p w14:paraId="488A9937" w14:textId="77777777" w:rsidR="007F05BC" w:rsidRPr="00DD392A" w:rsidRDefault="00DD392A">
            <w:pPr>
              <w:rPr>
                <w:rFonts w:ascii="Times New Roman" w:hAnsi="Times New Roman" w:cs="Times New Roman"/>
              </w:rPr>
            </w:pPr>
            <w:r w:rsidRPr="00DD392A">
              <w:rPr>
                <w:rFonts w:ascii="Times New Roman" w:hAnsi="Times New Roman" w:cs="Times New Roman"/>
                <w:b/>
              </w:rPr>
              <w:t>ECL, W = 157</w:t>
            </w:r>
          </w:p>
        </w:tc>
      </w:tr>
      <w:tr w:rsidR="007F05BC" w:rsidRPr="00DD392A" w14:paraId="5DAFF999" w14:textId="77777777">
        <w:tc>
          <w:tcPr>
            <w:tcW w:w="2339" w:type="dxa"/>
          </w:tcPr>
          <w:p w14:paraId="0390943F" w14:textId="77777777" w:rsidR="007F05BC" w:rsidRPr="00DD392A" w:rsidRDefault="00DD392A">
            <w:pPr>
              <w:rPr>
                <w:rFonts w:ascii="Times New Roman" w:hAnsi="Times New Roman" w:cs="Times New Roman"/>
                <w:lang w:val="en-US"/>
              </w:rPr>
            </w:pPr>
            <w:r w:rsidRPr="00DD392A">
              <w:rPr>
                <w:rFonts w:ascii="Times New Roman" w:hAnsi="Times New Roman" w:cs="Times New Roman"/>
                <w:lang w:val="en-US"/>
              </w:rPr>
              <w:t>Seed share, fused output: mean / median</w:t>
            </w:r>
          </w:p>
        </w:tc>
        <w:tc>
          <w:tcPr>
            <w:tcW w:w="2339" w:type="dxa"/>
          </w:tcPr>
          <w:p w14:paraId="5C93F2C7" w14:textId="77777777" w:rsidR="007F05BC" w:rsidRPr="00DD392A" w:rsidRDefault="00DD392A">
            <w:pPr>
              <w:rPr>
                <w:rFonts w:ascii="Times New Roman" w:hAnsi="Times New Roman" w:cs="Times New Roman"/>
              </w:rPr>
            </w:pPr>
            <w:r w:rsidRPr="00DD392A">
              <w:rPr>
                <w:rFonts w:ascii="Times New Roman" w:hAnsi="Times New Roman" w:cs="Times New Roman"/>
              </w:rPr>
              <w:t>67 / 83 %</w:t>
            </w:r>
          </w:p>
        </w:tc>
        <w:tc>
          <w:tcPr>
            <w:tcW w:w="2339" w:type="dxa"/>
          </w:tcPr>
          <w:p w14:paraId="32D5977B" w14:textId="77777777" w:rsidR="007F05BC" w:rsidRPr="00DD392A" w:rsidRDefault="00DD392A">
            <w:pPr>
              <w:rPr>
                <w:rFonts w:ascii="Times New Roman" w:hAnsi="Times New Roman" w:cs="Times New Roman"/>
              </w:rPr>
            </w:pPr>
            <w:r w:rsidRPr="00DD392A">
              <w:rPr>
                <w:rFonts w:ascii="Times New Roman" w:hAnsi="Times New Roman" w:cs="Times New Roman"/>
              </w:rPr>
              <w:t>66 / 83 %</w:t>
            </w:r>
          </w:p>
        </w:tc>
        <w:tc>
          <w:tcPr>
            <w:tcW w:w="2339" w:type="dxa"/>
          </w:tcPr>
          <w:p w14:paraId="472125B2" w14:textId="77777777" w:rsidR="007F05BC" w:rsidRPr="00DD392A" w:rsidRDefault="00DD392A">
            <w:pPr>
              <w:rPr>
                <w:rFonts w:ascii="Times New Roman" w:hAnsi="Times New Roman" w:cs="Times New Roman"/>
              </w:rPr>
            </w:pPr>
            <w:r w:rsidRPr="00DD392A">
              <w:rPr>
                <w:rFonts w:ascii="Times New Roman" w:hAnsi="Times New Roman" w:cs="Times New Roman"/>
              </w:rPr>
              <w:t>74 / 81 %</w:t>
            </w:r>
          </w:p>
        </w:tc>
      </w:tr>
      <w:tr w:rsidR="007F05BC" w:rsidRPr="00DD392A" w14:paraId="38E424D0" w14:textId="77777777">
        <w:tc>
          <w:tcPr>
            <w:tcW w:w="2339" w:type="dxa"/>
          </w:tcPr>
          <w:p w14:paraId="43075DEA" w14:textId="77777777" w:rsidR="007F05BC" w:rsidRPr="00DD392A" w:rsidRDefault="00DD392A">
            <w:pPr>
              <w:rPr>
                <w:rFonts w:ascii="Times New Roman" w:hAnsi="Times New Roman" w:cs="Times New Roman"/>
                <w:lang w:val="en-US"/>
              </w:rPr>
            </w:pPr>
            <w:r w:rsidRPr="00DD392A">
              <w:rPr>
                <w:rFonts w:ascii="Times New Roman" w:hAnsi="Times New Roman" w:cs="Times New Roman"/>
                <w:lang w:val="en-US"/>
              </w:rPr>
              <w:t>Exact interval, median lower limit</w:t>
            </w:r>
          </w:p>
        </w:tc>
        <w:tc>
          <w:tcPr>
            <w:tcW w:w="2339" w:type="dxa"/>
          </w:tcPr>
          <w:p w14:paraId="0CAAB31A" w14:textId="77777777" w:rsidR="007F05BC" w:rsidRPr="00DD392A" w:rsidRDefault="00DD392A">
            <w:pPr>
              <w:rPr>
                <w:rFonts w:ascii="Times New Roman" w:hAnsi="Times New Roman" w:cs="Times New Roman"/>
              </w:rPr>
            </w:pPr>
            <w:r w:rsidRPr="00DD392A">
              <w:rPr>
                <w:rFonts w:ascii="Times New Roman" w:hAnsi="Times New Roman" w:cs="Times New Roman"/>
              </w:rPr>
              <w:t>51 %</w:t>
            </w:r>
          </w:p>
        </w:tc>
        <w:tc>
          <w:tcPr>
            <w:tcW w:w="2339" w:type="dxa"/>
          </w:tcPr>
          <w:p w14:paraId="0BA59ECD" w14:textId="77777777" w:rsidR="007F05BC" w:rsidRPr="00DD392A" w:rsidRDefault="00DD392A">
            <w:pPr>
              <w:rPr>
                <w:rFonts w:ascii="Times New Roman" w:hAnsi="Times New Roman" w:cs="Times New Roman"/>
              </w:rPr>
            </w:pPr>
            <w:r w:rsidRPr="00DD392A">
              <w:rPr>
                <w:rFonts w:ascii="Times New Roman" w:hAnsi="Times New Roman" w:cs="Times New Roman"/>
              </w:rPr>
              <w:t>57 %</w:t>
            </w:r>
          </w:p>
        </w:tc>
        <w:tc>
          <w:tcPr>
            <w:tcW w:w="2339" w:type="dxa"/>
          </w:tcPr>
          <w:p w14:paraId="6BC9D458" w14:textId="77777777" w:rsidR="007F05BC" w:rsidRPr="00DD392A" w:rsidRDefault="00DD392A">
            <w:pPr>
              <w:rPr>
                <w:rFonts w:ascii="Times New Roman" w:hAnsi="Times New Roman" w:cs="Times New Roman"/>
              </w:rPr>
            </w:pPr>
            <w:r w:rsidRPr="00DD392A">
              <w:rPr>
                <w:rFonts w:ascii="Times New Roman" w:hAnsi="Times New Roman" w:cs="Times New Roman"/>
              </w:rPr>
              <w:t>54 %</w:t>
            </w:r>
          </w:p>
        </w:tc>
      </w:tr>
      <w:tr w:rsidR="007F05BC" w:rsidRPr="00DD392A" w14:paraId="54398C87" w14:textId="77777777">
        <w:tc>
          <w:tcPr>
            <w:tcW w:w="2339" w:type="dxa"/>
          </w:tcPr>
          <w:p w14:paraId="23650852" w14:textId="77777777" w:rsidR="007F05BC" w:rsidRPr="00DD392A" w:rsidRDefault="00DD392A">
            <w:pPr>
              <w:rPr>
                <w:rFonts w:ascii="Times New Roman" w:hAnsi="Times New Roman" w:cs="Times New Roman"/>
                <w:lang w:val="en-US"/>
              </w:rPr>
            </w:pPr>
            <w:r w:rsidRPr="00DD392A">
              <w:rPr>
                <w:rFonts w:ascii="Times New Roman" w:hAnsi="Times New Roman" w:cs="Times New Roman"/>
                <w:lang w:val="en-US"/>
              </w:rPr>
              <w:t>Units with lower limit above one half</w:t>
            </w:r>
          </w:p>
        </w:tc>
        <w:tc>
          <w:tcPr>
            <w:tcW w:w="2339" w:type="dxa"/>
          </w:tcPr>
          <w:p w14:paraId="75FCF393" w14:textId="77777777" w:rsidR="007F05BC" w:rsidRPr="00DD392A" w:rsidRDefault="00DD392A">
            <w:pPr>
              <w:rPr>
                <w:rFonts w:ascii="Times New Roman" w:hAnsi="Times New Roman" w:cs="Times New Roman"/>
              </w:rPr>
            </w:pPr>
            <w:r w:rsidRPr="00DD392A">
              <w:rPr>
                <w:rFonts w:ascii="Times New Roman" w:hAnsi="Times New Roman" w:cs="Times New Roman"/>
              </w:rPr>
              <w:t xml:space="preserve">10 </w:t>
            </w:r>
            <w:proofErr w:type="spellStart"/>
            <w:r w:rsidRPr="00DD392A">
              <w:rPr>
                <w:rFonts w:ascii="Times New Roman" w:hAnsi="Times New Roman" w:cs="Times New Roman"/>
              </w:rPr>
              <w:t>of</w:t>
            </w:r>
            <w:proofErr w:type="spellEnd"/>
            <w:r w:rsidRPr="00DD392A">
              <w:rPr>
                <w:rFonts w:ascii="Times New Roman" w:hAnsi="Times New Roman" w:cs="Times New Roman"/>
              </w:rPr>
              <w:t xml:space="preserve"> 17</w:t>
            </w:r>
          </w:p>
        </w:tc>
        <w:tc>
          <w:tcPr>
            <w:tcW w:w="2339" w:type="dxa"/>
          </w:tcPr>
          <w:p w14:paraId="04193AAD" w14:textId="77777777" w:rsidR="007F05BC" w:rsidRPr="00DD392A" w:rsidRDefault="00DD392A">
            <w:pPr>
              <w:rPr>
                <w:rFonts w:ascii="Times New Roman" w:hAnsi="Times New Roman" w:cs="Times New Roman"/>
              </w:rPr>
            </w:pPr>
            <w:r w:rsidRPr="00DD392A">
              <w:rPr>
                <w:rFonts w:ascii="Times New Roman" w:hAnsi="Times New Roman" w:cs="Times New Roman"/>
              </w:rPr>
              <w:t>10 of 17</w:t>
            </w:r>
          </w:p>
        </w:tc>
        <w:tc>
          <w:tcPr>
            <w:tcW w:w="2339" w:type="dxa"/>
          </w:tcPr>
          <w:p w14:paraId="56ECC474" w14:textId="77777777" w:rsidR="007F05BC" w:rsidRPr="00DD392A" w:rsidRDefault="00DD392A">
            <w:pPr>
              <w:rPr>
                <w:rFonts w:ascii="Times New Roman" w:hAnsi="Times New Roman" w:cs="Times New Roman"/>
              </w:rPr>
            </w:pPr>
            <w:r w:rsidRPr="00DD392A">
              <w:rPr>
                <w:rFonts w:ascii="Times New Roman" w:hAnsi="Times New Roman" w:cs="Times New Roman"/>
              </w:rPr>
              <w:t>9</w:t>
            </w:r>
            <w:r w:rsidRPr="00DD392A">
              <w:rPr>
                <w:rFonts w:ascii="Times New Roman" w:hAnsi="Times New Roman" w:cs="Times New Roman"/>
              </w:rPr>
              <w:t xml:space="preserve"> of 17</w:t>
            </w:r>
          </w:p>
        </w:tc>
      </w:tr>
      <w:tr w:rsidR="007F05BC" w:rsidRPr="00DD392A" w14:paraId="1C93679A" w14:textId="77777777">
        <w:tc>
          <w:tcPr>
            <w:tcW w:w="2339" w:type="dxa"/>
          </w:tcPr>
          <w:p w14:paraId="3ED0F095" w14:textId="77777777" w:rsidR="007F05BC" w:rsidRPr="00DD392A" w:rsidRDefault="00DD392A">
            <w:pPr>
              <w:rPr>
                <w:rFonts w:ascii="Times New Roman" w:hAnsi="Times New Roman" w:cs="Times New Roman"/>
              </w:rPr>
            </w:pPr>
            <w:r w:rsidRPr="00DD392A">
              <w:rPr>
                <w:rFonts w:ascii="Times New Roman" w:hAnsi="Times New Roman" w:cs="Times New Roman"/>
              </w:rPr>
              <w:t>Units truncated at zero</w:t>
            </w:r>
          </w:p>
        </w:tc>
        <w:tc>
          <w:tcPr>
            <w:tcW w:w="2339" w:type="dxa"/>
          </w:tcPr>
          <w:p w14:paraId="70AA604A" w14:textId="77777777" w:rsidR="007F05BC" w:rsidRPr="00DD392A" w:rsidRDefault="00DD392A">
            <w:pPr>
              <w:rPr>
                <w:rFonts w:ascii="Times New Roman" w:hAnsi="Times New Roman" w:cs="Times New Roman"/>
              </w:rPr>
            </w:pPr>
            <w:r w:rsidRPr="00DD392A">
              <w:rPr>
                <w:rFonts w:ascii="Times New Roman" w:hAnsi="Times New Roman" w:cs="Times New Roman"/>
              </w:rPr>
              <w:t>3</w:t>
            </w:r>
          </w:p>
        </w:tc>
        <w:tc>
          <w:tcPr>
            <w:tcW w:w="2339" w:type="dxa"/>
          </w:tcPr>
          <w:p w14:paraId="533CE0C1" w14:textId="77777777" w:rsidR="007F05BC" w:rsidRPr="00DD392A" w:rsidRDefault="00DD392A">
            <w:pPr>
              <w:rPr>
                <w:rFonts w:ascii="Times New Roman" w:hAnsi="Times New Roman" w:cs="Times New Roman"/>
              </w:rPr>
            </w:pPr>
            <w:r w:rsidRPr="00DD392A">
              <w:rPr>
                <w:rFonts w:ascii="Times New Roman" w:hAnsi="Times New Roman" w:cs="Times New Roman"/>
              </w:rPr>
              <w:t>3</w:t>
            </w:r>
          </w:p>
        </w:tc>
        <w:tc>
          <w:tcPr>
            <w:tcW w:w="2339" w:type="dxa"/>
          </w:tcPr>
          <w:p w14:paraId="61873F47" w14:textId="77777777" w:rsidR="007F05BC" w:rsidRPr="00DD392A" w:rsidRDefault="00DD392A">
            <w:pPr>
              <w:rPr>
                <w:rFonts w:ascii="Times New Roman" w:hAnsi="Times New Roman" w:cs="Times New Roman"/>
              </w:rPr>
            </w:pPr>
            <w:r w:rsidRPr="00DD392A">
              <w:rPr>
                <w:rFonts w:ascii="Times New Roman" w:hAnsi="Times New Roman" w:cs="Times New Roman"/>
              </w:rPr>
              <w:t>1</w:t>
            </w:r>
          </w:p>
        </w:tc>
      </w:tr>
      <w:tr w:rsidR="007F05BC" w:rsidRPr="00DD392A" w14:paraId="2A05B148" w14:textId="77777777">
        <w:tc>
          <w:tcPr>
            <w:tcW w:w="2339" w:type="dxa"/>
          </w:tcPr>
          <w:p w14:paraId="5DFA4C7F" w14:textId="77777777" w:rsidR="007F05BC" w:rsidRPr="00DD392A" w:rsidRDefault="00DD392A">
            <w:pPr>
              <w:rPr>
                <w:rFonts w:ascii="Times New Roman" w:hAnsi="Times New Roman" w:cs="Times New Roman"/>
                <w:lang w:val="en-US"/>
              </w:rPr>
            </w:pPr>
            <w:r w:rsidRPr="00DD392A">
              <w:rPr>
                <w:rFonts w:ascii="Times New Roman" w:hAnsi="Times New Roman" w:cs="Times New Roman"/>
                <w:lang w:val="en-US"/>
              </w:rPr>
              <w:t>Seed-to-window ratio, fused output</w:t>
            </w:r>
          </w:p>
        </w:tc>
        <w:tc>
          <w:tcPr>
            <w:tcW w:w="2339" w:type="dxa"/>
          </w:tcPr>
          <w:p w14:paraId="66557DE6" w14:textId="77777777" w:rsidR="007F05BC" w:rsidRPr="00DD392A" w:rsidRDefault="00DD392A">
            <w:pPr>
              <w:rPr>
                <w:rFonts w:ascii="Times New Roman" w:hAnsi="Times New Roman" w:cs="Times New Roman"/>
              </w:rPr>
            </w:pPr>
            <w:r w:rsidRPr="00DD392A">
              <w:rPr>
                <w:rFonts w:ascii="Times New Roman" w:hAnsi="Times New Roman" w:cs="Times New Roman"/>
              </w:rPr>
              <w:t>24 (0–52)</w:t>
            </w:r>
          </w:p>
        </w:tc>
        <w:tc>
          <w:tcPr>
            <w:tcW w:w="2339" w:type="dxa"/>
          </w:tcPr>
          <w:p w14:paraId="78CBD19E" w14:textId="77777777" w:rsidR="007F05BC" w:rsidRPr="00DD392A" w:rsidRDefault="00DD392A">
            <w:pPr>
              <w:rPr>
                <w:rFonts w:ascii="Times New Roman" w:hAnsi="Times New Roman" w:cs="Times New Roman"/>
              </w:rPr>
            </w:pPr>
            <w:r w:rsidRPr="00DD392A">
              <w:rPr>
                <w:rFonts w:ascii="Times New Roman" w:hAnsi="Times New Roman" w:cs="Times New Roman"/>
              </w:rPr>
              <w:t>4.9 (0–11.4)</w:t>
            </w:r>
          </w:p>
        </w:tc>
        <w:tc>
          <w:tcPr>
            <w:tcW w:w="2339" w:type="dxa"/>
          </w:tcPr>
          <w:p w14:paraId="3E359E46" w14:textId="77777777" w:rsidR="007F05BC" w:rsidRPr="00DD392A" w:rsidRDefault="00DD392A">
            <w:pPr>
              <w:rPr>
                <w:rFonts w:ascii="Times New Roman" w:hAnsi="Times New Roman" w:cs="Times New Roman"/>
              </w:rPr>
            </w:pPr>
            <w:r w:rsidRPr="00DD392A">
              <w:rPr>
                <w:rFonts w:ascii="Times New Roman" w:hAnsi="Times New Roman" w:cs="Times New Roman"/>
              </w:rPr>
              <w:t>4.1 (0–25.2)</w:t>
            </w:r>
          </w:p>
        </w:tc>
      </w:tr>
      <w:tr w:rsidR="007F05BC" w:rsidRPr="00DD392A" w14:paraId="65A708DA" w14:textId="77777777">
        <w:tc>
          <w:tcPr>
            <w:tcW w:w="2339" w:type="dxa"/>
          </w:tcPr>
          <w:p w14:paraId="376EE66E" w14:textId="77777777" w:rsidR="007F05BC" w:rsidRPr="00DD392A" w:rsidRDefault="00DD392A">
            <w:pPr>
              <w:rPr>
                <w:rFonts w:ascii="Times New Roman" w:hAnsi="Times New Roman" w:cs="Times New Roman"/>
                <w:lang w:val="en-US"/>
              </w:rPr>
            </w:pPr>
            <w:r w:rsidRPr="00DD392A">
              <w:rPr>
                <w:rFonts w:ascii="Times New Roman" w:hAnsi="Times New Roman" w:cs="Times New Roman"/>
                <w:lang w:val="en-US"/>
              </w:rPr>
              <w:t>Seed share, branch output: median</w:t>
            </w:r>
          </w:p>
        </w:tc>
        <w:tc>
          <w:tcPr>
            <w:tcW w:w="2339" w:type="dxa"/>
          </w:tcPr>
          <w:p w14:paraId="348AEA8B" w14:textId="77777777" w:rsidR="007F05BC" w:rsidRPr="00DD392A" w:rsidRDefault="00DD392A">
            <w:pPr>
              <w:rPr>
                <w:rFonts w:ascii="Times New Roman" w:hAnsi="Times New Roman" w:cs="Times New Roman"/>
              </w:rPr>
            </w:pPr>
            <w:r w:rsidRPr="00DD392A">
              <w:rPr>
                <w:rFonts w:ascii="Times New Roman" w:hAnsi="Times New Roman" w:cs="Times New Roman"/>
              </w:rPr>
              <w:t>91 %</w:t>
            </w:r>
          </w:p>
        </w:tc>
        <w:tc>
          <w:tcPr>
            <w:tcW w:w="2339" w:type="dxa"/>
          </w:tcPr>
          <w:p w14:paraId="5054B581" w14:textId="77777777" w:rsidR="007F05BC" w:rsidRPr="00DD392A" w:rsidRDefault="00DD392A">
            <w:pPr>
              <w:rPr>
                <w:rFonts w:ascii="Times New Roman" w:hAnsi="Times New Roman" w:cs="Times New Roman"/>
              </w:rPr>
            </w:pPr>
            <w:r w:rsidRPr="00DD392A">
              <w:rPr>
                <w:rFonts w:ascii="Times New Roman" w:hAnsi="Times New Roman" w:cs="Times New Roman"/>
              </w:rPr>
              <w:t>77 %</w:t>
            </w:r>
          </w:p>
        </w:tc>
        <w:tc>
          <w:tcPr>
            <w:tcW w:w="2339" w:type="dxa"/>
          </w:tcPr>
          <w:p w14:paraId="5CC3FBFD" w14:textId="77777777" w:rsidR="007F05BC" w:rsidRPr="00DD392A" w:rsidRDefault="00DD392A">
            <w:pPr>
              <w:rPr>
                <w:rFonts w:ascii="Times New Roman" w:hAnsi="Times New Roman" w:cs="Times New Roman"/>
              </w:rPr>
            </w:pPr>
            <w:r w:rsidRPr="00DD392A">
              <w:rPr>
                <w:rFonts w:ascii="Times New Roman" w:hAnsi="Times New Roman" w:cs="Times New Roman"/>
              </w:rPr>
              <w:t>-</w:t>
            </w:r>
          </w:p>
        </w:tc>
      </w:tr>
      <w:tr w:rsidR="007F05BC" w:rsidRPr="00DD392A" w14:paraId="3F86CA28" w14:textId="77777777">
        <w:tc>
          <w:tcPr>
            <w:tcW w:w="2339" w:type="dxa"/>
          </w:tcPr>
          <w:p w14:paraId="540B7B45" w14:textId="77777777" w:rsidR="007F05BC" w:rsidRPr="00DD392A" w:rsidRDefault="00DD392A">
            <w:pPr>
              <w:rPr>
                <w:rFonts w:ascii="Times New Roman" w:hAnsi="Times New Roman" w:cs="Times New Roman"/>
              </w:rPr>
            </w:pPr>
            <w:r w:rsidRPr="00DD392A">
              <w:rPr>
                <w:rFonts w:ascii="Times New Roman" w:hAnsi="Times New Roman" w:cs="Times New Roman"/>
              </w:rPr>
              <w:t>Summary effect, p</w:t>
            </w:r>
          </w:p>
        </w:tc>
        <w:tc>
          <w:tcPr>
            <w:tcW w:w="2339" w:type="dxa"/>
          </w:tcPr>
          <w:p w14:paraId="5784EB5E" w14:textId="77777777" w:rsidR="007F05BC" w:rsidRPr="00DD392A" w:rsidRDefault="00DD392A">
            <w:pPr>
              <w:rPr>
                <w:rFonts w:ascii="Times New Roman" w:hAnsi="Times New Roman" w:cs="Times New Roman"/>
              </w:rPr>
            </w:pPr>
            <w:r w:rsidRPr="00DD392A">
              <w:rPr>
                <w:rFonts w:ascii="Times New Roman" w:hAnsi="Times New Roman" w:cs="Times New Roman"/>
              </w:rPr>
              <w:t>−</w:t>
            </w:r>
            <w:r w:rsidRPr="00DD392A">
              <w:rPr>
                <w:rFonts w:ascii="Times New Roman" w:hAnsi="Times New Roman" w:cs="Times New Roman"/>
              </w:rPr>
              <w:t>0.28 W, 0.141</w:t>
            </w:r>
          </w:p>
        </w:tc>
        <w:tc>
          <w:tcPr>
            <w:tcW w:w="2339" w:type="dxa"/>
          </w:tcPr>
          <w:p w14:paraId="2146652B" w14:textId="77777777" w:rsidR="007F05BC" w:rsidRPr="00DD392A" w:rsidRDefault="00DD392A">
            <w:pPr>
              <w:rPr>
                <w:rFonts w:ascii="Times New Roman" w:hAnsi="Times New Roman" w:cs="Times New Roman"/>
              </w:rPr>
            </w:pPr>
            <w:r w:rsidRPr="00DD392A">
              <w:rPr>
                <w:rFonts w:ascii="Times New Roman" w:hAnsi="Times New Roman" w:cs="Times New Roman"/>
              </w:rPr>
              <w:t>≈0, 0.752</w:t>
            </w:r>
          </w:p>
        </w:tc>
        <w:tc>
          <w:tcPr>
            <w:tcW w:w="2339" w:type="dxa"/>
          </w:tcPr>
          <w:p w14:paraId="24A3EB4E" w14:textId="77777777" w:rsidR="007F05BC" w:rsidRPr="00DD392A" w:rsidRDefault="00DD392A">
            <w:pPr>
              <w:rPr>
                <w:rFonts w:ascii="Times New Roman" w:hAnsi="Times New Roman" w:cs="Times New Roman"/>
              </w:rPr>
            </w:pPr>
            <w:r w:rsidRPr="00DD392A">
              <w:rPr>
                <w:rFonts w:ascii="Times New Roman" w:hAnsi="Times New Roman" w:cs="Times New Roman"/>
              </w:rPr>
              <w:t>≈0, 0.449</w:t>
            </w:r>
          </w:p>
        </w:tc>
      </w:tr>
      <w:tr w:rsidR="007F05BC" w:rsidRPr="00DD392A" w14:paraId="14B4AC7A" w14:textId="77777777">
        <w:tc>
          <w:tcPr>
            <w:tcW w:w="2339" w:type="dxa"/>
          </w:tcPr>
          <w:p w14:paraId="31062A90" w14:textId="77777777" w:rsidR="007F05BC" w:rsidRPr="00DD392A" w:rsidRDefault="00DD392A">
            <w:pPr>
              <w:rPr>
                <w:rFonts w:ascii="Times New Roman" w:hAnsi="Times New Roman" w:cs="Times New Roman"/>
              </w:rPr>
            </w:pPr>
            <w:r w:rsidRPr="00DD392A">
              <w:rPr>
                <w:rFonts w:ascii="Times New Roman" w:hAnsi="Times New Roman" w:cs="Times New Roman"/>
              </w:rPr>
              <w:t>I²; Q(16); p</w:t>
            </w:r>
          </w:p>
        </w:tc>
        <w:tc>
          <w:tcPr>
            <w:tcW w:w="2339" w:type="dxa"/>
          </w:tcPr>
          <w:p w14:paraId="549B9B78" w14:textId="77777777" w:rsidR="007F05BC" w:rsidRPr="00DD392A" w:rsidRDefault="00DD392A">
            <w:pPr>
              <w:rPr>
                <w:rFonts w:ascii="Times New Roman" w:hAnsi="Times New Roman" w:cs="Times New Roman"/>
              </w:rPr>
            </w:pPr>
            <w:r w:rsidRPr="00DD392A">
              <w:rPr>
                <w:rFonts w:ascii="Times New Roman" w:hAnsi="Times New Roman" w:cs="Times New Roman"/>
              </w:rPr>
              <w:t>26.9 %; 21.9; 0.147</w:t>
            </w:r>
          </w:p>
        </w:tc>
        <w:tc>
          <w:tcPr>
            <w:tcW w:w="2339" w:type="dxa"/>
          </w:tcPr>
          <w:p w14:paraId="70A83D88" w14:textId="77777777" w:rsidR="007F05BC" w:rsidRPr="00DD392A" w:rsidRDefault="00DD392A">
            <w:pPr>
              <w:rPr>
                <w:rFonts w:ascii="Times New Roman" w:hAnsi="Times New Roman" w:cs="Times New Roman"/>
              </w:rPr>
            </w:pPr>
            <w:r w:rsidRPr="00DD392A">
              <w:rPr>
                <w:rFonts w:ascii="Times New Roman" w:hAnsi="Times New Roman" w:cs="Times New Roman"/>
              </w:rPr>
              <w:t xml:space="preserve">18.4 %; </w:t>
            </w:r>
            <w:r w:rsidRPr="00DD392A">
              <w:rPr>
                <w:rFonts w:ascii="Times New Roman" w:hAnsi="Times New Roman" w:cs="Times New Roman"/>
              </w:rPr>
              <w:t>19.6; 0.238</w:t>
            </w:r>
          </w:p>
        </w:tc>
        <w:tc>
          <w:tcPr>
            <w:tcW w:w="2339" w:type="dxa"/>
          </w:tcPr>
          <w:p w14:paraId="014D7CAD" w14:textId="77777777" w:rsidR="007F05BC" w:rsidRPr="00DD392A" w:rsidRDefault="00DD392A">
            <w:pPr>
              <w:rPr>
                <w:rFonts w:ascii="Times New Roman" w:hAnsi="Times New Roman" w:cs="Times New Roman"/>
              </w:rPr>
            </w:pPr>
            <w:r w:rsidRPr="00DD392A">
              <w:rPr>
                <w:rFonts w:ascii="Times New Roman" w:hAnsi="Times New Roman" w:cs="Times New Roman"/>
              </w:rPr>
              <w:t>0.0 %; 15.2; 0.513</w:t>
            </w:r>
          </w:p>
        </w:tc>
      </w:tr>
      <w:tr w:rsidR="007F05BC" w:rsidRPr="00DD392A" w14:paraId="5B0EAD9E" w14:textId="77777777">
        <w:tc>
          <w:tcPr>
            <w:tcW w:w="2339" w:type="dxa"/>
          </w:tcPr>
          <w:p w14:paraId="72497D90" w14:textId="77777777" w:rsidR="007F05BC" w:rsidRPr="00DD392A" w:rsidRDefault="00DD392A">
            <w:pPr>
              <w:rPr>
                <w:rFonts w:ascii="Times New Roman" w:hAnsi="Times New Roman" w:cs="Times New Roman"/>
              </w:rPr>
            </w:pPr>
            <w:r w:rsidRPr="00DD392A">
              <w:rPr>
                <w:rFonts w:ascii="Times New Roman" w:hAnsi="Times New Roman" w:cs="Times New Roman"/>
              </w:rPr>
              <w:t>Sign split (- / +)</w:t>
            </w:r>
          </w:p>
        </w:tc>
        <w:tc>
          <w:tcPr>
            <w:tcW w:w="2339" w:type="dxa"/>
          </w:tcPr>
          <w:p w14:paraId="08630054" w14:textId="77777777" w:rsidR="007F05BC" w:rsidRPr="00DD392A" w:rsidRDefault="00DD392A">
            <w:pPr>
              <w:rPr>
                <w:rFonts w:ascii="Times New Roman" w:hAnsi="Times New Roman" w:cs="Times New Roman"/>
              </w:rPr>
            </w:pPr>
            <w:r w:rsidRPr="00DD392A">
              <w:rPr>
                <w:rFonts w:ascii="Times New Roman" w:hAnsi="Times New Roman" w:cs="Times New Roman"/>
              </w:rPr>
              <w:t>13 / 4</w:t>
            </w:r>
          </w:p>
        </w:tc>
        <w:tc>
          <w:tcPr>
            <w:tcW w:w="2339" w:type="dxa"/>
          </w:tcPr>
          <w:p w14:paraId="59104DE3" w14:textId="77777777" w:rsidR="007F05BC" w:rsidRPr="00DD392A" w:rsidRDefault="00DD392A">
            <w:pPr>
              <w:rPr>
                <w:rFonts w:ascii="Times New Roman" w:hAnsi="Times New Roman" w:cs="Times New Roman"/>
              </w:rPr>
            </w:pPr>
            <w:r w:rsidRPr="00DD392A">
              <w:rPr>
                <w:rFonts w:ascii="Times New Roman" w:hAnsi="Times New Roman" w:cs="Times New Roman"/>
              </w:rPr>
              <w:t>6 / 11</w:t>
            </w:r>
          </w:p>
        </w:tc>
        <w:tc>
          <w:tcPr>
            <w:tcW w:w="2339" w:type="dxa"/>
          </w:tcPr>
          <w:p w14:paraId="6188E038" w14:textId="77777777" w:rsidR="007F05BC" w:rsidRPr="00DD392A" w:rsidRDefault="00DD392A">
            <w:pPr>
              <w:rPr>
                <w:rFonts w:ascii="Times New Roman" w:hAnsi="Times New Roman" w:cs="Times New Roman"/>
              </w:rPr>
            </w:pPr>
            <w:r w:rsidRPr="00DD392A">
              <w:rPr>
                <w:rFonts w:ascii="Times New Roman" w:hAnsi="Times New Roman" w:cs="Times New Roman"/>
              </w:rPr>
              <w:t>6 / 11</w:t>
            </w:r>
          </w:p>
        </w:tc>
      </w:tr>
      <w:tr w:rsidR="007F05BC" w:rsidRPr="00DD392A" w14:paraId="1B4AC13F" w14:textId="77777777">
        <w:tc>
          <w:tcPr>
            <w:tcW w:w="2339" w:type="dxa"/>
          </w:tcPr>
          <w:p w14:paraId="5D27681A" w14:textId="77777777" w:rsidR="007F05BC" w:rsidRPr="00DD392A" w:rsidRDefault="00DD392A">
            <w:pPr>
              <w:rPr>
                <w:rFonts w:ascii="Times New Roman" w:hAnsi="Times New Roman" w:cs="Times New Roman"/>
                <w:lang w:val="en-US"/>
              </w:rPr>
            </w:pPr>
            <w:r w:rsidRPr="00DD392A">
              <w:rPr>
                <w:rFonts w:ascii="Times New Roman" w:hAnsi="Times New Roman" w:cs="Times New Roman"/>
                <w:lang w:val="en-US"/>
              </w:rPr>
              <w:t>Units required at the smallest effect considered</w:t>
            </w:r>
          </w:p>
        </w:tc>
        <w:tc>
          <w:tcPr>
            <w:tcW w:w="2339" w:type="dxa"/>
          </w:tcPr>
          <w:p w14:paraId="4BD1A841" w14:textId="77777777" w:rsidR="007F05BC" w:rsidRPr="00DD392A" w:rsidRDefault="00DD392A">
            <w:pPr>
              <w:rPr>
                <w:rFonts w:ascii="Times New Roman" w:hAnsi="Times New Roman" w:cs="Times New Roman"/>
              </w:rPr>
            </w:pPr>
            <w:r w:rsidRPr="00DD392A">
              <w:rPr>
                <w:rFonts w:ascii="Times New Roman" w:hAnsi="Times New Roman" w:cs="Times New Roman"/>
              </w:rPr>
              <w:t>-</w:t>
            </w:r>
          </w:p>
        </w:tc>
        <w:tc>
          <w:tcPr>
            <w:tcW w:w="2339" w:type="dxa"/>
          </w:tcPr>
          <w:p w14:paraId="4530944A" w14:textId="77777777" w:rsidR="007F05BC" w:rsidRPr="00DD392A" w:rsidRDefault="00DD392A">
            <w:pPr>
              <w:rPr>
                <w:rFonts w:ascii="Times New Roman" w:hAnsi="Times New Roman" w:cs="Times New Roman"/>
              </w:rPr>
            </w:pPr>
            <w:r w:rsidRPr="00DD392A">
              <w:rPr>
                <w:rFonts w:ascii="Times New Roman" w:hAnsi="Times New Roman" w:cs="Times New Roman"/>
              </w:rPr>
              <w:t>138</w:t>
            </w:r>
          </w:p>
        </w:tc>
        <w:tc>
          <w:tcPr>
            <w:tcW w:w="2339" w:type="dxa"/>
          </w:tcPr>
          <w:p w14:paraId="73B5AA14" w14:textId="77777777" w:rsidR="007F05BC" w:rsidRPr="00DD392A" w:rsidRDefault="00DD392A">
            <w:pPr>
              <w:rPr>
                <w:rFonts w:ascii="Times New Roman" w:hAnsi="Times New Roman" w:cs="Times New Roman"/>
              </w:rPr>
            </w:pPr>
            <w:r w:rsidRPr="00DD392A">
              <w:rPr>
                <w:rFonts w:ascii="Times New Roman" w:hAnsi="Times New Roman" w:cs="Times New Roman"/>
              </w:rPr>
              <w:t>209</w:t>
            </w:r>
          </w:p>
        </w:tc>
      </w:tr>
    </w:tbl>
    <w:p w14:paraId="1DE44AA8"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The dominance replicates in order but not in magnitude. The seed-to-window variance ratio has a median of 4.9 </w:t>
      </w:r>
      <w:r w:rsidRPr="00DD392A">
        <w:rPr>
          <w:rFonts w:ascii="Times New Roman" w:hAnsi="Times New Roman" w:cs="Times New Roman"/>
          <w:lang w:val="en-US"/>
        </w:rPr>
        <w:t xml:space="preserve">against 24 on the households, so on ECL roughly five runs per configuration, rather than twenty-five, would suffice before training variance ceased to dominate. Training randomness is the larger source in both domains; how much larger is a property of the </w:t>
      </w:r>
      <w:r w:rsidRPr="00DD392A">
        <w:rPr>
          <w:rFonts w:ascii="Times New Roman" w:hAnsi="Times New Roman" w:cs="Times New Roman"/>
          <w:lang w:val="en-US"/>
        </w:rPr>
        <w:t>regime.</w:t>
      </w:r>
    </w:p>
    <w:p w14:paraId="5A10CE6B"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Masking replicates in a sharper form. The error of the decomposition branch differs between the coherent and incoherent configurations by a median factor of 8.5, within the range of 5.3 to 14.4 observed on the households, while the fused forecast d</w:t>
      </w:r>
      <w:r w:rsidRPr="00DD392A">
        <w:rPr>
          <w:rFonts w:ascii="Times New Roman" w:hAnsi="Times New Roman" w:cs="Times New Roman"/>
          <w:lang w:val="en-US"/>
        </w:rPr>
        <w:t>oes not deteriorate. It improves: the incoherent configuration yields the lower fused error on 16 of the 17 clients, with a median paired difference of 0.010 in units of persistence error and a paired signed-rank p of 3.1 × 10⁻⁵, against 0.726 versus 0.767</w:t>
      </w:r>
      <w:r w:rsidRPr="00DD392A">
        <w:rPr>
          <w:rFonts w:ascii="Times New Roman" w:hAnsi="Times New Roman" w:cs="Times New Roman"/>
          <w:lang w:val="en-US"/>
        </w:rPr>
        <w:t xml:space="preserve"> at p = 0.017 on the households. The single exception differs by 0.0007, which is to say by nothing. We continue not to advance the defective configuration as preferable; the finding's role is to show, now on two domains, that repairing a branch need not i</w:t>
      </w:r>
      <w:r w:rsidRPr="00DD392A">
        <w:rPr>
          <w:rFonts w:ascii="Times New Roman" w:hAnsi="Times New Roman" w:cs="Times New Roman"/>
          <w:lang w:val="en-US"/>
        </w:rPr>
        <w:t>mprove the reported metric and that the metric can move in the wrong direction while the internals are corrected.</w:t>
      </w:r>
    </w:p>
    <w:p w14:paraId="51CBD256" w14:textId="77777777" w:rsidR="007F05BC" w:rsidRPr="00DD392A" w:rsidRDefault="00DD392A">
      <w:pPr>
        <w:pStyle w:val="3"/>
        <w:rPr>
          <w:lang w:val="en-US"/>
        </w:rPr>
      </w:pPr>
      <w:r w:rsidRPr="00DD392A">
        <w:rPr>
          <w:lang w:val="en-US"/>
        </w:rPr>
        <w:t>5.5.3. What did not replicate</w:t>
      </w:r>
    </w:p>
    <w:p w14:paraId="13510390"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On the branch output the two domains disagree. The median seed share is 77 per cent against 91, the median lower</w:t>
      </w:r>
      <w:r w:rsidRPr="00DD392A">
        <w:rPr>
          <w:rFonts w:ascii="Times New Roman" w:hAnsi="Times New Roman" w:cs="Times New Roman"/>
          <w:lang w:val="en-US"/>
        </w:rPr>
        <w:t xml:space="preserve"> limit of the exact interval 48 against 74 per cent, and the number of units confidently above one half falls from 13 to 8. More consequentially, the heterogeneity that was significant on the households for this output - I² of 54.1 per cent with </w:t>
      </w:r>
      <w:proofErr w:type="gramStart"/>
      <w:r w:rsidRPr="00DD392A">
        <w:rPr>
          <w:rFonts w:ascii="Times New Roman" w:hAnsi="Times New Roman" w:cs="Times New Roman"/>
          <w:lang w:val="en-US"/>
        </w:rPr>
        <w:t>Q(</w:t>
      </w:r>
      <w:proofErr w:type="gramEnd"/>
      <w:r w:rsidRPr="00DD392A">
        <w:rPr>
          <w:rFonts w:ascii="Times New Roman" w:hAnsi="Times New Roman" w:cs="Times New Roman"/>
          <w:lang w:val="en-US"/>
        </w:rPr>
        <w:t>16) = 34</w:t>
      </w:r>
      <w:r w:rsidRPr="00DD392A">
        <w:rPr>
          <w:rFonts w:ascii="Times New Roman" w:hAnsi="Times New Roman" w:cs="Times New Roman"/>
          <w:lang w:val="en-US"/>
        </w:rPr>
        <w:t>.9 at p = 0.0041 - is absent on ECL, where I² is 5.5 per cent at p = 0.39. Section 5.4.2 records that the collapse of heterogeneity held only in the primary combination and not in the other three; that selectivity does not survive the change of domain, and</w:t>
      </w:r>
      <w:r w:rsidRPr="00DD392A">
        <w:rPr>
          <w:rFonts w:ascii="Times New Roman" w:hAnsi="Times New Roman" w:cs="Times New Roman"/>
          <w:lang w:val="en-US"/>
        </w:rPr>
        <w:t xml:space="preserve"> the data available here do not explain why. We therefore restrict the claim about absent between-unit heterogeneity to the fused output, where it holds in both domains, and withdraw it for the branch output.</w:t>
      </w:r>
    </w:p>
    <w:p w14:paraId="26026862"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The direction of the embedding effect is also r</w:t>
      </w:r>
      <w:r w:rsidRPr="00DD392A">
        <w:rPr>
          <w:rFonts w:ascii="Times New Roman" w:hAnsi="Times New Roman" w:cs="Times New Roman"/>
          <w:lang w:val="en-US"/>
        </w:rPr>
        <w:t xml:space="preserve">eversed, 6 </w:t>
      </w:r>
      <w:proofErr w:type="gramStart"/>
      <w:r w:rsidRPr="00DD392A">
        <w:rPr>
          <w:rFonts w:ascii="Times New Roman" w:hAnsi="Times New Roman" w:cs="Times New Roman"/>
          <w:lang w:val="en-US"/>
        </w:rPr>
        <w:t>negative</w:t>
      </w:r>
      <w:proofErr w:type="gramEnd"/>
      <w:r w:rsidRPr="00DD392A">
        <w:rPr>
          <w:rFonts w:ascii="Times New Roman" w:hAnsi="Times New Roman" w:cs="Times New Roman"/>
          <w:lang w:val="en-US"/>
        </w:rPr>
        <w:t xml:space="preserve"> against 11 positive on ECL where the households gave 13 against 4. Since the effect is indistinguishable from zero in both domains, opposite sign </w:t>
      </w:r>
      <w:r w:rsidRPr="00DD392A">
        <w:rPr>
          <w:rFonts w:ascii="Times New Roman" w:hAnsi="Times New Roman" w:cs="Times New Roman"/>
          <w:lang w:val="en-US"/>
        </w:rPr>
        <w:lastRenderedPageBreak/>
        <w:t>splits are evidence for the absence of an effect rather than a conflict between the domain</w:t>
      </w:r>
      <w:r w:rsidRPr="00DD392A">
        <w:rPr>
          <w:rFonts w:ascii="Times New Roman" w:hAnsi="Times New Roman" w:cs="Times New Roman"/>
          <w:lang w:val="en-US"/>
        </w:rPr>
        <w:t>s, but the reversal should be reported rather than passed over.</w:t>
      </w:r>
    </w:p>
    <w:p w14:paraId="456B2C80" w14:textId="77777777" w:rsidR="007F05BC" w:rsidRPr="00DD392A" w:rsidRDefault="00DD392A">
      <w:pPr>
        <w:pStyle w:val="3"/>
        <w:rPr>
          <w:lang w:val="en-US"/>
        </w:rPr>
      </w:pPr>
      <w:r w:rsidRPr="00DD392A">
        <w:rPr>
          <w:lang w:val="en-US"/>
        </w:rPr>
        <w:t>5.5.4. Sensitivity to the evaluation design</w:t>
      </w:r>
    </w:p>
    <w:p w14:paraId="3B970D7B"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The truncation of the test segment to 120 windows was a design choice, and the registration document required that it be checked. Because truncation</w:t>
      </w:r>
      <w:r w:rsidRPr="00DD392A">
        <w:rPr>
          <w:rFonts w:ascii="Times New Roman" w:hAnsi="Times New Roman" w:cs="Times New Roman"/>
          <w:lang w:val="en-US"/>
        </w:rPr>
        <w:t xml:space="preserve"> affects only the test slice, the training and validation segments being identical under both settings, the check was performed on the same trained weights and differs from the primary analysis in nothing but the evaluation set. Both criteria hold under bo</w:t>
      </w:r>
      <w:r w:rsidRPr="00DD392A">
        <w:rPr>
          <w:rFonts w:ascii="Times New Roman" w:hAnsi="Times New Roman" w:cs="Times New Roman"/>
          <w:lang w:val="en-US"/>
        </w:rPr>
        <w:t>th settings: the median share is 83 and 81 per cent against a threshold of one half, the seed-to-window variance ratio 4.9 and 4.1 against a threshold of one, the sign split is unchanged, and the summary effect is indistinguishable from zero in both.</w:t>
      </w:r>
    </w:p>
    <w:p w14:paraId="2CECFF80"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 xml:space="preserve">The prediction we registered for this check was nonetheless wrong, and the reason is instructive. We expected the share to rise with the number of windows, since the window component of the variance of the mean is divided by it; </w:t>
      </w:r>
      <w:proofErr w:type="gramStart"/>
      <w:r w:rsidRPr="00DD392A">
        <w:rPr>
          <w:rFonts w:ascii="Times New Roman" w:hAnsi="Times New Roman" w:cs="Times New Roman"/>
          <w:lang w:val="en-US"/>
        </w:rPr>
        <w:t>instead</w:t>
      </w:r>
      <w:proofErr w:type="gramEnd"/>
      <w:r w:rsidRPr="00DD392A">
        <w:rPr>
          <w:rFonts w:ascii="Times New Roman" w:hAnsi="Times New Roman" w:cs="Times New Roman"/>
          <w:lang w:val="en-US"/>
        </w:rPr>
        <w:t xml:space="preserve"> it fell slightly. E</w:t>
      </w:r>
      <w:r w:rsidRPr="00DD392A">
        <w:rPr>
          <w:rFonts w:ascii="Times New Roman" w:hAnsi="Times New Roman" w:cs="Times New Roman"/>
          <w:lang w:val="en-US"/>
        </w:rPr>
        <w:t>nlarging the test set changes not only the divisor but the composition of the test set, and the additional 37 windows fall in a later and harder segment of the series: the mean within-client variance rose by a factor of 1.51 where a fall by a factor of 1.3</w:t>
      </w:r>
      <w:r w:rsidRPr="00DD392A">
        <w:rPr>
          <w:rFonts w:ascii="Times New Roman" w:hAnsi="Times New Roman" w:cs="Times New Roman"/>
          <w:lang w:val="en-US"/>
        </w:rPr>
        <w:t>1 was expected, and the two effects cancelled. The stability of the share across evaluation designs is thus produced by compensation between two opposing mechanisms, not by independence from the design. The seed-to-window variance ratio, which is invariant</w:t>
      </w:r>
      <w:r w:rsidRPr="00DD392A">
        <w:rPr>
          <w:rFonts w:ascii="Times New Roman" w:hAnsi="Times New Roman" w:cs="Times New Roman"/>
          <w:lang w:val="en-US"/>
        </w:rPr>
        <w:t xml:space="preserve"> by construction, moved by 16 per cent, which at five seeds and four degrees of freedom is within noise but is not a demonstration of invariance.</w:t>
      </w:r>
    </w:p>
    <w:p w14:paraId="1B12A6D9"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A related observation bears on the interpretation of point estimates. The set of units whose share truncates a</w:t>
      </w:r>
      <w:r w:rsidRPr="00DD392A">
        <w:rPr>
          <w:rFonts w:ascii="Times New Roman" w:hAnsi="Times New Roman" w:cs="Times New Roman"/>
          <w:lang w:val="en-US"/>
        </w:rPr>
        <w:t>t zero is itself design-dependent: three clients at 120 windows, one at 157. A point estimate of zero is a statement about the estimator at this sample size, not about the unit.</w:t>
      </w:r>
    </w:p>
    <w:p w14:paraId="3597820A"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Table 9. Preregistered criteria and outcomes for the second-domain replication</w:t>
      </w:r>
      <w:r w:rsidRPr="00DD392A">
        <w:rPr>
          <w:rFonts w:ascii="Times New Roman" w:hAnsi="Times New Roman" w:cs="Times New Roman"/>
          <w:lang w:val="en-US"/>
        </w:rPr>
        <w:t>. Criteria and thresholds were fixed before the first training run; the primary analysis is at the registered evaluation design of 120 windows.</w:t>
      </w:r>
    </w:p>
    <w:tbl>
      <w:tblPr>
        <w:tblStyle w:val="a8"/>
        <w:tblW w:w="0" w:type="auto"/>
        <w:tblLook w:val="04A0" w:firstRow="1" w:lastRow="0" w:firstColumn="1" w:lastColumn="0" w:noHBand="0" w:noVBand="1"/>
      </w:tblPr>
      <w:tblGrid>
        <w:gridCol w:w="2337"/>
        <w:gridCol w:w="2336"/>
        <w:gridCol w:w="2336"/>
        <w:gridCol w:w="2336"/>
      </w:tblGrid>
      <w:tr w:rsidR="007F05BC" w14:paraId="7B354A6B" w14:textId="77777777">
        <w:trPr>
          <w:tblHeader w:val="true"/>
        </w:trPr>
        <w:tc>
          <w:tcPr>
            <w:tcW w:w="2339" w:type="dxa"/>
          </w:tcPr>
          <w:p w14:paraId="10647DBF" w14:textId="77777777" w:rsidR="007F05BC" w:rsidRDefault="00DD392A">
            <w:proofErr w:type="spellStart"/>
            <w:r>
              <w:rPr>
                <w:b/>
              </w:rPr>
              <w:t>Criterion</w:t>
            </w:r>
            <w:proofErr w:type="spellEnd"/>
          </w:p>
        </w:tc>
        <w:tc>
          <w:tcPr>
            <w:tcW w:w="2339" w:type="dxa"/>
          </w:tcPr>
          <w:p w14:paraId="7A38C021" w14:textId="77777777" w:rsidR="007F05BC" w:rsidRDefault="00DD392A">
            <w:r>
              <w:rPr>
                <w:b/>
              </w:rPr>
              <w:t>Registered threshold</w:t>
            </w:r>
          </w:p>
        </w:tc>
        <w:tc>
          <w:tcPr>
            <w:tcW w:w="2339" w:type="dxa"/>
          </w:tcPr>
          <w:p w14:paraId="6E2FB795" w14:textId="77777777" w:rsidR="007F05BC" w:rsidRDefault="00DD392A">
            <w:r>
              <w:rPr>
                <w:b/>
              </w:rPr>
              <w:t>Result on ECL</w:t>
            </w:r>
          </w:p>
        </w:tc>
        <w:tc>
          <w:tcPr>
            <w:tcW w:w="2339" w:type="dxa"/>
          </w:tcPr>
          <w:p w14:paraId="37A2CA3D" w14:textId="77777777" w:rsidR="007F05BC" w:rsidRDefault="00DD392A">
            <w:r>
              <w:rPr>
                <w:b/>
              </w:rPr>
              <w:t>Outcome</w:t>
            </w:r>
          </w:p>
        </w:tc>
      </w:tr>
      <w:tr w:rsidR="007F05BC" w14:paraId="73D3305A" w14:textId="77777777">
        <w:tc>
          <w:tcPr>
            <w:tcW w:w="2339" w:type="dxa"/>
          </w:tcPr>
          <w:p w14:paraId="4674D6EB" w14:textId="77777777" w:rsidR="007F05BC" w:rsidRPr="00DD392A" w:rsidRDefault="00DD392A">
            <w:pPr>
              <w:rPr>
                <w:lang w:val="en-US"/>
              </w:rPr>
            </w:pPr>
            <w:r w:rsidRPr="00DD392A">
              <w:rPr>
                <w:lang w:val="en-US"/>
              </w:rPr>
              <w:t>Seed share of the variance of the mean effect, fused outpu</w:t>
            </w:r>
            <w:r w:rsidRPr="00DD392A">
              <w:rPr>
                <w:lang w:val="en-US"/>
              </w:rPr>
              <w:t>t</w:t>
            </w:r>
          </w:p>
        </w:tc>
        <w:tc>
          <w:tcPr>
            <w:tcW w:w="2339" w:type="dxa"/>
          </w:tcPr>
          <w:p w14:paraId="0B65CC84" w14:textId="77777777" w:rsidR="007F05BC" w:rsidRDefault="00DD392A">
            <w:proofErr w:type="spellStart"/>
            <w:r>
              <w:t>median</w:t>
            </w:r>
            <w:proofErr w:type="spellEnd"/>
            <w:r>
              <w:t xml:space="preserve"> </w:t>
            </w:r>
            <w:proofErr w:type="spellStart"/>
            <w:r>
              <w:t>above</w:t>
            </w:r>
            <w:proofErr w:type="spellEnd"/>
            <w:r>
              <w:t xml:space="preserve"> </w:t>
            </w:r>
            <w:proofErr w:type="spellStart"/>
            <w:r>
              <w:t>one</w:t>
            </w:r>
            <w:proofErr w:type="spellEnd"/>
            <w:r>
              <w:t xml:space="preserve"> </w:t>
            </w:r>
            <w:proofErr w:type="spellStart"/>
            <w:r>
              <w:t>half</w:t>
            </w:r>
            <w:proofErr w:type="spellEnd"/>
          </w:p>
        </w:tc>
        <w:tc>
          <w:tcPr>
            <w:tcW w:w="2339" w:type="dxa"/>
          </w:tcPr>
          <w:p w14:paraId="5B63A0F2" w14:textId="77777777" w:rsidR="007F05BC" w:rsidRPr="00DD392A" w:rsidRDefault="00DD392A">
            <w:pPr>
              <w:rPr>
                <w:lang w:val="en-US"/>
              </w:rPr>
            </w:pPr>
            <w:r w:rsidRPr="00DD392A">
              <w:rPr>
                <w:lang w:val="en-US"/>
              </w:rPr>
              <w:t>83 % median; above one half on 14 of 17</w:t>
            </w:r>
          </w:p>
        </w:tc>
        <w:tc>
          <w:tcPr>
            <w:tcW w:w="2339" w:type="dxa"/>
          </w:tcPr>
          <w:p w14:paraId="18223836" w14:textId="77777777" w:rsidR="007F05BC" w:rsidRDefault="00DD392A">
            <w:proofErr w:type="spellStart"/>
            <w:r>
              <w:t>met</w:t>
            </w:r>
            <w:proofErr w:type="spellEnd"/>
          </w:p>
        </w:tc>
      </w:tr>
      <w:tr w:rsidR="007F05BC" w14:paraId="29E9A4DE" w14:textId="77777777">
        <w:tc>
          <w:tcPr>
            <w:tcW w:w="2339" w:type="dxa"/>
          </w:tcPr>
          <w:p w14:paraId="07F2EA81" w14:textId="77777777" w:rsidR="007F05BC" w:rsidRDefault="00DD392A">
            <w:r>
              <w:t>Seed-to-window ratio</w:t>
            </w:r>
          </w:p>
        </w:tc>
        <w:tc>
          <w:tcPr>
            <w:tcW w:w="2339" w:type="dxa"/>
          </w:tcPr>
          <w:p w14:paraId="0D1B0971" w14:textId="77777777" w:rsidR="007F05BC" w:rsidRDefault="00DD392A">
            <w:r>
              <w:t>median above one</w:t>
            </w:r>
          </w:p>
        </w:tc>
        <w:tc>
          <w:tcPr>
            <w:tcW w:w="2339" w:type="dxa"/>
          </w:tcPr>
          <w:p w14:paraId="6145FED4" w14:textId="77777777" w:rsidR="007F05BC" w:rsidRDefault="00DD392A">
            <w:r>
              <w:t>4.9; above one on 14 of 17</w:t>
            </w:r>
          </w:p>
        </w:tc>
        <w:tc>
          <w:tcPr>
            <w:tcW w:w="2339" w:type="dxa"/>
          </w:tcPr>
          <w:p w14:paraId="554DEF7E" w14:textId="77777777" w:rsidR="007F05BC" w:rsidRDefault="00DD392A">
            <w:r>
              <w:t>met</w:t>
            </w:r>
          </w:p>
        </w:tc>
      </w:tr>
      <w:tr w:rsidR="007F05BC" w:rsidRPr="00DD392A" w14:paraId="79A9E790" w14:textId="77777777">
        <w:tc>
          <w:tcPr>
            <w:tcW w:w="2339" w:type="dxa"/>
          </w:tcPr>
          <w:p w14:paraId="0366A84D" w14:textId="77777777" w:rsidR="007F05BC" w:rsidRPr="00DD392A" w:rsidRDefault="00DD392A">
            <w:pPr>
              <w:rPr>
                <w:lang w:val="en-US"/>
              </w:rPr>
            </w:pPr>
            <w:r w:rsidRPr="00DD392A">
              <w:rPr>
                <w:lang w:val="en-US"/>
              </w:rPr>
              <w:t>Branch error differs between configurations while the fused forecast does not</w:t>
            </w:r>
          </w:p>
        </w:tc>
        <w:tc>
          <w:tcPr>
            <w:tcW w:w="2339" w:type="dxa"/>
          </w:tcPr>
          <w:p w14:paraId="145348AC" w14:textId="77777777" w:rsidR="007F05BC" w:rsidRDefault="00DD392A">
            <w:proofErr w:type="spellStart"/>
            <w:r>
              <w:t>qualitative</w:t>
            </w:r>
            <w:proofErr w:type="spellEnd"/>
          </w:p>
        </w:tc>
        <w:tc>
          <w:tcPr>
            <w:tcW w:w="2339" w:type="dxa"/>
          </w:tcPr>
          <w:p w14:paraId="5A17B8E3" w14:textId="77777777" w:rsidR="007F05BC" w:rsidRPr="00DD392A" w:rsidRDefault="00DD392A">
            <w:pPr>
              <w:rPr>
                <w:lang w:val="en-US"/>
              </w:rPr>
            </w:pPr>
            <w:r w:rsidRPr="00DD392A">
              <w:rPr>
                <w:lang w:val="en-US"/>
              </w:rPr>
              <w:t xml:space="preserve">branch factor 8.5; </w:t>
            </w:r>
            <w:r w:rsidRPr="00DD392A">
              <w:rPr>
                <w:lang w:val="en-US"/>
              </w:rPr>
              <w:t>fused lower in the incoherent cell on 16 of 17, p = 3.1 × 10⁻⁵</w:t>
            </w:r>
          </w:p>
        </w:tc>
        <w:tc>
          <w:tcPr>
            <w:tcW w:w="2339" w:type="dxa"/>
          </w:tcPr>
          <w:p w14:paraId="5B1CC477" w14:textId="77777777" w:rsidR="007F05BC" w:rsidRPr="00DD392A" w:rsidRDefault="00DD392A">
            <w:pPr>
              <w:rPr>
                <w:lang w:val="en-US"/>
              </w:rPr>
            </w:pPr>
            <w:r w:rsidRPr="00DD392A">
              <w:rPr>
                <w:lang w:val="en-US"/>
              </w:rPr>
              <w:t>met, with the fused forecast moving in the unexpected direction</w:t>
            </w:r>
          </w:p>
        </w:tc>
      </w:tr>
      <w:tr w:rsidR="007F05BC" w14:paraId="2930B376" w14:textId="77777777">
        <w:tc>
          <w:tcPr>
            <w:tcW w:w="2339" w:type="dxa"/>
          </w:tcPr>
          <w:p w14:paraId="06257375" w14:textId="77777777" w:rsidR="007F05BC" w:rsidRPr="00DD392A" w:rsidRDefault="00DD392A">
            <w:pPr>
              <w:rPr>
                <w:lang w:val="en-US"/>
              </w:rPr>
            </w:pPr>
            <w:r w:rsidRPr="00DD392A">
              <w:rPr>
                <w:lang w:val="en-US"/>
              </w:rPr>
              <w:t>Pooled effect reported with heterogeneity and a prediction interval</w:t>
            </w:r>
          </w:p>
        </w:tc>
        <w:tc>
          <w:tcPr>
            <w:tcW w:w="2339" w:type="dxa"/>
          </w:tcPr>
          <w:p w14:paraId="65CAF198" w14:textId="77777777" w:rsidR="007F05BC" w:rsidRDefault="00DD392A">
            <w:proofErr w:type="spellStart"/>
            <w:r>
              <w:t>reporting</w:t>
            </w:r>
            <w:proofErr w:type="spellEnd"/>
            <w:r>
              <w:t xml:space="preserve"> </w:t>
            </w:r>
            <w:proofErr w:type="spellStart"/>
            <w:r>
              <w:t>requirement</w:t>
            </w:r>
            <w:proofErr w:type="spellEnd"/>
          </w:p>
        </w:tc>
        <w:tc>
          <w:tcPr>
            <w:tcW w:w="2339" w:type="dxa"/>
          </w:tcPr>
          <w:p w14:paraId="35A346DC" w14:textId="77777777" w:rsidR="007F05BC" w:rsidRPr="00DD392A" w:rsidRDefault="00DD392A">
            <w:pPr>
              <w:rPr>
                <w:lang w:val="en-US"/>
              </w:rPr>
            </w:pPr>
            <w:r w:rsidRPr="00DD392A">
              <w:rPr>
                <w:lang w:val="en-US"/>
              </w:rPr>
              <w:t>summary effect ≈0, p = 0.752; I2 = 18.</w:t>
            </w:r>
            <w:r w:rsidRPr="00DD392A">
              <w:rPr>
                <w:lang w:val="en-US"/>
              </w:rPr>
              <w:t xml:space="preserve">4 %, </w:t>
            </w:r>
            <w:proofErr w:type="gramStart"/>
            <w:r w:rsidRPr="00DD392A">
              <w:rPr>
                <w:lang w:val="en-US"/>
              </w:rPr>
              <w:t>Q(</w:t>
            </w:r>
            <w:proofErr w:type="gramEnd"/>
            <w:r w:rsidRPr="00DD392A">
              <w:rPr>
                <w:lang w:val="en-US"/>
              </w:rPr>
              <w:t>16) = 19.6, p = 0.238</w:t>
            </w:r>
          </w:p>
        </w:tc>
        <w:tc>
          <w:tcPr>
            <w:tcW w:w="2339" w:type="dxa"/>
          </w:tcPr>
          <w:p w14:paraId="53E23C50" w14:textId="77777777" w:rsidR="007F05BC" w:rsidRDefault="00DD392A">
            <w:proofErr w:type="spellStart"/>
            <w:r>
              <w:t>met</w:t>
            </w:r>
            <w:proofErr w:type="spellEnd"/>
          </w:p>
        </w:tc>
      </w:tr>
    </w:tbl>
    <w:p w14:paraId="4C618D02"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Two limitations of the replication should be stated with it. Five seeds give four degrees of freedom for the seed component, so intervals are wide and the median across units, rather than any individual estimate, is what t</w:t>
      </w:r>
      <w:r w:rsidRPr="00DD392A">
        <w:rPr>
          <w:rFonts w:ascii="Times New Roman" w:hAnsi="Times New Roman" w:cs="Times New Roman"/>
          <w:lang w:val="en-US"/>
        </w:rPr>
        <w:t>he design supports. And clients were sampled at random from an eligible pool rather than stratified by sector or size, so the result is not a statement about ECL consumers in general. Two domains, finally, are not a sample of domains: the claim is strength</w:t>
      </w:r>
      <w:r w:rsidRPr="00DD392A">
        <w:rPr>
          <w:rFonts w:ascii="Times New Roman" w:hAnsi="Times New Roman" w:cs="Times New Roman"/>
          <w:lang w:val="en-US"/>
        </w:rPr>
        <w:t>ened, not established.</w:t>
      </w:r>
    </w:p>
    <w:p>
      <w:pPr>
        <w:pStyle w:val="2"/>
      </w:pPr>
      <w:r>
        <w:t>Result 6: feature identity beyond energy forecasting</w:t>
      </w:r>
    </w:p>
    <w:p>
      <w:pPr>
        <w:pStyle w:val="3"/>
      </w:pPr>
      <w:r>
        <w:t>5.6.1. Pooled effects across OpenML-CC18</w:t>
      </w:r>
    </w:p>
    <w:p>
      <w:pPr/>
      <w:r>
        <w:t>Removing the feature-identity term increases balanced error on 14 of 17 tasks. The REML–Hartung–Knapp pooled increase is 0.930 percentage points (95% CI [−0.039, 1.898], p=0.059; I²=71.6%). The primary estimate is therefore directionally positive but does not exclude a null average effect. Cross-entropy increases on 13 tasks, with a pooled effect of 0.0238 (95% CI [0.0015, 0.0461], p=0.038; I²=83.9%). High heterogeneity for both metrics precludes a universal claim.</w:t>
      </w:r>
    </w:p>
    <w:p>
      <w:pPr/>
      <w:r>
        <w:t>Table 10. Non-energy feature-identity ablation on 17 OpenML-CC18 tasks. Positive effects indicate worse performance after removing the tokenizer identity term. Intervals use REML with modified Hartung–Knapp inference.</w:t>
      </w:r>
    </w:p>
    <w:tbl>
      <w:tblPr>
        <w:tblW w:type="auto" w:w="0"/>
        <w:tblLayout w:type="fixed"/>
        <w:tblLook w:firstColumn="1" w:firstRow="1" w:lastColumn="0" w:lastRow="0" w:noHBand="0" w:noVBand="1" w:val="04A0"/>
      </w:tblPr>
      <w:tblGrid>
        <w:gridCol w:w="1871"/>
        <w:gridCol w:w="1871"/>
        <w:gridCol w:w="1871"/>
        <w:gridCol w:w="1871"/>
        <w:gridCol w:w="1871"/>
      </w:tblGrid>
      <w:tr>
        <w:trPr>
          <w:tblHeader w:val="true"/>
        </w:trPr>
        <w:tc>
          <w:tcPr>
            <w:tcW w:type="dxa" w:w="1700"/>
          </w:tcPr>
          <w:p>
            <w:pPr>
              <w:spacing w:after="0" w:before="0"/>
              <w:jc w:val="left"/>
            </w:pPr>
            <w:r>
              <w:rPr>
                <w:b/>
                <w:sz w:val="17"/>
              </w:rPr>
              <w:t>Metric</w:t>
            </w:r>
          </w:p>
        </w:tc>
        <w:tc>
          <w:tcPr>
            <w:tcW w:type="dxa" w:w="1133"/>
          </w:tcPr>
          <w:p>
            <w:pPr>
              <w:spacing w:after="0" w:before="0"/>
              <w:jc w:val="center"/>
            </w:pPr>
            <w:r>
              <w:rPr>
                <w:b/>
                <w:sz w:val="17"/>
              </w:rPr>
              <w:t>Positive tasks</w:t>
            </w:r>
          </w:p>
        </w:tc>
        <w:tc>
          <w:tcPr>
            <w:tcW w:type="dxa" w:w="1700"/>
          </w:tcPr>
          <w:p>
            <w:pPr>
              <w:spacing w:after="0" w:before="0"/>
              <w:jc w:val="center"/>
            </w:pPr>
            <w:r>
              <w:rPr>
                <w:b/>
                <w:sz w:val="17"/>
              </w:rPr>
              <w:t>Pooled effect</w:t>
            </w:r>
          </w:p>
        </w:tc>
        <w:tc>
          <w:tcPr>
            <w:tcW w:type="dxa" w:w="2324"/>
          </w:tcPr>
          <w:p>
            <w:pPr>
              <w:spacing w:after="0" w:before="0"/>
              <w:jc w:val="center"/>
            </w:pPr>
            <w:r>
              <w:rPr>
                <w:b/>
                <w:sz w:val="17"/>
              </w:rPr>
              <w:t>95% HK CI</w:t>
            </w:r>
          </w:p>
        </w:tc>
        <w:tc>
          <w:tcPr>
            <w:tcW w:type="dxa" w:w="1133"/>
          </w:tcPr>
          <w:p>
            <w:pPr>
              <w:spacing w:after="0" w:before="0"/>
              <w:jc w:val="center"/>
            </w:pPr>
            <w:r>
              <w:rPr>
                <w:b/>
                <w:sz w:val="17"/>
              </w:rPr>
              <w:t>I²</w:t>
            </w:r>
          </w:p>
        </w:tc>
      </w:tr>
      <w:tr>
        <w:tc>
          <w:tcPr>
            <w:tcW w:type="dxa" w:w="1700"/>
          </w:tcPr>
          <w:p>
            <w:pPr>
              <w:spacing w:after="0" w:before="0"/>
              <w:jc w:val="left"/>
            </w:pPr>
            <w:r>
              <w:rPr>
                <w:sz w:val="17"/>
              </w:rPr>
              <w:t>Balanced error, pp</w:t>
            </w:r>
          </w:p>
        </w:tc>
        <w:tc>
          <w:tcPr>
            <w:tcW w:type="dxa" w:w="1133"/>
          </w:tcPr>
          <w:p>
            <w:pPr>
              <w:spacing w:after="0" w:before="0"/>
              <w:jc w:val="center"/>
            </w:pPr>
            <w:r>
              <w:rPr>
                <w:sz w:val="17"/>
              </w:rPr>
              <w:t>14/17</w:t>
            </w:r>
          </w:p>
        </w:tc>
        <w:tc>
          <w:tcPr>
            <w:tcW w:type="dxa" w:w="1700"/>
          </w:tcPr>
          <w:p>
            <w:pPr>
              <w:spacing w:after="0" w:before="0"/>
              <w:jc w:val="center"/>
            </w:pPr>
            <w:r>
              <w:rPr>
                <w:sz w:val="17"/>
              </w:rPr>
              <w:t>+0.930</w:t>
            </w:r>
          </w:p>
        </w:tc>
        <w:tc>
          <w:tcPr>
            <w:tcW w:type="dxa" w:w="2324"/>
          </w:tcPr>
          <w:p>
            <w:pPr>
              <w:spacing w:after="0" w:before="0"/>
              <w:jc w:val="center"/>
            </w:pPr>
            <w:r>
              <w:rPr>
                <w:sz w:val="17"/>
              </w:rPr>
              <w:t>[−0.039, 1.898]</w:t>
            </w:r>
          </w:p>
        </w:tc>
        <w:tc>
          <w:tcPr>
            <w:tcW w:type="dxa" w:w="1133"/>
          </w:tcPr>
          <w:p>
            <w:pPr>
              <w:spacing w:after="0" w:before="0"/>
              <w:jc w:val="center"/>
            </w:pPr>
            <w:r>
              <w:rPr>
                <w:sz w:val="17"/>
              </w:rPr>
              <w:t>71.6%</w:t>
            </w:r>
          </w:p>
        </w:tc>
      </w:tr>
      <w:tr>
        <w:tc>
          <w:tcPr>
            <w:tcW w:type="dxa" w:w="1700"/>
          </w:tcPr>
          <w:p>
            <w:pPr>
              <w:spacing w:after="0" w:before="0"/>
              <w:jc w:val="left"/>
            </w:pPr>
            <w:r>
              <w:rPr>
                <w:sz w:val="17"/>
              </w:rPr>
              <w:t>Cross-entropy</w:t>
            </w:r>
          </w:p>
        </w:tc>
        <w:tc>
          <w:tcPr>
            <w:tcW w:type="dxa" w:w="1133"/>
          </w:tcPr>
          <w:p>
            <w:pPr>
              <w:spacing w:after="0" w:before="0"/>
              <w:jc w:val="center"/>
            </w:pPr>
            <w:r>
              <w:rPr>
                <w:sz w:val="17"/>
              </w:rPr>
              <w:t>13/17</w:t>
            </w:r>
          </w:p>
        </w:tc>
        <w:tc>
          <w:tcPr>
            <w:tcW w:type="dxa" w:w="1700"/>
          </w:tcPr>
          <w:p>
            <w:pPr>
              <w:spacing w:after="0" w:before="0"/>
              <w:jc w:val="center"/>
            </w:pPr>
            <w:r>
              <w:rPr>
                <w:sz w:val="17"/>
              </w:rPr>
              <w:t>+0.0238</w:t>
            </w:r>
          </w:p>
        </w:tc>
        <w:tc>
          <w:tcPr>
            <w:tcW w:type="dxa" w:w="2324"/>
          </w:tcPr>
          <w:p>
            <w:pPr>
              <w:spacing w:after="0" w:before="0"/>
              <w:jc w:val="center"/>
            </w:pPr>
            <w:r>
              <w:rPr>
                <w:sz w:val="17"/>
              </w:rPr>
              <w:t>[0.0015, 0.0461]</w:t>
            </w:r>
          </w:p>
        </w:tc>
        <w:tc>
          <w:tcPr>
            <w:tcW w:type="dxa" w:w="1133"/>
          </w:tcPr>
          <w:p>
            <w:pPr>
              <w:spacing w:after="0" w:before="0"/>
              <w:jc w:val="center"/>
            </w:pPr>
            <w:r>
              <w:rPr>
                <w:sz w:val="17"/>
              </w:rPr>
              <w:t>83.9%</w:t>
            </w:r>
          </w:p>
        </w:tc>
      </w:tr>
    </w:tbl>
    <w:p>
      <w:pPr>
        <w:pStyle w:val="3"/>
      </w:pPr>
      <w:r>
        <w:t>5.6.2. Metric dependence and sensitivity</w:t>
      </w:r>
    </w:p>
    <w:p>
      <w:pPr/>
      <w:r>
        <w:t>The median estimated seed share is 3.0% for balanced error and 50.4% for cross-entropy; the share exceeds one half on 2 and 9 tasks, respectively. This contrast is expected in part from metric discretization: balanced error changes only when an argmax label changes, whereas cross-entropy responds to every probability change. Prediction-flip rate has a moderate positive association with the balanced-error seed share (Pearson r=0.39; Spearman ρ=0.53), but the diagnostic is exploratory and the Pearson association is not significant at 0.05.</w:t>
      </w:r>
    </w:p>
    <w:p>
      <w:pPr/>
      <w:r>
        <w:t>The official OpenML folds were smaller than the 20% hold-outs anticipated during selection. Restricting to n_test≥150 leaves 15 tasks and yields pooled effects of 0.629 percentage points for balanced error (95% CI [−0.166, 1.424]) and 0.0205 for cross-entropy (95% CI [−0.0024, 0.0434]). At n_test≥250, 11 tasks remain and the corresponding estimates are 0.614 [−0.185, 1.412] and 0.0175 [−0.0042, 0.0392]. Direction is stable, but the cross-entropy significance is not. The benchmark therefore supports a heterogeneous, metric-dependent identity benefit rather than a general performance law.</w:t>
      </w:r>
    </w:p>
    <w:p w14:paraId="556B6915" w14:textId="77777777" w:rsidR="00147E50" w:rsidRPr="00F22774" w:rsidRDefault="004A2954" w:rsidP="004A2954">
      <w:pPr>
        <w:pStyle w:val="1"/>
        <w:numPr>
          <w:ilvl w:val="0"/>
          <w:numId w:val="1"/>
        </w:numPr>
        <w:spacing w:before="400" w:after="200"/>
        <w:jc w:val="both"/>
        <w:rPr>
          <w:lang w:val="en-US"/>
        </w:rPr>
      </w:pPr>
      <w:r>
        <w:rPr>
          <w:lang w:val="en-US"/>
        </w:rPr>
        <w:t>Recommendations and threats to validity</w:t>
      </w:r>
    </w:p>
    <w:p w14:paraId="14AB1EED" w14:textId="77777777" w:rsidR="004A2954" w:rsidRPr="00F22774" w:rsidRDefault="004A2954" w:rsidP="004A2954">
      <w:pPr>
        <w:pStyle w:val="2"/>
        <w:numPr>
          <w:ilvl w:val="1"/>
          <w:numId w:val="1"/>
        </w:numPr>
        <w:rPr>
          <w:lang w:val="en-US"/>
        </w:rPr>
      </w:pPr>
      <w:r>
        <w:rPr>
          <w:lang w:val="en-US"/>
        </w:rPr>
        <w:t xml:space="preserve"> Recommendations for evaluation practice</w:t>
      </w:r>
    </w:p>
    <w:p w14:paraId="03CE2AD7"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 xml:space="preserve">The following are addressed to anyone establishing that an architectural component contributes to a forecasting model. Each follows from a specific result above, and none requires data or computation beyond </w:t>
      </w:r>
      <w:r>
        <w:rPr>
          <w:rFonts w:ascii="Times New Roman" w:hAnsi="Times New Roman" w:cs="Times New Roman"/>
          <w:lang w:val="en-US"/>
        </w:rPr>
        <w:lastRenderedPageBreak/>
        <w:t>what such a study already performs. We state them as a protocol rather than as principles because the failures we document are not failures of principle: the studies that produce them are careful, and the procedures they use are the customary ones.</w:t>
      </w:r>
    </w:p>
    <w:p w14:paraId="174E2B30" w14:textId="77777777" w:rsidR="004A2954" w:rsidRPr="00F22774" w:rsidRDefault="005A00E2" w:rsidP="004A2954">
      <w:pPr>
        <w:pStyle w:val="3"/>
        <w:ind w:firstLine="426"/>
        <w:rPr>
          <w:lang w:val="en-US"/>
        </w:rPr>
      </w:pPr>
      <w:r>
        <w:rPr>
          <w:lang w:val="en-US"/>
        </w:rPr>
        <w:t>6.1.1. Five that matter most</w:t>
      </w:r>
    </w:p>
    <w:p w14:paraId="2CDB82F1"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b/>
          <w:bCs/>
          <w:lang w:val="en-US"/>
        </w:rPr>
        <w:t xml:space="preserve">R1.  </w:t>
      </w:r>
      <w:r>
        <w:rPr>
          <w:rFonts w:ascii="Times New Roman" w:hAnsi="Times New Roman" w:cs="Times New Roman"/>
          <w:lang w:val="en-US"/>
        </w:rPr>
        <w:t>Report the output of each branch separately from the end-task metric whenever branches are combined adaptively. In our case the error of the decomposition branch varied by up to a factor of fourteen across configurations while the fused forecast moved by a few per cent, and a repair that fixed the branch on every household left the reported metric unchanged. Branch metrics cost nothing to compute and are the only place where the state of the component is visible.</w:t>
      </w:r>
    </w:p>
    <w:p w14:paraId="7C3B1B5C" w14:textId="77777777" w:rsidR="004A2954" w:rsidRPr="00DD392A" w:rsidRDefault="004A2954" w:rsidP="004A2954">
      <w:pPr>
        <w:jc w:val="both"/>
        <w:rPr>
          <w:rFonts w:ascii="Times New Roman" w:hAnsi="Times New Roman" w:cs="Times New Roman"/>
          <w:lang w:val="en-US"/>
        </w:rPr>
      </w:pPr>
      <w:r w:rsidRPr="00DD392A">
        <w:rPr>
          <w:rFonts w:ascii="Times New Roman" w:hAnsi="Times New Roman" w:cs="Times New Roman"/>
          <w:lang w:val="en-US"/>
        </w:rPr>
        <w:t>R2.  Estimate the variance contributed by stochastic training, not only that contributed by the finite evaluation set, and report the two separately. Under the sample sizes used here the seed component accounts for a median of 83 per cent of the variance of the estimated effect in both domains we examined; a majority contribution from training randomness could be ruled out on no unit in any configuration, and a minority contribution could be ruled out on 10 units of 17 in the primary combination. An interval built on evaluation-set resampling alone describes about a fifth of the uncertainty it appears to describe.</w:t>
      </w:r>
    </w:p>
    <w:p w14:paraId="02958107"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b/>
          <w:bCs/>
          <w:lang w:val="en-US"/>
        </w:rPr>
        <w:t xml:space="preserve">R3.  </w:t>
      </w:r>
      <w:r>
        <w:rPr>
          <w:rFonts w:ascii="Times New Roman" w:hAnsi="Times New Roman" w:cs="Times New Roman"/>
          <w:lang w:val="en-US"/>
        </w:rPr>
        <w:t>Where the question can be posed as a contrast within a trained model, prefer an intervention to a retraining ablation. Altering the correspondence between components and their identity signals at inference measures what the trained model does with the signal, at inference cost and with far greater stability: our intervention estimates correlated at 0.81 between a three-seed and a five-seed run, the corresponding ablation estimates at 0.05.</w:t>
      </w:r>
    </w:p>
    <w:p w14:paraId="3C838C89" w14:textId="77777777" w:rsidR="004A2954" w:rsidRPr="00DD392A" w:rsidRDefault="004A2954" w:rsidP="004A2954">
      <w:pPr>
        <w:jc w:val="both"/>
        <w:rPr>
          <w:rFonts w:ascii="Times New Roman" w:hAnsi="Times New Roman" w:cs="Times New Roman"/>
          <w:lang w:val="en-US"/>
        </w:rPr>
      </w:pPr>
      <w:r w:rsidRPr="00DD392A">
        <w:rPr>
          <w:rFonts w:ascii="Times New Roman" w:hAnsi="Times New Roman" w:cs="Times New Roman"/>
          <w:lang w:val="en-US"/>
        </w:rPr>
        <w:t>R4.  Compute the number of units required before running the study. With full variance propagation, detecting a mean effect of one per cent of household error at 80 per cent power would have required between 11 and 41 households in our setting, depending on whether the mean within-household variance is made resistant to a single degenerate unit; the study that motivated this work used five. A power calculation from a pilot decomposition costs nothing and would have made the original design visibly insufficient.</w:t>
      </w:r>
    </w:p>
    <w:p w14:paraId="1DB336F2"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b/>
          <w:bCs/>
          <w:lang w:val="en-US"/>
        </w:rPr>
        <w:t xml:space="preserve">R5.  </w:t>
      </w:r>
      <w:r>
        <w:rPr>
          <w:rFonts w:ascii="Times New Roman" w:hAnsi="Times New Roman" w:cs="Times New Roman"/>
          <w:lang w:val="en-US"/>
        </w:rPr>
        <w:t>Report a prediction interval for a new unit alongside the pooled estimate. The pooled effect answers a question about the average of a population of households; a practitioner is choosing for one household, and the interval that answers that question is wider, in our case [-0.93, +0.31] W against a pooled estimate of - 0.31 W.</w:t>
      </w:r>
    </w:p>
    <w:p w14:paraId="7F4F9DDA" w14:textId="77777777" w:rsidR="004A2954" w:rsidRPr="00F22774" w:rsidRDefault="005A00E2" w:rsidP="004A2954">
      <w:pPr>
        <w:pStyle w:val="3"/>
        <w:ind w:firstLine="426"/>
        <w:rPr>
          <w:lang w:val="en-US"/>
        </w:rPr>
      </w:pPr>
      <w:r>
        <w:rPr>
          <w:lang w:val="en-US"/>
        </w:rPr>
        <w:t>6.1.2. Seven further points</w:t>
      </w:r>
    </w:p>
    <w:p w14:paraId="2C67C063"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The remainder are summarized in Table 7. Each follows from a result reported above and none requires additional data.</w:t>
      </w:r>
    </w:p>
    <w:p w14:paraId="234C6A1D" w14:textId="77777777" w:rsidR="00D5053E" w:rsidRPr="00F22774" w:rsidRDefault="00D5053E" w:rsidP="004A2954">
      <w:pPr>
        <w:jc w:val="both"/>
        <w:rPr>
          <w:rFonts w:ascii="Times New Roman" w:hAnsi="Times New Roman" w:cs="Times New Roman"/>
          <w:lang w:val="en-US"/>
        </w:rPr>
      </w:pPr>
      <w:r>
        <w:rPr>
          <w:rFonts w:ascii="Times New Roman" w:hAnsi="Times New Roman" w:cs="Times New Roman"/>
          <w:lang w:val="en-US"/>
        </w:rPr>
        <w:t>Table 7. Seven further recommendations, with the result in this study from which each follows. The five practices judged most consequential are given in full in Section 6.1.1; none of the twelve requires data or computation beyond what an ablation study already performs, and their cost is discussed in Section 6.1.3.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7"/>
        <w:gridCol w:w="3738"/>
        <w:gridCol w:w="4880"/>
      </w:tblGrid>
      <w:tr w:rsidR="004A2954" w:rsidRPr="00F22774" w14:paraId="6BB787D5" w14:textId="77777777" w:rsidTr="00AE3E64">
        <w:trPr>
          <w:tblHeader w:val="true"/>
        </w:trPr>
        <w:tc>
          <w:tcPr>
            <w:tcW w:w="700" w:type="dxa"/>
          </w:tcPr>
          <w:p w14:paraId="458F8D56" w14:textId="77777777" w:rsidR="004A2954" w:rsidRPr="00F22774" w:rsidRDefault="004A2954" w:rsidP="00AE3E64">
            <w:pPr>
              <w:spacing w:before="40" w:after="40"/>
              <w:rPr>
                <w:rFonts w:ascii="Times New Roman" w:hAnsi="Times New Roman" w:cs="Times New Roman"/>
                <w:lang w:val="en-US"/>
              </w:rPr>
            </w:pPr>
          </w:p>
        </w:tc>
        <w:tc>
          <w:tcPr>
            <w:tcW w:w="3600" w:type="dxa"/>
          </w:tcPr>
          <w:p w14:paraId="2F2DFBED"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b/>
                <w:bCs/>
              </w:rPr>
              <w:t>Recommendation</w:t>
            </w:r>
          </w:p>
        </w:tc>
        <w:tc>
          <w:tcPr>
            <w:tcW w:w="4700" w:type="dxa"/>
          </w:tcPr>
          <w:p w14:paraId="12268B37"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b/>
                <w:bCs/>
              </w:rPr>
              <w:t>Basis in this study</w:t>
            </w:r>
          </w:p>
        </w:tc>
      </w:tr>
      <w:tr w:rsidR="004A2954" w:rsidRPr="00DD392A" w14:paraId="110C6013" w14:textId="77777777" w:rsidTr="00AE3E64">
        <w:tc>
          <w:tcPr>
            <w:tcW w:w="700" w:type="dxa"/>
          </w:tcPr>
          <w:p w14:paraId="7AE2E1D3"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t>R6</w:t>
            </w:r>
          </w:p>
        </w:tc>
        <w:tc>
          <w:tcPr>
            <w:tcW w:w="3600" w:type="dxa"/>
          </w:tcPr>
          <w:p w14:paraId="6CFE47C5"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Benchmark each branch against a trivial predictor, not only against competing architectures.</w:t>
            </w:r>
          </w:p>
        </w:tc>
        <w:tc>
          <w:tcPr>
            <w:tcW w:w="4700" w:type="dxa"/>
          </w:tcPr>
          <w:p w14:paraId="721454F6"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The decomposition branch was worse than a constant forecast on 11 of 17 households and the direct branch on 16 of 17, while the model containing them beat that baseline everywhere.</w:t>
            </w:r>
          </w:p>
        </w:tc>
      </w:tr>
      <w:tr w:rsidR="004A2954" w:rsidRPr="00DD392A" w14:paraId="30AD31B8" w14:textId="77777777" w:rsidTr="00AE3E64">
        <w:tc>
          <w:tcPr>
            <w:tcW w:w="700" w:type="dxa"/>
          </w:tcPr>
          <w:p w14:paraId="22CE7260"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t>R7</w:t>
            </w:r>
          </w:p>
        </w:tc>
        <w:tc>
          <w:tcPr>
            <w:tcW w:w="3600" w:type="dxa"/>
          </w:tcPr>
          <w:p w14:paraId="65068C90"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Check that auxiliary objectives are dimensionally consistent with the rule used to aggregate the quantities they constrain.</w:t>
            </w:r>
          </w:p>
        </w:tc>
        <w:tc>
          <w:tcPr>
            <w:tcW w:w="4700" w:type="dxa"/>
          </w:tcPr>
          <w:p w14:paraId="474B5949"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An auxiliary term driving a sum towards the target, combined with an aggregation forming an average, shrank the branch by the number of components; the defect was silent in every end-task measurement.</w:t>
            </w:r>
          </w:p>
        </w:tc>
      </w:tr>
      <w:tr w:rsidR="004A2954" w:rsidRPr="00DD392A" w14:paraId="16BCC9F5" w14:textId="77777777" w:rsidTr="00AE3E64">
        <w:tc>
          <w:tcPr>
            <w:tcW w:w="700" w:type="dxa"/>
          </w:tcPr>
          <w:p w14:paraId="7F591E68"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t>R8</w:t>
            </w:r>
          </w:p>
        </w:tc>
        <w:tc>
          <w:tcPr>
            <w:tcW w:w="3600" w:type="dxa"/>
          </w:tcPr>
          <w:p w14:paraId="18F06F53"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Pair any representational justification with a control task, and do not treat decodability as evidence of use.</w:t>
            </w:r>
          </w:p>
        </w:tc>
        <w:tc>
          <w:tcPr>
            <w:tcW w:w="4700" w:type="dxa"/>
          </w:tcPr>
          <w:p w14:paraId="5AEB7A39"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 xml:space="preserve">Median probe accuracy was 0.98 where removing the mechanism changed nothing and 0.95 where it </w:t>
            </w:r>
            <w:r>
              <w:rPr>
                <w:rFonts w:ascii="Times New Roman" w:hAnsi="Times New Roman" w:cs="Times New Roman"/>
                <w:lang w:val="en-US"/>
              </w:rPr>
              <w:lastRenderedPageBreak/>
              <w:t>changed something: the relation was, if anything, inverse.</w:t>
            </w:r>
          </w:p>
        </w:tc>
      </w:tr>
      <w:tr w:rsidR="004A2954" w:rsidRPr="00DD392A" w14:paraId="0A118F92" w14:textId="77777777" w:rsidTr="00AE3E64">
        <w:tc>
          <w:tcPr>
            <w:tcW w:w="700" w:type="dxa"/>
          </w:tcPr>
          <w:p w14:paraId="639C6909"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lastRenderedPageBreak/>
              <w:t>R9</w:t>
            </w:r>
          </w:p>
        </w:tc>
        <w:tc>
          <w:tcPr>
            <w:tcW w:w="3600" w:type="dxa"/>
          </w:tcPr>
          <w:p w14:paraId="02765E7B"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Use at least three independent training runs per configuration; treat a decomposition based on two as uninformative.</w:t>
            </w:r>
          </w:p>
        </w:tc>
        <w:tc>
          <w:tcPr>
            <w:tcW w:w="4700" w:type="dxa"/>
          </w:tcPr>
          <w:p w14:paraId="121350DB"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The variance component truncates at zero when the between-run mean square falls below the within-run one; at two runs this halved the median estimate, at three and above it was stable.</w:t>
            </w:r>
          </w:p>
        </w:tc>
      </w:tr>
      <w:tr w:rsidR="004A2954" w:rsidRPr="00DD392A" w14:paraId="79EC5E5B" w14:textId="77777777" w:rsidTr="00AE3E64">
        <w:tc>
          <w:tcPr>
            <w:tcW w:w="700" w:type="dxa"/>
          </w:tcPr>
          <w:p w14:paraId="5EBD8C62"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t>R10</w:t>
            </w:r>
          </w:p>
        </w:tc>
        <w:tc>
          <w:tcPr>
            <w:tcW w:w="3600" w:type="dxa"/>
          </w:tcPr>
          <w:p w14:paraId="28BF7C38"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Do not construct confidence intervals for a variance component by nonparametric bootstrap over few runs.</w:t>
            </w:r>
          </w:p>
        </w:tc>
        <w:tc>
          <w:tcPr>
            <w:tcW w:w="4700" w:type="dxa"/>
          </w:tcPr>
          <w:p w14:paraId="550D4A68"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Resampling five seeds with replacement drove the lower limit to zero on 15 of 17 households; the exact interval for balanced designs is informative at the same sample size.</w:t>
            </w:r>
          </w:p>
        </w:tc>
      </w:tr>
      <w:tr w:rsidR="004A2954" w:rsidRPr="00DD392A" w14:paraId="114BCF1C" w14:textId="77777777" w:rsidTr="00AE3E64">
        <w:tc>
          <w:tcPr>
            <w:tcW w:w="700" w:type="dxa"/>
          </w:tcPr>
          <w:p w14:paraId="7BECBC72"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t>R11</w:t>
            </w:r>
          </w:p>
        </w:tc>
        <w:tc>
          <w:tcPr>
            <w:tcW w:w="3600" w:type="dxa"/>
          </w:tcPr>
          <w:p w14:paraId="44065720"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State a threshold of practical significance before the results, in units the reader can apply, and keep it separate from statistical detectability.</w:t>
            </w:r>
          </w:p>
        </w:tc>
        <w:tc>
          <w:tcPr>
            <w:tcW w:w="4700" w:type="dxa"/>
          </w:tcPr>
          <w:p w14:paraId="42494E40"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Our most reliable effect was established by a sign test across households and simultaneously below the practical threshold on 12 of 17 households.</w:t>
            </w:r>
          </w:p>
        </w:tc>
      </w:tr>
      <w:tr w:rsidR="004A2954" w:rsidRPr="00DD392A" w14:paraId="17E61E09" w14:textId="77777777" w:rsidTr="00AE3E64">
        <w:tc>
          <w:tcPr>
            <w:tcW w:w="700" w:type="dxa"/>
          </w:tcPr>
          <w:p w14:paraId="24552131" w14:textId="77777777" w:rsidR="004A2954" w:rsidRPr="00F22774" w:rsidRDefault="004A2954" w:rsidP="00AE3E64">
            <w:pPr>
              <w:spacing w:before="40" w:after="40"/>
              <w:rPr>
                <w:rFonts w:ascii="Times New Roman" w:hAnsi="Times New Roman" w:cs="Times New Roman"/>
              </w:rPr>
            </w:pPr>
            <w:r>
              <w:rPr>
                <w:rFonts w:ascii="Times New Roman" w:hAnsi="Times New Roman" w:cs="Times New Roman"/>
              </w:rPr>
              <w:t>R12</w:t>
            </w:r>
          </w:p>
        </w:tc>
        <w:tc>
          <w:tcPr>
            <w:tcW w:w="3600" w:type="dxa"/>
          </w:tcPr>
          <w:p w14:paraId="70E71B3B"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Audit the evaluation data for degenerate segments before interpreting per-unit results.</w:t>
            </w:r>
          </w:p>
        </w:tc>
        <w:tc>
          <w:tcPr>
            <w:tcW w:w="4700" w:type="dxa"/>
          </w:tcPr>
          <w:p w14:paraId="6D0C9CBE" w14:textId="77777777" w:rsidR="004A2954" w:rsidRPr="00F22774" w:rsidRDefault="004A2954" w:rsidP="00AE3E64">
            <w:pPr>
              <w:spacing w:before="40" w:after="40"/>
              <w:rPr>
                <w:rFonts w:ascii="Times New Roman" w:hAnsi="Times New Roman" w:cs="Times New Roman"/>
                <w:lang w:val="en-US"/>
              </w:rPr>
            </w:pPr>
            <w:r>
              <w:rPr>
                <w:rFonts w:ascii="Times New Roman" w:hAnsi="Times New Roman" w:cs="Times New Roman"/>
                <w:lang w:val="en-US"/>
              </w:rPr>
              <w:t>Constant runs spanning the full horizon made 14.8 per cent of one household’s test targets trivially predictable; that household was the outlier in every analysis.</w:t>
            </w:r>
          </w:p>
        </w:tc>
      </w:tr>
    </w:tbl>
    <w:p w14:paraId="721B003B" w14:textId="77777777" w:rsidR="004A2954" w:rsidRPr="00F22774" w:rsidRDefault="005A00E2" w:rsidP="004A2954">
      <w:pPr>
        <w:pStyle w:val="3"/>
        <w:ind w:firstLine="426"/>
        <w:rPr>
          <w:lang w:val="en-US"/>
        </w:rPr>
      </w:pPr>
      <w:r>
        <w:rPr>
          <w:lang w:val="en-US"/>
        </w:rPr>
        <w:t xml:space="preserve">6.1.3. What </w:t>
      </w:r>
      <w:proofErr w:type="gramStart"/>
      <w:r>
        <w:rPr>
          <w:lang w:val="en-US"/>
        </w:rPr>
        <w:t>this costs</w:t>
      </w:r>
      <w:proofErr w:type="gramEnd"/>
    </w:p>
    <w:p w14:paraId="10E4C3C8" w14:textId="77777777" w:rsidR="004A2954" w:rsidRPr="00DD392A" w:rsidRDefault="004A2954" w:rsidP="004A2954">
      <w:pPr>
        <w:jc w:val="both"/>
        <w:rPr>
          <w:rFonts w:ascii="Times New Roman" w:hAnsi="Times New Roman" w:cs="Times New Roman"/>
          <w:lang w:val="en-US"/>
        </w:rPr>
      </w:pPr>
      <w:r w:rsidRPr="00DD392A">
        <w:rPr>
          <w:rFonts w:ascii="Times New Roman" w:hAnsi="Times New Roman" w:cs="Times New Roman"/>
          <w:lang w:val="en-US"/>
        </w:rPr>
        <w:t>A reader may reasonably ask whether this protocol is affordable. The experiments behind this paper required five training runs for each of seventeen households and eight configurations, plus 255 runs for the replication of Section 5.5, which is a substantial budget and larger than most groups will want to spend. It is also more than the recommendations require, and the distinction matters: the generality check of Section 5.2.6 added 204 runs at about seven GPU-hours, the auxiliary-weight control of Section 5.1.3 a further 85, and the gate experiment of Section 5.2.7 a further 170.</w:t>
      </w:r>
    </w:p>
    <w:p w14:paraId="33379C4F"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The branch diagnostics of R1 and R6, the consistency check of R7 and the data audit of R12 are free: they read artefacts that training has already produced. The variance decomposition of R2 needs three runs rather than one, which triples the cost of the ablation but not of the study, since the data preparation and the evaluation are unchanged. The power calculation of R4 needs only a pilot decomposition and is best done before the expensive part rather than after.</w:t>
      </w:r>
    </w:p>
    <w:p w14:paraId="77745591" w14:textId="77777777" w:rsidR="004A2954" w:rsidRPr="00F22774" w:rsidRDefault="004A2954" w:rsidP="004A2954">
      <w:pPr>
        <w:jc w:val="both"/>
        <w:rPr>
          <w:rFonts w:ascii="Times New Roman" w:hAnsi="Times New Roman" w:cs="Times New Roman"/>
          <w:lang w:val="en-US"/>
        </w:rPr>
      </w:pPr>
      <w:r w:rsidRPr="00DD392A">
        <w:rPr>
          <w:rFonts w:ascii="Times New Roman" w:hAnsi="Times New Roman" w:cs="Times New Roman"/>
          <w:lang w:val="en-US"/>
        </w:rPr>
        <w:t>The intervention route of R3 is the honest answer to the cost question.</w:t>
      </w:r>
      <w:r>
        <w:rPr>
          <w:rFonts w:ascii="Times New Roman" w:hAnsi="Times New Roman" w:cs="Times New Roman"/>
          <w:b/>
          <w:bCs/>
          <w:lang w:val="en-US"/>
        </w:rPr>
        <w:t xml:space="preserve"> </w:t>
      </w:r>
      <w:r>
        <w:rPr>
          <w:rFonts w:ascii="Times New Roman" w:hAnsi="Times New Roman" w:cs="Times New Roman"/>
          <w:lang w:val="en-US"/>
        </w:rPr>
        <w:t>Its estimates were an order of magnitude more stable than the retraining comparison at the same number of seeds, and it requires no training at all beyond the models one has already fitted. Where the scientific question can be posed as a within-model contrast, and for a component that acts at inference it usually can, an investigator obtains a better-determined answer for the cost of a forward pass. The expensive protocol is what we needed to establish that this is so; it is not what we recommend as routine.</w:t>
      </w:r>
    </w:p>
    <w:p w14:paraId="450397D5" w14:textId="77777777" w:rsidR="004A2954" w:rsidRPr="00F22774" w:rsidRDefault="004A2954" w:rsidP="004A2954">
      <w:pPr>
        <w:pStyle w:val="2"/>
        <w:numPr>
          <w:ilvl w:val="1"/>
          <w:numId w:val="1"/>
        </w:numPr>
        <w:rPr>
          <w:lang w:val="en-US"/>
        </w:rPr>
      </w:pPr>
      <w:r>
        <w:rPr>
          <w:lang w:val="en-US"/>
        </w:rPr>
        <w:t xml:space="preserve"> Threats to validity</w:t>
      </w:r>
    </w:p>
    <w:p w14:paraId="35E49F78" w14:textId="77777777" w:rsidR="004A2954" w:rsidRPr="00F22774" w:rsidRDefault="005A00E2" w:rsidP="004A2954">
      <w:pPr>
        <w:pStyle w:val="3"/>
        <w:ind w:firstLine="426"/>
        <w:rPr>
          <w:lang w:val="en-US"/>
        </w:rPr>
      </w:pPr>
      <w:r>
        <w:rPr>
          <w:lang w:val="en-US"/>
        </w:rPr>
        <w:t>6.2.1. Scope of the variance result</w:t>
      </w:r>
    </w:p>
    <w:p w14:paraId="1EC69750" w14:textId="77777777" w:rsidR="004A2954" w:rsidRPr="00F22774" w:rsidRDefault="004A2954" w:rsidP="004A2954">
      <w:pPr>
        <w:jc w:val="both"/>
        <w:rPr>
          <w:rFonts w:ascii="Times New Roman" w:hAnsi="Times New Roman" w:cs="Times New Roman"/>
          <w:lang w:val="en-US"/>
        </w:rPr>
      </w:pPr>
      <w:r>
        <w:t>The share of variance attributable to training randomness is not a constant of nature. It depends on the number of seeds and of evaluation windows, since the window component is divided by the latter and the seed component only by the former; we report the seed-to-window variance ratio alongside the share for this reason, and Section 5.5.4 shows that even the ratio is only approximately invariant at five seeds. It depends on the architecture, and we can say by how much: Section 5.2.6 repeats the decomposition on a PatchTST and on a BiLSTM, neither of which decomposes the signal or fuses branches through a learned gate, and the seed-to-window variance ratio falls from a median of 24 to 5.9 and 2.4. It depends on the domain: the preregistered replication of Section 5.5 returns the same median share of 83 per cent on commercial and industrial consumers but a seed-to-window variance ratio of 4.9. The ordering of the two components survives every one of these changes - the seed component remains of the same order as the evaluation component or larger, and is almost nowhere confidently in the minority - but the dominance by an order of magnitude reported in Section 5.2.3, and the figure of about twenty-five runs that follows from it, belong to the design regime in which they were measured and must not be carried over. The share was measured at one horizon and one model size, and we have not varied either. The OpenML extension sharpens this limitation: the median seed share is only 3.0% on discrete balanced error but 50.4% on continuous cross-entropy under the same fitted models. A variance share is therefore a property of an architecture–training–metric–evaluation design, not of an architecture alone.</w:t>
      </w:r>
    </w:p>
    <w:p w14:paraId="43A78DF0"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The share is also imprecisely estimated at five seeds. The model-based interval has a median lower limit of 51 per cent on the primary combination and a median width of some 47 percentage points, and on two households the point estimate truncates at zero. We therefore make the aggregate claim — that a majority contribution from training randomness can be ruled out on no household of the main experiment, and that a minority contribution can be ruled out on 10 of 17 — rather than any statement about a particular household. The two are distinct, and only the second establishes dominance.</w:t>
      </w:r>
    </w:p>
    <w:p w14:paraId="0DFCFAAB" w14:textId="77777777" w:rsidR="007F05BC" w:rsidRPr="00DD392A" w:rsidRDefault="00DD392A" w:rsidP="00DD392A">
      <w:pPr>
        <w:jc w:val="both"/>
        <w:rPr>
          <w:rFonts w:ascii="Times New Roman" w:hAnsi="Times New Roman" w:cs="Times New Roman"/>
          <w:lang w:val="en-US"/>
        </w:rPr>
      </w:pPr>
      <w:r w:rsidRPr="00DD392A">
        <w:rPr>
          <w:rFonts w:ascii="Times New Roman" w:hAnsi="Times New Roman" w:cs="Times New Roman"/>
          <w:lang w:val="en-US"/>
        </w:rPr>
        <w:t>The threshold of practical significance is likewise a judgement rather than a measurement. The household-level evidence anchoring it (Section 4.4) rests on a small number of simulation studies conducted in o</w:t>
      </w:r>
      <w:r w:rsidRPr="00DD392A">
        <w:rPr>
          <w:rFonts w:ascii="Times New Roman" w:hAnsi="Times New Roman" w:cs="Times New Roman"/>
          <w:lang w:val="en-US"/>
        </w:rPr>
        <w:t xml:space="preserve">ne market and under one tariff structure, and a reader who values a household forecast differently should read the sensitivity analysis instead: moving the threshold from one to two to five per cent changes the number of households above it from 7 to 4 to </w:t>
      </w:r>
      <w:r w:rsidRPr="00DD392A">
        <w:rPr>
          <w:rFonts w:ascii="Times New Roman" w:hAnsi="Times New Roman" w:cs="Times New Roman"/>
          <w:lang w:val="en-US"/>
        </w:rPr>
        <w:t>0, while leaving the pooled estimate and its prediction interval untouched.</w:t>
      </w:r>
    </w:p>
    <w:p w14:paraId="3D293ABA" w14:textId="77777777" w:rsidR="004A2954" w:rsidRPr="00F22774" w:rsidRDefault="005A00E2" w:rsidP="004A2954">
      <w:pPr>
        <w:pStyle w:val="3"/>
        <w:ind w:firstLine="426"/>
        <w:rPr>
          <w:lang w:val="en-US"/>
        </w:rPr>
      </w:pPr>
      <w:r>
        <w:rPr>
          <w:lang w:val="en-US"/>
        </w:rPr>
        <w:t>6.2.2. Sample and data</w:t>
      </w:r>
    </w:p>
    <w:p w14:paraId="71BECBC8"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 xml:space="preserve">Seventeen households from three collections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a larger sample than is usual for claims of this kind and remains small in absolute terms. Applying the test-segment threshold consistently reduces UK-DALE to a single household, so that collection contributes little beyond a check that the findings are not specific to the other two. We treat the household as the unit of observation and make no claim about differences between datasets, but the reader should be aware that the sample is dominated by one collection.</w:t>
      </w:r>
    </w:p>
    <w:p w14:paraId="3F9CAC2C"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Data quality varies substantially. Up to 29 per cent of the training data of one REFIT household is interpolated rather than measured, and four households contain runs of constant readings lasting up to a week. One household has degenerate test targets and behaves as an outlier throughout; we retain it and report sensitivity analyses rather than removing it, and the conclusions do not depend on it, but its presence should be borne in mind when reading per-household figures.</w:t>
      </w:r>
    </w:p>
    <w:p w14:paraId="7885D8D7" w14:textId="77777777" w:rsidR="004A2954" w:rsidRPr="00F22774" w:rsidRDefault="005A00E2" w:rsidP="004A2954">
      <w:pPr>
        <w:pStyle w:val="3"/>
        <w:ind w:firstLine="426"/>
        <w:rPr>
          <w:lang w:val="en-US"/>
        </w:rPr>
      </w:pPr>
      <w:r>
        <w:rPr>
          <w:lang w:val="en-US"/>
        </w:rPr>
        <w:t>6.2.3. Statistical assumptions</w:t>
      </w:r>
    </w:p>
    <w:p w14:paraId="41DCAD89"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The model-based interval for the seed share assumes normally distributed seed effects and equal window variance across seeds, and the two variance components are estimated under different models of the test windows: the within-seed mean square treats windows as independent, while the window component of the mean is estimated by a moving block bootstrap precisely because they are not. We quantify these departures rather than leave them as caveats, and report the detail in Supplementary Section S4. In summary: the bootstrap estimate exceeds the value implied by independence by a median factor of 1.13; varying the block length between one and ten moves the median share between 79 and 85 per cent against 83 at a block of three, and leaves 13 households of 17 above one half in every case. Of the two distributional assumptions, normality holds (pooled Shapiro–Wilk p = 0.23) and homogeneity fails (Levene rejects on 10 of 17 after correction) — and a coverage simulation shows that the procedure is insensitive to the one that fails and sensitive to the ones that hold. Nominal 95 per cent coverage is 95.0 per cent under threefold heteroscedasticity but 90.4 per cent under heavy-tailed seed effects; given the mild window dependence measured here, actual coverage is likely 93 to 94 per cent, and we read the intervals accordingly. The same simulation shows the point estimate biased downward at five seeds, so the shares we report are if anything conservative. Replacing the moment estimator of between-household variance with Paule–Mandel or REML moves the summary effect between −0.24 and −0.28 per cent, and the Hartung–Knapp correction widens the interval by 7 to 14 per cent; every variant leaves the prediction interval inside the band of practical irrelevance.</w:t>
      </w:r>
    </w:p>
    <w:p w14:paraId="49FA3D4E"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 xml:space="preserve">One earlier inconsistency has been removed rather than qualified. Reported forecast errors were previously computed from the average of five seed predictions, while the variance decomposition acts on per-seed effects; the two are different estimands and were reported side by side. All quantities in Sections 5.2 and </w:t>
      </w:r>
      <w:r>
        <w:rPr>
          <w:rFonts w:ascii="Times New Roman" w:hAnsi="Times New Roman" w:cs="Times New Roman"/>
          <w:lang w:val="en-US"/>
        </w:rPr>
        <w:lastRenderedPageBreak/>
        <w:t>5.4 are now computed from the per-seed effect, and the ensemble figures are retained only where the deployed predictor is the subject, in Section 5.1.</w:t>
      </w:r>
    </w:p>
    <w:p w14:paraId="200EBFB1" w14:textId="77777777" w:rsidR="004A2954" w:rsidRPr="00F22774" w:rsidRDefault="005A00E2" w:rsidP="004A2954">
      <w:pPr>
        <w:pStyle w:val="3"/>
        <w:ind w:firstLine="426"/>
        <w:rPr>
          <w:lang w:val="en-US"/>
        </w:rPr>
      </w:pPr>
      <w:r>
        <w:rPr>
          <w:lang w:val="en-US"/>
        </w:rPr>
        <w:t>6.2.4. The architectural findings</w:t>
      </w:r>
    </w:p>
    <w:p w14:paraId="70DCA16B"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b/>
          <w:bCs/>
          <w:lang w:val="en-US"/>
        </w:rPr>
        <w:t xml:space="preserve">The reconstruction of the earlier result is incomplete. </w:t>
      </w:r>
      <w:r>
        <w:rPr>
          <w:rFonts w:ascii="Times New Roman" w:hAnsi="Times New Roman" w:cs="Times New Roman"/>
          <w:lang w:val="en-US"/>
        </w:rPr>
        <w:t>The preprocessing code that produced the original figures was not the code used here, and it has not been examined; the trained artefacts from that study were built on a different chronological split and cannot be evaluated against the present test sets. We can therefore state what the effect is under a controlled protocol, and we can identify a defect that plausibly contributed to the original result, but we cannot demonstrate the causal chain from that defect to the specific numbers reported previously.</w:t>
      </w:r>
    </w:p>
    <w:p w14:paraId="5B2987F2"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The finding that the fused forecast is slightly better in the configuration whose internals are broken is statistically established but small in absolute terms, amounting to a few per cent of the error ratio. We do not advance the defective configuration as preferable, and we would not expect the direction to be stable in another setting. Its role in the argument is to show that repairing a branch need not improve the reported metric, not to rank the two configurations. A control that equalises the effective weight of the auxiliary term (Section 5.1.3) reduces the difference by roughly two thirds without removing it, so most of it reflects the strength of that term rather than the state of the branch; the residual is small and we do not build on it.</w:t>
      </w:r>
    </w:p>
    <w:p w14:paraId="63513557" w14:textId="77777777" w:rsidR="004A2954" w:rsidRPr="00F22774" w:rsidRDefault="004A2954" w:rsidP="004A2954">
      <w:pPr>
        <w:jc w:val="both"/>
        <w:rPr>
          <w:rFonts w:ascii="Times New Roman" w:hAnsi="Times New Roman" w:cs="Times New Roman"/>
          <w:lang w:val="en-US"/>
        </w:rPr>
      </w:pPr>
      <w:r>
        <w:rPr>
          <w:rFonts w:ascii="Times New Roman" w:hAnsi="Times New Roman" w:cs="Times New Roman"/>
          <w:lang w:val="en-US"/>
        </w:rPr>
        <w:t>One further limitation bears on the compensation bound. The single case in which the gate fails to absorb a branch failure is also the household with degenerate test data, so the boundary of compensation is demonstrated but not located.</w:t>
      </w:r>
    </w:p>
    <w:p w14:paraId="3D78300F" w14:textId="77777777" w:rsidR="004A2954" w:rsidRPr="00F22774" w:rsidRDefault="005A00E2" w:rsidP="004A2954">
      <w:pPr>
        <w:pStyle w:val="3"/>
        <w:ind w:firstLine="426"/>
        <w:rPr>
          <w:lang w:val="en-US"/>
        </w:rPr>
      </w:pPr>
      <w:r>
        <w:rPr>
          <w:lang w:val="en-US"/>
        </w:rPr>
        <w:t>6.2.5. Analyses added after the fact</w:t>
      </w:r>
    </w:p>
    <w:p w14:paraId="46D8870A" w14:textId="77777777" w:rsidR="004A2954" w:rsidRPr="00F22774" w:rsidRDefault="004A2954" w:rsidP="004A2954">
      <w:pPr>
        <w:jc w:val="both"/>
        <w:rPr>
          <w:rFonts w:ascii="Times New Roman" w:hAnsi="Times New Roman" w:cs="Times New Roman"/>
          <w:lang w:val="en-US"/>
        </w:rPr>
      </w:pPr>
      <w:r>
        <w:t>This study contains analyses with different inferential status. The household variance decomposition and branch diagnostics are exploratory. The ECL study is confirmatory: eligibility, sampled units, estimand, analysis and success criteria were registered before training. The OpenML-CC18 extension was added to assess generalization beyond energy; within that extension, the task selection, seeds, metrics and success criterion were registered before final outcomes, whereas the prediction-flip and minimum-test-size analyses are post-hoc sensitivities. The registration and complete deviation logs do not guarantee correctness, but they make the analytical sequence auditable.</w:t>
      </w:r>
    </w:p>
    <w:p w14:paraId="7BC1716E" w14:textId="77777777" w:rsidR="00C70EB5" w:rsidRPr="00F22774" w:rsidRDefault="00C70EB5" w:rsidP="00C70EB5">
      <w:pPr>
        <w:pStyle w:val="1"/>
        <w:numPr>
          <w:ilvl w:val="0"/>
          <w:numId w:val="1"/>
        </w:numPr>
        <w:spacing w:before="400" w:after="200"/>
        <w:jc w:val="both"/>
        <w:rPr>
          <w:lang w:val="en-US"/>
        </w:rPr>
      </w:pPr>
      <w:r>
        <w:rPr>
          <w:lang w:val="en-US"/>
        </w:rPr>
        <w:t>Conclusion</w:t>
      </w:r>
    </w:p>
    <w:p w14:paraId="47299141" w14:textId="77777777" w:rsidR="00C70EB5" w:rsidRPr="00DD392A" w:rsidRDefault="00C70EB5" w:rsidP="00C70EB5">
      <w:pPr>
        <w:jc w:val="both"/>
        <w:rPr>
          <w:lang w:val="en-US"/>
        </w:rPr>
      </w:pPr>
      <w:r w:rsidRPr="00DD392A">
        <w:rPr>
          <w:rFonts w:ascii="Times New Roman" w:eastAsia="Times New Roman" w:hAnsi="Times New Roman" w:cs="Times New Roman"/>
          <w:lang w:val="en-US"/>
        </w:rPr>
        <w:t>The principal finding of this paper is inferential rather than architectural. Confidence intervals built by resampling the evaluation set describe about a fifth of the variance in an architectural comparison, because the dominant source of variation is the training run rather than the test sample. Once that component is included, most of the effects one would have reported as established are not distinguishable from noise, and most of the variation one would have attributed to the units of study belongs instead to the training procedure. A replication registered in advance on a different class of consumer returns the same median share of 83 per cent, so the finding is not a peculiarity of residential demand; the magnitude of the dominance, however, is regime-specific, five runs rather than twenty-five sufficing on the second domain.</w:t>
      </w:r>
    </w:p>
    <w:p w14:paraId="20B6540A" w14:textId="77777777" w:rsidR="00C70EB5" w:rsidRPr="00F22774" w:rsidRDefault="00C70EB5" w:rsidP="00C70EB5">
      <w:pPr>
        <w:jc w:val="both"/>
        <w:rPr>
          <w:lang w:val="en-US"/>
        </w:rPr>
      </w:pPr>
      <w:r>
        <w:rPr>
          <w:rFonts w:ascii="Times New Roman" w:eastAsia="Times New Roman" w:hAnsi="Times New Roman" w:cs="Times New Roman"/>
          <w:lang w:val="en-US"/>
        </w:rPr>
        <w:t>Two consequences follow for how such claims should be made. A study of five units, which is a normal size in this literature, has essentially no power against effects of the size typically claimed, and the calculation that shows this can be performed before the experiment rather than after. And a component that acts inside one branch of a model with learned fusion cannot be observed through the model's output, because the fusion compensates: in both domains a branch could be left worse than a trivial predictor, or repaired on every unit, without moving the reported metric in either direction - and on the second domain the metric moved slightly against the repair.</w:t>
      </w:r>
    </w:p>
    <w:p>
      <w:pPr/>
      <w:r>
        <w:t>The non-energy benchmark provides a bounded extension of this conclusion. Feature identity improves the primary metric on most OpenML-CC18 tasks, but the pooled balanced-error interval includes zero and heterogeneity is substantial. Cross-entropy is more sensitive to the intervention, yet its significance is not robust to excluding small test folds. The result supports studying identity mechanisms directly while reinforcing the paper’s main warning: an ablation conclusion depends on which uncertainty sources and which observation scale the evaluation exposes.</w:t>
      </w:r>
    </w:p>
    <w:p w14:paraId="0DC2CCEB" w14:textId="77777777" w:rsidR="00C70EB5" w:rsidRPr="00F22774" w:rsidRDefault="00C70EB5" w:rsidP="00C70EB5">
      <w:pPr>
        <w:jc w:val="both"/>
        <w:rPr>
          <w:lang w:val="en-US"/>
        </w:rPr>
      </w:pPr>
      <w:r>
        <w:rPr>
          <w:rFonts w:ascii="Times New Roman" w:eastAsia="Times New Roman" w:hAnsi="Times New Roman" w:cs="Times New Roman"/>
          <w:lang w:val="en-US"/>
        </w:rPr>
        <w:t xml:space="preserve">For the component that occasioned the study, the corrected conclusion is narrow and firm: a pooled estimate of −0.26 per cent of household error with a prediction interval for a new household of [−0.98, +0.46] per </w:t>
      </w:r>
      <w:r>
        <w:rPr>
          <w:rFonts w:ascii="Times New Roman" w:eastAsia="Times New Roman" w:hAnsi="Times New Roman" w:cs="Times New Roman"/>
          <w:lang w:val="en-US"/>
        </w:rPr>
        <w:lastRenderedPageBreak/>
        <w:t>cent, against a pre-specified threshold of ±2 per cent, and an effect indistinguishable from zero again on the second domain. The mechanism sharpens a representation that is already partly present without it, on every household and by a median of 13 percentage points, and that fact turns out to be uninformative about whether it helps. The original result was not miscalculated: it was obtained by the standard procedure, with uncertainty estimated in the customary way, and the procedure produced it in the absence of an effect. The protocol of Section 6 is our attempt to make that actionable rather than merely cautionary.</w:t>
      </w:r>
    </w:p>
    <w:p w14:paraId="053BF937" w14:textId="77777777" w:rsidR="004A7F0F" w:rsidRPr="00F833A2" w:rsidRDefault="00BB709A">
      <w:pPr>
        <w:spacing w:before="240" w:after="80"/>
        <w:rPr>
          <w:rFonts w:ascii="Times New Roman" w:hAnsi="Times New Roman" w:cs="Times New Roman"/>
          <w:b/>
          <w:sz w:val="20"/>
          <w:szCs w:val="20"/>
          <w:lang w:val="en-US"/>
        </w:rPr>
      </w:pPr>
      <w:r w:rsidRPr="00F833A2">
        <w:rPr>
          <w:rFonts w:ascii="Times New Roman" w:hAnsi="Times New Roman" w:cs="Times New Roman"/>
          <w:b/>
          <w:sz w:val="20"/>
          <w:szCs w:val="20"/>
          <w:lang w:val="en-US"/>
        </w:rPr>
        <w:t>Appendix A. Notation</w:t>
      </w:r>
    </w:p>
    <w:p w14:paraId="68D45C0A" w14:textId="77777777" w:rsidR="004A7F0F" w:rsidRDefault="00BB709A">
      <w:pPr>
        <w:spacing w:before="160" w:after="80"/>
        <w:rPr>
          <w:rFonts w:ascii="Times New Roman" w:hAnsi="Times New Roman" w:cs="Times New Roman"/>
          <w:sz w:val="20"/>
          <w:szCs w:val="20"/>
        </w:rPr>
      </w:pPr>
      <w:r w:rsidRPr="00F833A2">
        <w:rPr>
          <w:rFonts w:ascii="Times New Roman" w:hAnsi="Times New Roman" w:cs="Times New Roman"/>
          <w:sz w:val="20"/>
          <w:szCs w:val="20"/>
          <w:lang w:val="en-US"/>
        </w:rPr>
        <w:t xml:space="preserve">Table A1. Symbols used in Sections 4 and 5. Subscripts are written inline in this table; in the text they are set as in </w:t>
      </w:r>
      <w:proofErr w:type="spellStart"/>
      <w:r w:rsidRPr="00F833A2">
        <w:rPr>
          <w:rFonts w:ascii="Times New Roman" w:hAnsi="Times New Roman" w:cs="Times New Roman"/>
          <w:sz w:val="20"/>
          <w:szCs w:val="20"/>
          <w:lang w:val="en-US"/>
        </w:rPr>
        <w:t>Eqs</w:t>
      </w:r>
      <w:proofErr w:type="spellEnd"/>
      <w:r w:rsidRPr="00F833A2">
        <w:rPr>
          <w:rFonts w:ascii="Times New Roman" w:hAnsi="Times New Roman" w:cs="Times New Roman"/>
          <w:sz w:val="20"/>
          <w:szCs w:val="20"/>
          <w:lang w:val="en-US"/>
        </w:rPr>
        <w:t xml:space="preserve">. </w:t>
      </w:r>
      <w:r>
        <w:rPr>
          <w:rFonts w:ascii="Times New Roman" w:hAnsi="Times New Roman" w:cs="Times New Roman"/>
          <w:sz w:val="20"/>
          <w:szCs w:val="20"/>
        </w:rPr>
        <w:t>(1)–(5).</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55"/>
      </w:tblGrid>
      <w:tr w:rsidR="004A7F0F" w14:paraId="765E17B3" w14:textId="77777777">
        <w:trPr>
          <w:tblHeader w:val="true"/>
        </w:trPr>
        <w:tc>
          <w:tcPr>
            <w:tcW w:w="2600" w:type="dxa"/>
          </w:tcPr>
          <w:p w14:paraId="35DBDA27" w14:textId="77777777" w:rsidR="004A7F0F" w:rsidRDefault="00BB709A">
            <w:pPr>
              <w:spacing w:after="20" w:line="240" w:lineRule="auto"/>
              <w:rPr>
                <w:rFonts w:ascii="Times New Roman" w:hAnsi="Times New Roman" w:cs="Times New Roman"/>
                <w:b/>
                <w:sz w:val="20"/>
                <w:szCs w:val="20"/>
              </w:rPr>
            </w:pPr>
            <w:r>
              <w:rPr>
                <w:rFonts w:ascii="Times New Roman" w:hAnsi="Times New Roman" w:cs="Times New Roman"/>
                <w:b/>
                <w:sz w:val="20"/>
                <w:szCs w:val="20"/>
              </w:rPr>
              <w:t>Symbol</w:t>
            </w:r>
          </w:p>
        </w:tc>
        <w:tc>
          <w:tcPr>
            <w:tcW w:w="6755" w:type="dxa"/>
          </w:tcPr>
          <w:p w14:paraId="4E4CE0EF" w14:textId="77777777" w:rsidR="004A7F0F" w:rsidRDefault="00BB709A">
            <w:pPr>
              <w:spacing w:after="20" w:line="240" w:lineRule="auto"/>
              <w:rPr>
                <w:rFonts w:ascii="Times New Roman" w:hAnsi="Times New Roman" w:cs="Times New Roman"/>
                <w:b/>
                <w:sz w:val="20"/>
                <w:szCs w:val="20"/>
              </w:rPr>
            </w:pPr>
            <w:r>
              <w:rPr>
                <w:rFonts w:ascii="Times New Roman" w:hAnsi="Times New Roman" w:cs="Times New Roman"/>
                <w:b/>
                <w:sz w:val="20"/>
                <w:szCs w:val="20"/>
              </w:rPr>
              <w:t>Meaning</w:t>
            </w:r>
          </w:p>
        </w:tc>
      </w:tr>
      <w:tr w:rsidR="004A7F0F" w:rsidRPr="00DD392A" w14:paraId="1E54C434" w14:textId="77777777">
        <w:tc>
          <w:tcPr>
            <w:tcW w:w="2600" w:type="dxa"/>
          </w:tcPr>
          <w:p w14:paraId="12C016EE"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L, T</w:t>
            </w:r>
          </w:p>
        </w:tc>
        <w:tc>
          <w:tcPr>
            <w:tcW w:w="6755" w:type="dxa"/>
          </w:tcPr>
          <w:p w14:paraId="6E3C6753"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input window length (168 h) and forecast horizon (24 h)</w:t>
            </w:r>
          </w:p>
        </w:tc>
      </w:tr>
      <w:tr w:rsidR="004A7F0F" w14:paraId="2AA5A181" w14:textId="77777777">
        <w:tc>
          <w:tcPr>
            <w:tcW w:w="2600" w:type="dxa"/>
          </w:tcPr>
          <w:p w14:paraId="34F7CBD8"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K</w:t>
            </w:r>
          </w:p>
        </w:tc>
        <w:tc>
          <w:tcPr>
            <w:tcW w:w="6755" w:type="dxa"/>
          </w:tcPr>
          <w:p w14:paraId="2153E5DA"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number of decomposition modes (6)</w:t>
            </w:r>
          </w:p>
        </w:tc>
      </w:tr>
      <w:tr w:rsidR="004A7F0F" w:rsidRPr="00DD392A" w14:paraId="0F5DFA39" w14:textId="77777777">
        <w:tc>
          <w:tcPr>
            <w:tcW w:w="2600" w:type="dxa"/>
          </w:tcPr>
          <w:p w14:paraId="2F31AC61"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 xml:space="preserve">y, </w:t>
            </w:r>
            <w:proofErr w:type="spellStart"/>
            <w:r w:rsidRPr="00F833A2">
              <w:rPr>
                <w:rFonts w:ascii="Times New Roman" w:hAnsi="Times New Roman" w:cs="Times New Roman"/>
                <w:sz w:val="20"/>
                <w:szCs w:val="20"/>
                <w:lang w:val="en-US"/>
              </w:rPr>
              <w:t>y_vmd</w:t>
            </w:r>
            <w:proofErr w:type="spellEnd"/>
            <w:r w:rsidRPr="00F833A2">
              <w:rPr>
                <w:rFonts w:ascii="Times New Roman" w:hAnsi="Times New Roman" w:cs="Times New Roman"/>
                <w:sz w:val="20"/>
                <w:szCs w:val="20"/>
                <w:lang w:val="en-US"/>
              </w:rPr>
              <w:t xml:space="preserve">, </w:t>
            </w:r>
            <w:proofErr w:type="spellStart"/>
            <w:r w:rsidRPr="00F833A2">
              <w:rPr>
                <w:rFonts w:ascii="Times New Roman" w:hAnsi="Times New Roman" w:cs="Times New Roman"/>
                <w:sz w:val="20"/>
                <w:szCs w:val="20"/>
                <w:lang w:val="en-US"/>
              </w:rPr>
              <w:t>y_skip</w:t>
            </w:r>
            <w:proofErr w:type="spellEnd"/>
          </w:p>
        </w:tc>
        <w:tc>
          <w:tcPr>
            <w:tcW w:w="6755" w:type="dxa"/>
          </w:tcPr>
          <w:p w14:paraId="1FAEC8E7"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fused forecast, decomposition-path forecast, direct-path forecast</w:t>
            </w:r>
          </w:p>
        </w:tc>
      </w:tr>
      <w:tr w:rsidR="004A7F0F" w:rsidRPr="00DD392A" w14:paraId="7C6074CD" w14:textId="77777777">
        <w:tc>
          <w:tcPr>
            <w:tcW w:w="2600" w:type="dxa"/>
          </w:tcPr>
          <w:p w14:paraId="235507F1"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g</w:t>
            </w:r>
          </w:p>
        </w:tc>
        <w:tc>
          <w:tcPr>
            <w:tcW w:w="6755" w:type="dxa"/>
          </w:tcPr>
          <w:p w14:paraId="101E7AFA"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fusion gate, computed from the two path outputs (Eq. 1)</w:t>
            </w:r>
          </w:p>
        </w:tc>
      </w:tr>
      <w:tr w:rsidR="004A7F0F" w:rsidRPr="00DD392A" w14:paraId="5E05748C" w14:textId="77777777">
        <w:tc>
          <w:tcPr>
            <w:tcW w:w="2600" w:type="dxa"/>
          </w:tcPr>
          <w:p w14:paraId="1B6DCE37"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 xml:space="preserve">e(k), </w:t>
            </w:r>
            <w:proofErr w:type="spellStart"/>
            <w:r>
              <w:rPr>
                <w:rFonts w:ascii="Times New Roman" w:hAnsi="Times New Roman" w:cs="Times New Roman"/>
                <w:sz w:val="20"/>
                <w:szCs w:val="20"/>
              </w:rPr>
              <w:t>w_k</w:t>
            </w:r>
            <w:proofErr w:type="spellEnd"/>
          </w:p>
        </w:tc>
        <w:tc>
          <w:tcPr>
            <w:tcW w:w="6755" w:type="dxa"/>
          </w:tcPr>
          <w:p w14:paraId="5E8CE3A1"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identity embedding and aggregation weight of mode k</w:t>
            </w:r>
          </w:p>
        </w:tc>
      </w:tr>
      <w:tr w:rsidR="004A7F0F" w:rsidRPr="00DD392A" w14:paraId="52DF8AF5" w14:textId="77777777">
        <w:tc>
          <w:tcPr>
            <w:tcW w:w="2600" w:type="dxa"/>
          </w:tcPr>
          <w:p w14:paraId="12550FA1"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h, s, w</w:t>
            </w:r>
          </w:p>
        </w:tc>
        <w:tc>
          <w:tcPr>
            <w:tcW w:w="6755" w:type="dxa"/>
          </w:tcPr>
          <w:p w14:paraId="64455520"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index of household, training seed and test window</w:t>
            </w:r>
          </w:p>
        </w:tc>
      </w:tr>
      <w:tr w:rsidR="004A7F0F" w:rsidRPr="00DD392A" w14:paraId="438FA017" w14:textId="77777777">
        <w:tc>
          <w:tcPr>
            <w:tcW w:w="2600" w:type="dxa"/>
          </w:tcPr>
          <w:p w14:paraId="64E2CD24"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S, W</w:t>
            </w:r>
          </w:p>
        </w:tc>
        <w:tc>
          <w:tcPr>
            <w:tcW w:w="6755" w:type="dxa"/>
          </w:tcPr>
          <w:p w14:paraId="6BE4CCBF"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number of training seeds (5) and of test windows per household</w:t>
            </w:r>
          </w:p>
        </w:tc>
      </w:tr>
      <w:tr w:rsidR="004A7F0F" w:rsidRPr="00DD392A" w14:paraId="6997E348" w14:textId="77777777">
        <w:tc>
          <w:tcPr>
            <w:tcW w:w="2600" w:type="dxa"/>
          </w:tcPr>
          <w:p w14:paraId="77FD70FD"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d(</w:t>
            </w:r>
            <w:proofErr w:type="spellStart"/>
            <w:r>
              <w:rPr>
                <w:rFonts w:ascii="Times New Roman" w:hAnsi="Times New Roman" w:cs="Times New Roman"/>
                <w:sz w:val="20"/>
                <w:szCs w:val="20"/>
              </w:rPr>
              <w:t>h,s,w</w:t>
            </w:r>
            <w:proofErr w:type="spellEnd"/>
            <w:r>
              <w:rPr>
                <w:rFonts w:ascii="Times New Roman" w:hAnsi="Times New Roman" w:cs="Times New Roman"/>
                <w:sz w:val="20"/>
                <w:szCs w:val="20"/>
              </w:rPr>
              <w:t>)</w:t>
            </w:r>
          </w:p>
        </w:tc>
        <w:tc>
          <w:tcPr>
            <w:tcW w:w="6755" w:type="dxa"/>
          </w:tcPr>
          <w:p w14:paraId="50E4838F"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per-window ablation effect; positive when the component helps</w:t>
            </w:r>
          </w:p>
        </w:tc>
      </w:tr>
      <w:tr w:rsidR="004A7F0F" w:rsidRPr="00DD392A" w14:paraId="6A9331B6" w14:textId="77777777">
        <w:tc>
          <w:tcPr>
            <w:tcW w:w="2600" w:type="dxa"/>
          </w:tcPr>
          <w:p w14:paraId="02F7354D"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μ(h)</w:t>
            </w:r>
          </w:p>
        </w:tc>
        <w:tc>
          <w:tcPr>
            <w:tcW w:w="6755" w:type="dxa"/>
          </w:tcPr>
          <w:p w14:paraId="60C46CEA"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mean ablation effect for household h (Eq. 2)</w:t>
            </w:r>
          </w:p>
        </w:tc>
      </w:tr>
      <w:tr w:rsidR="004A7F0F" w:rsidRPr="00DD392A" w14:paraId="2EEBEFAD" w14:textId="77777777">
        <w:tc>
          <w:tcPr>
            <w:tcW w:w="2600" w:type="dxa"/>
          </w:tcPr>
          <w:p w14:paraId="2BE708C2"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a(</w:t>
            </w:r>
            <w:proofErr w:type="spellStart"/>
            <w:r>
              <w:rPr>
                <w:rFonts w:ascii="Times New Roman" w:hAnsi="Times New Roman" w:cs="Times New Roman"/>
                <w:sz w:val="20"/>
                <w:szCs w:val="20"/>
              </w:rPr>
              <w:t>h,s</w:t>
            </w:r>
            <w:proofErr w:type="spellEnd"/>
            <w:r>
              <w:rPr>
                <w:rFonts w:ascii="Times New Roman" w:hAnsi="Times New Roman" w:cs="Times New Roman"/>
                <w:sz w:val="20"/>
                <w:szCs w:val="20"/>
              </w:rPr>
              <w:t>), e(</w:t>
            </w:r>
            <w:proofErr w:type="spellStart"/>
            <w:r>
              <w:rPr>
                <w:rFonts w:ascii="Times New Roman" w:hAnsi="Times New Roman" w:cs="Times New Roman"/>
                <w:sz w:val="20"/>
                <w:szCs w:val="20"/>
              </w:rPr>
              <w:t>h,s,w</w:t>
            </w:r>
            <w:proofErr w:type="spellEnd"/>
            <w:r>
              <w:rPr>
                <w:rFonts w:ascii="Times New Roman" w:hAnsi="Times New Roman" w:cs="Times New Roman"/>
                <w:sz w:val="20"/>
                <w:szCs w:val="20"/>
              </w:rPr>
              <w:t>)</w:t>
            </w:r>
          </w:p>
        </w:tc>
        <w:tc>
          <w:tcPr>
            <w:tcW w:w="6755" w:type="dxa"/>
          </w:tcPr>
          <w:p w14:paraId="5947B4B2"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random seed effect and window-level residual (Eq. 2)</w:t>
            </w:r>
          </w:p>
        </w:tc>
      </w:tr>
      <w:tr w:rsidR="004A7F0F" w:rsidRPr="00DD392A" w14:paraId="47E2361C" w14:textId="77777777">
        <w:tc>
          <w:tcPr>
            <w:tcW w:w="2600" w:type="dxa"/>
          </w:tcPr>
          <w:p w14:paraId="2C567F9D"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σ²_seed, σ²_win</w:t>
            </w:r>
          </w:p>
        </w:tc>
        <w:tc>
          <w:tcPr>
            <w:tcW w:w="6755" w:type="dxa"/>
          </w:tcPr>
          <w:p w14:paraId="0D6A739E"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variance components of training seed and of test windows</w:t>
            </w:r>
          </w:p>
        </w:tc>
      </w:tr>
      <w:tr w:rsidR="004A7F0F" w:rsidRPr="00DD392A" w14:paraId="3D028980" w14:textId="77777777">
        <w:tc>
          <w:tcPr>
            <w:tcW w:w="2600" w:type="dxa"/>
          </w:tcPr>
          <w:p w14:paraId="4C42B579"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MS_between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MS_within</w:t>
            </w:r>
            <w:proofErr w:type="spellEnd"/>
          </w:p>
        </w:tc>
        <w:tc>
          <w:tcPr>
            <w:tcW w:w="6755" w:type="dxa"/>
          </w:tcPr>
          <w:p w14:paraId="3638D2FA"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between-seed and within-seed mean squares of the one-way ANOVA</w:t>
            </w:r>
          </w:p>
        </w:tc>
      </w:tr>
      <w:tr w:rsidR="004A7F0F" w:rsidRPr="00DD392A" w14:paraId="02158A79" w14:textId="77777777">
        <w:tc>
          <w:tcPr>
            <w:tcW w:w="2600" w:type="dxa"/>
          </w:tcPr>
          <w:p w14:paraId="2561D4AF"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V_win</w:t>
            </w:r>
            <w:proofErr w:type="spellEnd"/>
          </w:p>
        </w:tc>
        <w:tc>
          <w:tcPr>
            <w:tcW w:w="6755" w:type="dxa"/>
          </w:tcPr>
          <w:p w14:paraId="3529079B"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variance of the window-average, from the moving block bootstrap</w:t>
            </w:r>
          </w:p>
        </w:tc>
      </w:tr>
      <w:tr w:rsidR="004A7F0F" w:rsidRPr="00DD392A" w14:paraId="2AFAA662" w14:textId="77777777">
        <w:tc>
          <w:tcPr>
            <w:tcW w:w="2600" w:type="dxa"/>
          </w:tcPr>
          <w:p w14:paraId="0F6DEA2C"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share_seed</w:t>
            </w:r>
            <w:proofErr w:type="spellEnd"/>
          </w:p>
        </w:tc>
        <w:tc>
          <w:tcPr>
            <w:tcW w:w="6755" w:type="dxa"/>
          </w:tcPr>
          <w:p w14:paraId="06BD65E5"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share of the variance of the mean effect attributable to seeds (Eq. 3)</w:t>
            </w:r>
          </w:p>
        </w:tc>
      </w:tr>
      <w:tr w:rsidR="004A7F0F" w:rsidRPr="00DD392A" w14:paraId="2A2176A7" w14:textId="77777777">
        <w:tc>
          <w:tcPr>
            <w:tcW w:w="2600" w:type="dxa"/>
          </w:tcPr>
          <w:p w14:paraId="6CCDCD2C"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θ</w:t>
            </w:r>
          </w:p>
        </w:tc>
        <w:tc>
          <w:tcPr>
            <w:tcW w:w="6755" w:type="dxa"/>
          </w:tcPr>
          <w:p w14:paraId="2E450D71"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 xml:space="preserve">ratio </w:t>
            </w:r>
            <w:r>
              <w:rPr>
                <w:rFonts w:ascii="Times New Roman" w:hAnsi="Times New Roman" w:cs="Times New Roman"/>
                <w:sz w:val="20"/>
                <w:szCs w:val="20"/>
              </w:rPr>
              <w:t>σ</w:t>
            </w:r>
            <w:r w:rsidRPr="00F833A2">
              <w:rPr>
                <w:rFonts w:ascii="Times New Roman" w:hAnsi="Times New Roman" w:cs="Times New Roman"/>
                <w:sz w:val="20"/>
                <w:szCs w:val="20"/>
                <w:lang w:val="en-US"/>
              </w:rPr>
              <w:t xml:space="preserve">²_seed / </w:t>
            </w:r>
            <w:r>
              <w:rPr>
                <w:rFonts w:ascii="Times New Roman" w:hAnsi="Times New Roman" w:cs="Times New Roman"/>
                <w:sz w:val="20"/>
                <w:szCs w:val="20"/>
              </w:rPr>
              <w:t>σ</w:t>
            </w:r>
            <w:r w:rsidRPr="00F833A2">
              <w:rPr>
                <w:rFonts w:ascii="Times New Roman" w:hAnsi="Times New Roman" w:cs="Times New Roman"/>
                <w:sz w:val="20"/>
                <w:szCs w:val="20"/>
                <w:lang w:val="en-US"/>
              </w:rPr>
              <w:t>²_win, the design-free form of the seed share</w:t>
            </w:r>
          </w:p>
        </w:tc>
      </w:tr>
      <w:tr w:rsidR="004A7F0F" w:rsidRPr="00DD392A" w14:paraId="2683E6A4" w14:textId="77777777">
        <w:tc>
          <w:tcPr>
            <w:tcW w:w="2600" w:type="dxa"/>
          </w:tcPr>
          <w:p w14:paraId="60D1ACE6"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τ, I², Q</w:t>
            </w:r>
          </w:p>
        </w:tc>
        <w:tc>
          <w:tcPr>
            <w:tcW w:w="6755" w:type="dxa"/>
          </w:tcPr>
          <w:p w14:paraId="66E2D14A"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between-household SD, heterogeneity share and Cochran's statistic</w:t>
            </w:r>
          </w:p>
        </w:tc>
      </w:tr>
      <w:tr w:rsidR="004A7F0F" w:rsidRPr="00DD392A" w14:paraId="0FED6059" w14:textId="77777777">
        <w:tc>
          <w:tcPr>
            <w:tcW w:w="2600" w:type="dxa"/>
          </w:tcPr>
          <w:p w14:paraId="2D33E47E"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v(h)</w:t>
            </w:r>
          </w:p>
        </w:tc>
        <w:tc>
          <w:tcPr>
            <w:tcW w:w="6755" w:type="dxa"/>
          </w:tcPr>
          <w:p w14:paraId="3AD1711E"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squared standard error of household h, both components included (Eq. 5)</w:t>
            </w:r>
          </w:p>
        </w:tc>
      </w:tr>
    </w:tbl>
    <w:p w14:paraId="2095DEA5" w14:textId="77777777" w:rsidR="004A7F0F" w:rsidRPr="00F833A2" w:rsidRDefault="00BB709A">
      <w:pPr>
        <w:spacing w:before="240" w:after="80"/>
        <w:rPr>
          <w:rFonts w:ascii="Times New Roman" w:hAnsi="Times New Roman" w:cs="Times New Roman"/>
          <w:b/>
          <w:sz w:val="20"/>
          <w:szCs w:val="20"/>
          <w:lang w:val="en-US"/>
        </w:rPr>
      </w:pPr>
      <w:r w:rsidRPr="00F833A2">
        <w:rPr>
          <w:rFonts w:ascii="Times New Roman" w:hAnsi="Times New Roman" w:cs="Times New Roman"/>
          <w:b/>
          <w:sz w:val="20"/>
          <w:szCs w:val="20"/>
          <w:lang w:val="en-US"/>
        </w:rPr>
        <w:t>Appendix B. Model and training hyperparameters</w:t>
      </w:r>
    </w:p>
    <w:p w14:paraId="308B2F24" w14:textId="77777777" w:rsidR="004A7F0F" w:rsidRPr="00F833A2" w:rsidRDefault="00BB709A">
      <w:pPr>
        <w:spacing w:before="160" w:after="80"/>
        <w:rPr>
          <w:rFonts w:ascii="Times New Roman" w:hAnsi="Times New Roman" w:cs="Times New Roman"/>
          <w:sz w:val="20"/>
          <w:szCs w:val="20"/>
          <w:lang w:val="en-US"/>
        </w:rPr>
      </w:pPr>
      <w:r w:rsidRPr="00F833A2">
        <w:rPr>
          <w:rFonts w:ascii="Times New Roman" w:hAnsi="Times New Roman" w:cs="Times New Roman"/>
          <w:sz w:val="20"/>
          <w:szCs w:val="20"/>
          <w:lang w:val="en-US"/>
        </w:rPr>
        <w:t xml:space="preserve">Table B1. Architecture, </w:t>
      </w:r>
      <w:proofErr w:type="spellStart"/>
      <w:r w:rsidRPr="00F833A2">
        <w:rPr>
          <w:rFonts w:ascii="Times New Roman" w:hAnsi="Times New Roman" w:cs="Times New Roman"/>
          <w:sz w:val="20"/>
          <w:szCs w:val="20"/>
          <w:lang w:val="en-US"/>
        </w:rPr>
        <w:t>optimisation</w:t>
      </w:r>
      <w:proofErr w:type="spellEnd"/>
      <w:r w:rsidRPr="00F833A2">
        <w:rPr>
          <w:rFonts w:ascii="Times New Roman" w:hAnsi="Times New Roman" w:cs="Times New Roman"/>
          <w:sz w:val="20"/>
          <w:szCs w:val="20"/>
          <w:lang w:val="en-US"/>
        </w:rPr>
        <w:t xml:space="preserve"> and preprocessing settings, identical for every configuration except for the three binary design factors of Section 4.3.1.</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755"/>
      </w:tblGrid>
      <w:tr w:rsidR="004A7F0F" w14:paraId="398D1FB7" w14:textId="77777777">
        <w:trPr>
          <w:tblHeader w:val="true"/>
        </w:trPr>
        <w:tc>
          <w:tcPr>
            <w:tcW w:w="2600" w:type="dxa"/>
          </w:tcPr>
          <w:p w14:paraId="669C51B1" w14:textId="77777777" w:rsidR="004A7F0F" w:rsidRDefault="00BB709A">
            <w:pPr>
              <w:spacing w:after="20" w:line="240" w:lineRule="auto"/>
              <w:rPr>
                <w:rFonts w:ascii="Times New Roman" w:hAnsi="Times New Roman" w:cs="Times New Roman"/>
                <w:b/>
                <w:sz w:val="20"/>
                <w:szCs w:val="20"/>
              </w:rPr>
            </w:pPr>
            <w:proofErr w:type="spellStart"/>
            <w:r>
              <w:rPr>
                <w:rFonts w:ascii="Times New Roman" w:hAnsi="Times New Roman" w:cs="Times New Roman"/>
                <w:b/>
                <w:sz w:val="20"/>
                <w:szCs w:val="20"/>
              </w:rPr>
              <w:t>Component</w:t>
            </w:r>
            <w:proofErr w:type="spellEnd"/>
          </w:p>
        </w:tc>
        <w:tc>
          <w:tcPr>
            <w:tcW w:w="6755" w:type="dxa"/>
          </w:tcPr>
          <w:p w14:paraId="15F6D66F" w14:textId="77777777" w:rsidR="004A7F0F" w:rsidRDefault="00BB709A">
            <w:pPr>
              <w:spacing w:after="20" w:line="240" w:lineRule="auto"/>
              <w:rPr>
                <w:rFonts w:ascii="Times New Roman" w:hAnsi="Times New Roman" w:cs="Times New Roman"/>
                <w:b/>
                <w:sz w:val="20"/>
                <w:szCs w:val="20"/>
              </w:rPr>
            </w:pPr>
            <w:r>
              <w:rPr>
                <w:rFonts w:ascii="Times New Roman" w:hAnsi="Times New Roman" w:cs="Times New Roman"/>
                <w:b/>
                <w:sz w:val="20"/>
                <w:szCs w:val="20"/>
              </w:rPr>
              <w:t>Setting</w:t>
            </w:r>
          </w:p>
        </w:tc>
      </w:tr>
      <w:tr w:rsidR="004A7F0F" w:rsidRPr="00DD392A" w14:paraId="27C396D9" w14:textId="77777777">
        <w:tc>
          <w:tcPr>
            <w:tcW w:w="2600" w:type="dxa"/>
          </w:tcPr>
          <w:p w14:paraId="76067C94"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Input / output</w:t>
            </w:r>
          </w:p>
        </w:tc>
        <w:tc>
          <w:tcPr>
            <w:tcW w:w="6755" w:type="dxa"/>
          </w:tcPr>
          <w:p w14:paraId="71E63672"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L = 168 hourly observations, T = 24 h ahead</w:t>
            </w:r>
          </w:p>
        </w:tc>
      </w:tr>
      <w:tr w:rsidR="004A7F0F" w:rsidRPr="00DD392A" w14:paraId="705B49B6" w14:textId="77777777">
        <w:tc>
          <w:tcPr>
            <w:tcW w:w="2600" w:type="dxa"/>
          </w:tcPr>
          <w:p w14:paraId="157EB7CF"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Decomposition</w:t>
            </w:r>
            <w:proofErr w:type="spellEnd"/>
          </w:p>
        </w:tc>
        <w:tc>
          <w:tcPr>
            <w:tcW w:w="6755" w:type="dxa"/>
          </w:tcPr>
          <w:p w14:paraId="395E43C9"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 xml:space="preserve">variational mode decomposition within the window, K = 6, </w:t>
            </w:r>
            <w:r>
              <w:rPr>
                <w:rFonts w:ascii="Times New Roman" w:hAnsi="Times New Roman" w:cs="Times New Roman"/>
                <w:sz w:val="20"/>
                <w:szCs w:val="20"/>
              </w:rPr>
              <w:t>α</w:t>
            </w:r>
            <w:r w:rsidRPr="00F833A2">
              <w:rPr>
                <w:rFonts w:ascii="Times New Roman" w:hAnsi="Times New Roman" w:cs="Times New Roman"/>
                <w:sz w:val="20"/>
                <w:szCs w:val="20"/>
                <w:lang w:val="en-US"/>
              </w:rPr>
              <w:t xml:space="preserve"> = 2000</w:t>
            </w:r>
          </w:p>
        </w:tc>
      </w:tr>
      <w:tr w:rsidR="004A7F0F" w:rsidRPr="00DD392A" w14:paraId="723BFA58" w14:textId="77777777">
        <w:tc>
          <w:tcPr>
            <w:tcW w:w="2600" w:type="dxa"/>
          </w:tcPr>
          <w:p w14:paraId="7927C732"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Shared</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encoder</w:t>
            </w:r>
            <w:proofErr w:type="spellEnd"/>
          </w:p>
        </w:tc>
        <w:tc>
          <w:tcPr>
            <w:tcW w:w="6755" w:type="dxa"/>
          </w:tcPr>
          <w:p w14:paraId="0611C194"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 xml:space="preserve">patch Transformer, d = 128, 8 heads, 3 layers, </w:t>
            </w:r>
            <w:proofErr w:type="spellStart"/>
            <w:r w:rsidRPr="00F833A2">
              <w:rPr>
                <w:rFonts w:ascii="Times New Roman" w:hAnsi="Times New Roman" w:cs="Times New Roman"/>
                <w:sz w:val="20"/>
                <w:szCs w:val="20"/>
                <w:lang w:val="en-US"/>
              </w:rPr>
              <w:t>d_ff</w:t>
            </w:r>
            <w:proofErr w:type="spellEnd"/>
            <w:r w:rsidRPr="00F833A2">
              <w:rPr>
                <w:rFonts w:ascii="Times New Roman" w:hAnsi="Times New Roman" w:cs="Times New Roman"/>
                <w:sz w:val="20"/>
                <w:szCs w:val="20"/>
                <w:lang w:val="en-US"/>
              </w:rPr>
              <w:t xml:space="preserve"> = 256, weight-tied across modes</w:t>
            </w:r>
          </w:p>
        </w:tc>
      </w:tr>
      <w:tr w:rsidR="004A7F0F" w:rsidRPr="00DD392A" w14:paraId="39991803" w14:textId="77777777">
        <w:tc>
          <w:tcPr>
            <w:tcW w:w="2600" w:type="dxa"/>
          </w:tcPr>
          <w:p w14:paraId="01FFE8ED"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Direct-</w:t>
            </w:r>
            <w:proofErr w:type="spellStart"/>
            <w:r>
              <w:rPr>
                <w:rFonts w:ascii="Times New Roman" w:hAnsi="Times New Roman" w:cs="Times New Roman"/>
                <w:sz w:val="20"/>
                <w:szCs w:val="20"/>
              </w:rPr>
              <w:t>path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encoder</w:t>
            </w:r>
            <w:proofErr w:type="spellEnd"/>
          </w:p>
        </w:tc>
        <w:tc>
          <w:tcPr>
            <w:tcW w:w="6755" w:type="dxa"/>
          </w:tcPr>
          <w:p w14:paraId="51976F63"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patch Transformer on the undecomposed window, d = 64, 4 heads, 2 layers</w:t>
            </w:r>
          </w:p>
        </w:tc>
      </w:tr>
      <w:tr w:rsidR="004A7F0F" w:rsidRPr="00DD392A" w14:paraId="5BF2DF70" w14:textId="77777777">
        <w:tc>
          <w:tcPr>
            <w:tcW w:w="2600" w:type="dxa"/>
          </w:tcPr>
          <w:p w14:paraId="413AFCE9"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Aggregation</w:t>
            </w:r>
            <w:proofErr w:type="spellEnd"/>
          </w:p>
        </w:tc>
        <w:tc>
          <w:tcPr>
            <w:tcW w:w="6755" w:type="dxa"/>
          </w:tcPr>
          <w:p w14:paraId="0F055DF9"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per-mode, per-horizon learned weights, softmax-</w:t>
            </w:r>
            <w:proofErr w:type="spellStart"/>
            <w:r w:rsidRPr="00F833A2">
              <w:rPr>
                <w:rFonts w:ascii="Times New Roman" w:hAnsi="Times New Roman" w:cs="Times New Roman"/>
                <w:sz w:val="20"/>
                <w:szCs w:val="20"/>
                <w:lang w:val="en-US"/>
              </w:rPr>
              <w:t>normalised</w:t>
            </w:r>
            <w:proofErr w:type="spellEnd"/>
            <w:r w:rsidRPr="00F833A2">
              <w:rPr>
                <w:rFonts w:ascii="Times New Roman" w:hAnsi="Times New Roman" w:cs="Times New Roman"/>
                <w:sz w:val="20"/>
                <w:szCs w:val="20"/>
                <w:lang w:val="en-US"/>
              </w:rPr>
              <w:t xml:space="preserve"> across modes</w:t>
            </w:r>
          </w:p>
        </w:tc>
      </w:tr>
      <w:tr w:rsidR="004A7F0F" w:rsidRPr="00DD392A" w14:paraId="1DA4565B" w14:textId="77777777">
        <w:tc>
          <w:tcPr>
            <w:tcW w:w="2600" w:type="dxa"/>
          </w:tcPr>
          <w:p w14:paraId="0F72BE8E"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Fusion</w:t>
            </w:r>
          </w:p>
        </w:tc>
        <w:tc>
          <w:tcPr>
            <w:tcW w:w="6755" w:type="dxa"/>
          </w:tcPr>
          <w:p w14:paraId="40051285"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learned gate computed from the two path outputs (Eq. 1)</w:t>
            </w:r>
          </w:p>
        </w:tc>
      </w:tr>
      <w:tr w:rsidR="004A7F0F" w:rsidRPr="00DD392A" w14:paraId="1A3BA1BD" w14:textId="77777777">
        <w:tc>
          <w:tcPr>
            <w:tcW w:w="2600" w:type="dxa"/>
          </w:tcPr>
          <w:p w14:paraId="449192F6"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Loss</w:t>
            </w:r>
            <w:proofErr w:type="spellEnd"/>
          </w:p>
        </w:tc>
        <w:tc>
          <w:tcPr>
            <w:tcW w:w="6755" w:type="dxa"/>
          </w:tcPr>
          <w:p w14:paraId="1FBFC029"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Huber on the fused forecast plus auxiliary reconstruction term, weight 0.2</w:t>
            </w:r>
          </w:p>
        </w:tc>
      </w:tr>
      <w:tr w:rsidR="004A7F0F" w:rsidRPr="00DD392A" w14:paraId="0EF196F4" w14:textId="77777777">
        <w:tc>
          <w:tcPr>
            <w:tcW w:w="2600" w:type="dxa"/>
          </w:tcPr>
          <w:p w14:paraId="7CB89604"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Optimiser</w:t>
            </w:r>
            <w:proofErr w:type="spellEnd"/>
          </w:p>
        </w:tc>
        <w:tc>
          <w:tcPr>
            <w:tcW w:w="6755" w:type="dxa"/>
          </w:tcPr>
          <w:p w14:paraId="506006CC" w14:textId="77777777" w:rsidR="004A7F0F" w:rsidRPr="00F833A2" w:rsidRDefault="00BB709A">
            <w:pPr>
              <w:spacing w:after="20" w:line="240" w:lineRule="auto"/>
              <w:rPr>
                <w:rFonts w:ascii="Times New Roman" w:hAnsi="Times New Roman" w:cs="Times New Roman"/>
                <w:sz w:val="20"/>
                <w:szCs w:val="20"/>
                <w:lang w:val="en-US"/>
              </w:rPr>
            </w:pPr>
            <w:proofErr w:type="spellStart"/>
            <w:r w:rsidRPr="00F833A2">
              <w:rPr>
                <w:rFonts w:ascii="Times New Roman" w:hAnsi="Times New Roman" w:cs="Times New Roman"/>
                <w:sz w:val="20"/>
                <w:szCs w:val="20"/>
                <w:lang w:val="en-US"/>
              </w:rPr>
              <w:t>AdamW</w:t>
            </w:r>
            <w:proofErr w:type="spellEnd"/>
            <w:r w:rsidRPr="00F833A2">
              <w:rPr>
                <w:rFonts w:ascii="Times New Roman" w:hAnsi="Times New Roman" w:cs="Times New Roman"/>
                <w:sz w:val="20"/>
                <w:szCs w:val="20"/>
                <w:lang w:val="en-US"/>
              </w:rPr>
              <w:t>, learning rate 5 × 10⁻⁴, weight decay 10⁻⁴</w:t>
            </w:r>
          </w:p>
        </w:tc>
      </w:tr>
      <w:tr w:rsidR="004A7F0F" w:rsidRPr="00DD392A" w14:paraId="24878D3D" w14:textId="77777777">
        <w:tc>
          <w:tcPr>
            <w:tcW w:w="2600" w:type="dxa"/>
          </w:tcPr>
          <w:p w14:paraId="6538D61F"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Schedule</w:t>
            </w:r>
            <w:proofErr w:type="spellEnd"/>
          </w:p>
        </w:tc>
        <w:tc>
          <w:tcPr>
            <w:tcW w:w="6755" w:type="dxa"/>
          </w:tcPr>
          <w:p w14:paraId="507B480A"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cosine annealing with warm restarts, gradient-norm clipping at 1.0</w:t>
            </w:r>
          </w:p>
        </w:tc>
      </w:tr>
      <w:tr w:rsidR="004A7F0F" w:rsidRPr="00DD392A" w14:paraId="52817AF2" w14:textId="77777777">
        <w:tc>
          <w:tcPr>
            <w:tcW w:w="2600" w:type="dxa"/>
          </w:tcPr>
          <w:p w14:paraId="7F421C52"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Batch</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size</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epochs</w:t>
            </w:r>
            <w:proofErr w:type="spellEnd"/>
          </w:p>
        </w:tc>
        <w:tc>
          <w:tcPr>
            <w:tcW w:w="6755" w:type="dxa"/>
          </w:tcPr>
          <w:p w14:paraId="26457AB7"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64 / 60; reported epoch is the one with lowest validation MAE</w:t>
            </w:r>
          </w:p>
        </w:tc>
      </w:tr>
      <w:tr w:rsidR="004A7F0F" w:rsidRPr="00DD392A" w14:paraId="087075B9" w14:textId="77777777">
        <w:tc>
          <w:tcPr>
            <w:tcW w:w="2600" w:type="dxa"/>
          </w:tcPr>
          <w:p w14:paraId="4C568628"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Seeds</w:t>
            </w:r>
            <w:proofErr w:type="spellEnd"/>
          </w:p>
        </w:tc>
        <w:tc>
          <w:tcPr>
            <w:tcW w:w="6755" w:type="dxa"/>
          </w:tcPr>
          <w:p w14:paraId="2E658A1E"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42, 7, 13, 99, 2025 (five independent runs per configuration)</w:t>
            </w:r>
          </w:p>
        </w:tc>
      </w:tr>
      <w:tr w:rsidR="004A7F0F" w:rsidRPr="00DD392A" w14:paraId="09114BB6" w14:textId="77777777">
        <w:tc>
          <w:tcPr>
            <w:tcW w:w="2600" w:type="dxa"/>
          </w:tcPr>
          <w:p w14:paraId="5D60DEFF" w14:textId="77777777" w:rsidR="004A7F0F" w:rsidRDefault="00BB709A">
            <w:pPr>
              <w:spacing w:after="20" w:line="240" w:lineRule="auto"/>
              <w:rPr>
                <w:rFonts w:ascii="Times New Roman" w:hAnsi="Times New Roman" w:cs="Times New Roman"/>
                <w:sz w:val="20"/>
                <w:szCs w:val="20"/>
              </w:rPr>
            </w:pPr>
            <w:r>
              <w:rPr>
                <w:rFonts w:ascii="Times New Roman" w:hAnsi="Times New Roman" w:cs="Times New Roman"/>
                <w:sz w:val="20"/>
                <w:szCs w:val="20"/>
              </w:rPr>
              <w:t>Preprocessing</w:t>
            </w:r>
          </w:p>
        </w:tc>
        <w:tc>
          <w:tcPr>
            <w:tcW w:w="6755" w:type="dxa"/>
          </w:tcPr>
          <w:p w14:paraId="6857BD97"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hourly resampling, gaps ≤ 6 h interpolated, three-sigma clipping and min-max scaling fitted on the training segment only</w:t>
            </w:r>
          </w:p>
        </w:tc>
      </w:tr>
      <w:tr w:rsidR="004A7F0F" w:rsidRPr="00DD392A" w14:paraId="0C4B4A6F" w14:textId="77777777">
        <w:tc>
          <w:tcPr>
            <w:tcW w:w="2600" w:type="dxa"/>
          </w:tcPr>
          <w:p w14:paraId="77923046" w14:textId="77777777" w:rsidR="004A7F0F" w:rsidRDefault="00BB709A">
            <w:pPr>
              <w:spacing w:after="20" w:line="240" w:lineRule="auto"/>
              <w:rPr>
                <w:rFonts w:ascii="Times New Roman" w:hAnsi="Times New Roman" w:cs="Times New Roman"/>
                <w:sz w:val="20"/>
                <w:szCs w:val="20"/>
              </w:rPr>
            </w:pPr>
            <w:proofErr w:type="spellStart"/>
            <w:r>
              <w:rPr>
                <w:rFonts w:ascii="Times New Roman" w:hAnsi="Times New Roman" w:cs="Times New Roman"/>
                <w:sz w:val="20"/>
                <w:szCs w:val="20"/>
              </w:rPr>
              <w:t>Split</w:t>
            </w:r>
            <w:proofErr w:type="spellEnd"/>
          </w:p>
        </w:tc>
        <w:tc>
          <w:tcPr>
            <w:tcW w:w="6755" w:type="dxa"/>
          </w:tcPr>
          <w:p w14:paraId="3E52DF3F" w14:textId="77777777" w:rsidR="004A7F0F" w:rsidRPr="00F833A2" w:rsidRDefault="00BB709A">
            <w:pPr>
              <w:spacing w:after="20" w:line="240" w:lineRule="auto"/>
              <w:rPr>
                <w:rFonts w:ascii="Times New Roman" w:hAnsi="Times New Roman" w:cs="Times New Roman"/>
                <w:sz w:val="20"/>
                <w:szCs w:val="20"/>
                <w:lang w:val="en-US"/>
              </w:rPr>
            </w:pPr>
            <w:r w:rsidRPr="00F833A2">
              <w:rPr>
                <w:rFonts w:ascii="Times New Roman" w:hAnsi="Times New Roman" w:cs="Times New Roman"/>
                <w:sz w:val="20"/>
                <w:szCs w:val="20"/>
                <w:lang w:val="en-US"/>
              </w:rPr>
              <w:t>chronological 70 / 15 / 15 per cent; test windows at stride 24</w:t>
            </w:r>
          </w:p>
        </w:tc>
      </w:tr>
    </w:tbl>
    <w:p w14:paraId="3F732FEF" w14:textId="77777777" w:rsidR="00E47846" w:rsidRPr="00F22774" w:rsidRDefault="00E47846" w:rsidP="00757480">
      <w:pPr>
        <w:pStyle w:val="1"/>
        <w:spacing w:after="160"/>
        <w:rPr>
          <w:lang w:val="en-US"/>
        </w:rPr>
      </w:pPr>
      <w:r>
        <w:rPr>
          <w:lang w:val="en-US"/>
        </w:rPr>
        <w:t>Declarations</w:t>
      </w:r>
    </w:p>
    <w:p w14:paraId="4102B2B9" w14:textId="77777777" w:rsidR="00E47846" w:rsidRPr="00F22774" w:rsidRDefault="00E47846" w:rsidP="00757480">
      <w:pPr>
        <w:rPr>
          <w:rFonts w:ascii="Times New Roman" w:hAnsi="Times New Roman" w:cs="Times New Roman"/>
          <w:lang w:val="en-US"/>
        </w:rPr>
      </w:pPr>
      <w:r>
        <w:rPr>
          <w:rFonts w:ascii="Times New Roman" w:hAnsi="Times New Roman" w:cs="Times New Roman"/>
          <w:b/>
          <w:lang w:val="en-US"/>
        </w:rPr>
        <w:t>Funding.</w:t>
      </w:r>
      <w:r>
        <w:rPr>
          <w:rFonts w:ascii="Times New Roman" w:hAnsi="Times New Roman" w:cs="Times New Roman"/>
          <w:lang w:val="en-US"/>
        </w:rPr>
        <w:t xml:space="preserve"> No funds, grants, or other support was received for conducting this study.</w:t>
      </w:r>
    </w:p>
    <w:p w14:paraId="1F8F4750" w14:textId="77777777" w:rsidR="00E47846" w:rsidRPr="00F22774" w:rsidRDefault="00E47846" w:rsidP="00E47846">
      <w:pPr>
        <w:rPr>
          <w:rFonts w:ascii="Times New Roman" w:hAnsi="Times New Roman" w:cs="Times New Roman"/>
          <w:lang w:val="en-US"/>
        </w:rPr>
      </w:pPr>
      <w:r>
        <w:rPr>
          <w:rFonts w:ascii="Times New Roman" w:hAnsi="Times New Roman" w:cs="Times New Roman"/>
          <w:b/>
          <w:lang w:val="en-US"/>
        </w:rPr>
        <w:t>Competing interests.</w:t>
      </w:r>
      <w:r>
        <w:rPr>
          <w:rFonts w:ascii="Times New Roman" w:hAnsi="Times New Roman" w:cs="Times New Roman"/>
          <w:lang w:val="en-US"/>
        </w:rPr>
        <w:t xml:space="preserve"> The authors have no relevant financial or non-financial interests to disclose.</w:t>
      </w:r>
    </w:p>
    <w:p w14:paraId="56AF9550" w14:textId="77777777" w:rsidR="00E47846" w:rsidRPr="00F22774" w:rsidRDefault="00E47846" w:rsidP="00E47846">
      <w:pPr>
        <w:rPr>
          <w:rFonts w:ascii="Times New Roman" w:hAnsi="Times New Roman" w:cs="Times New Roman"/>
          <w:lang w:val="en-US"/>
        </w:rPr>
      </w:pPr>
      <w:r>
        <w:rPr>
          <w:rFonts w:ascii="Times New Roman" w:hAnsi="Times New Roman" w:cs="Times New Roman"/>
          <w:b/>
          <w:lang w:val="en-US"/>
        </w:rPr>
        <w:lastRenderedPageBreak/>
        <w:t>Relation to previous work.</w:t>
      </w:r>
      <w:r>
        <w:rPr>
          <w:rFonts w:ascii="Times New Roman" w:hAnsi="Times New Roman" w:cs="Times New Roman"/>
          <w:lang w:val="en-US"/>
        </w:rPr>
        <w:t xml:space="preserve"> The architectural claim re-examined in this paper originates in an unpublished bachelor's thesis by one of the authors </w:t>
      </w:r>
      <w:hyperlink w:anchor="ref_musina_2026">
        <w:r>
          <w:rPr>
            <w:rFonts w:ascii="Times New Roman" w:hAnsi="Times New Roman" w:cs="Times New Roman"/>
            <w:color w:val="0563C1"/>
            <w:lang w:val="en-US"/>
          </w:rPr>
          <w:t>(Musina, 2026)</w:t>
        </w:r>
      </w:hyperlink>
      <w:r>
        <w:rPr>
          <w:rFonts w:ascii="Times New Roman" w:hAnsi="Times New Roman" w:cs="Times New Roman"/>
          <w:lang w:val="en-US"/>
        </w:rPr>
        <w:t>, archived at the authors' institution and never published in any form. No part of the present manuscript has appeared elsewhere, and it does not overlap with the authors' published work on residential load forecasting.</w:t>
      </w:r>
    </w:p>
    <w:p w14:paraId="29000251" w14:textId="77777777" w:rsidR="00E47846" w:rsidRPr="00F22774" w:rsidRDefault="00E47846" w:rsidP="00E47846">
      <w:pPr>
        <w:jc w:val="both"/>
        <w:rPr>
          <w:rFonts w:ascii="Times New Roman" w:hAnsi="Times New Roman" w:cs="Times New Roman"/>
          <w:lang w:val="en-US"/>
        </w:rPr>
      </w:pPr>
      <w:r>
        <w:rPr>
          <w:rFonts w:ascii="Times New Roman" w:hAnsi="Times New Roman" w:cs="Times New Roman"/>
          <w:b/>
          <w:lang w:val="en-US"/>
        </w:rPr>
        <w:t>Ethics approval and consent to participate.</w:t>
      </w:r>
      <w:r>
        <w:rPr>
          <w:rFonts w:ascii="Times New Roman" w:hAnsi="Times New Roman" w:cs="Times New Roman"/>
          <w:lang w:val="en-US"/>
        </w:rPr>
        <w:t xml:space="preserve"> Not applicable. This study did not involve human participants, human data, or animals; it uses publicly available, pre-anonymized household electricity metering datasets (REFIT, UK-DALE, SHEERM) released for academic research by their respective originating institutions.</w:t>
      </w:r>
    </w:p>
    <w:p w14:paraId="0065B89E" w14:textId="77777777" w:rsidR="00E47846" w:rsidRPr="00DD392A" w:rsidRDefault="00E47846" w:rsidP="00E47846">
      <w:pPr>
        <w:jc w:val="both"/>
        <w:rPr>
          <w:rFonts w:ascii="Times New Roman" w:hAnsi="Times New Roman" w:cs="Times New Roman"/>
          <w:bCs/>
          <w:lang w:val="en-US"/>
        </w:rPr>
      </w:pPr>
      <w:r>
        <w:t>Data availability. UK-DALE, REFIT, SHEERM, ECL and the OpenML-CC18 tasks are publicly available from their originating repositories and are cited in the relevant methods sections. No new raw data were generated. Dataset-selection manifests, compact derived summaries and the 17 OpenML-CC18 per-task prediction artifacts are provided with the code; larger energy-domain artifacts will be linked through a versioned archival release.</w:t>
      </w:r>
    </w:p>
    <w:p w14:paraId="59683B0C" w14:textId="77777777" w:rsidR="00E47846" w:rsidRPr="00DD392A" w:rsidRDefault="00E47846" w:rsidP="00E47846">
      <w:pPr>
        <w:jc w:val="both"/>
        <w:rPr>
          <w:rFonts w:ascii="Times New Roman" w:hAnsi="Times New Roman" w:cs="Times New Roman"/>
          <w:bCs/>
          <w:lang w:val="en-US"/>
        </w:rPr>
      </w:pPr>
      <w:r>
        <w:t>Code availability. Source code, environment specifications, registrations, deviation logs, manifests and result-generation scripts are publicly available at https://github.com/tohmetovakylbek-creator/training-randomness-ablation-validity. The submitted version will be identified by a versioned archival release and persistent identifier. The 17 OpenML-CC18 per-task artifacts are included in the repository; larger energy-domain checkpoints will be linked through the archival release.</w:t>
      </w:r>
    </w:p>
    <w:p w14:paraId="0EAE174D" w14:textId="77777777" w:rsidR="00E47846" w:rsidRPr="00F22774" w:rsidRDefault="00E47846" w:rsidP="00E47846">
      <w:pPr>
        <w:jc w:val="both"/>
        <w:rPr>
          <w:rFonts w:ascii="Times New Roman" w:hAnsi="Times New Roman" w:cs="Times New Roman"/>
          <w:lang w:val="en-US"/>
        </w:rPr>
      </w:pPr>
      <w:r>
        <w:rPr>
          <w:rFonts w:ascii="Times New Roman" w:hAnsi="Times New Roman" w:cs="Times New Roman"/>
          <w:b/>
          <w:lang w:val="en-US"/>
        </w:rPr>
        <w:t>Author contributions.</w:t>
      </w:r>
      <w:r>
        <w:rPr>
          <w:rFonts w:ascii="Times New Roman" w:hAnsi="Times New Roman" w:cs="Times New Roman"/>
          <w:lang w:val="en-US"/>
        </w:rPr>
        <w:t xml:space="preserve"> Akylbek Tokhmetov: Writing – original draft, Supervision, Methodology, Investigation, Data curation, Conceptualization. Liliya Tanchenko: Writing – review &amp; editing, Validation, Formal analysis, Data curation. Danel Musina: Writing – review &amp; editing, Resources, Software, Data curation.</w:t>
      </w:r>
    </w:p>
    <w:p w14:paraId="47C0A1F7" w14:textId="77777777" w:rsidR="00E47846" w:rsidRPr="00F22774" w:rsidRDefault="00E47846" w:rsidP="00E47846">
      <w:pPr>
        <w:jc w:val="both"/>
        <w:rPr>
          <w:rFonts w:ascii="Times New Roman" w:hAnsi="Times New Roman" w:cs="Times New Roman"/>
          <w:lang w:val="en-US"/>
        </w:rPr>
      </w:pPr>
      <w:r>
        <w:rPr>
          <w:rFonts w:ascii="Times New Roman" w:hAnsi="Times New Roman" w:cs="Times New Roman"/>
          <w:b/>
          <w:lang w:val="en-US"/>
        </w:rPr>
        <w:t>Use of generative AI.</w:t>
      </w:r>
      <w:r>
        <w:rPr>
          <w:rFonts w:ascii="Times New Roman" w:hAnsi="Times New Roman" w:cs="Times New Roman"/>
          <w:lang w:val="en-US"/>
        </w:rPr>
        <w:t xml:space="preserve"> During the preparation of this work the authors used an AI assistant (Claude, Anthropic) for language editing and for drafting analysis code, as described in Section 4.6. The authors reviewed and edited the output as required and take full responsibility for the content of the publication.</w:t>
      </w:r>
    </w:p>
    <w:p w14:paraId="44125506" w14:textId="77777777" w:rsidR="00E47846" w:rsidRPr="00F833A2" w:rsidRDefault="00E47846" w:rsidP="00757480">
      <w:pPr>
        <w:pStyle w:val="1"/>
        <w:spacing w:after="160"/>
        <w:rPr>
          <w:lang w:val="en-US"/>
        </w:rPr>
      </w:pPr>
      <w:r>
        <w:rPr>
          <w:lang w:val="en-US"/>
        </w:rPr>
        <w:t>References</w:t>
      </w:r>
      <w:r w:rsidRPr="00F833A2">
        <w:rPr>
          <w:b/>
          <w:lang w:val="en-US"/>
        </w:rPr>
        <w:t xml:space="preserve"> </w:t>
      </w:r>
    </w:p>
    <w:p w14:paraId="0E54AE49" w14:textId="77777777" w:rsidR="00BB709A" w:rsidRPr="00BB709A" w:rsidRDefault="00BB709A" w:rsidP="00BB709A">
      <w:pPr>
        <w:pStyle w:val="a3"/>
        <w:spacing w:after="80" w:line="276" w:lineRule="auto"/>
        <w:contextualSpacing/>
        <w:rPr>
          <w:sz w:val="19"/>
          <w:lang w:val="en-US"/>
        </w:rPr>
      </w:pPr>
      <w:bookmarkStart w:id="4" w:name="ref_ahajjam_2022"/>
      <w:proofErr w:type="spellStart"/>
      <w:r w:rsidRPr="00BB709A">
        <w:rPr>
          <w:sz w:val="19"/>
          <w:lang w:val="en-US"/>
        </w:rPr>
        <w:t>Ahajjam</w:t>
      </w:r>
      <w:proofErr w:type="spellEnd"/>
      <w:r w:rsidRPr="00BB709A">
        <w:rPr>
          <w:sz w:val="19"/>
          <w:lang w:val="en-US"/>
        </w:rPr>
        <w:t xml:space="preserve">, M. A., Bonilla </w:t>
      </w:r>
      <w:proofErr w:type="spellStart"/>
      <w:r w:rsidRPr="00BB709A">
        <w:rPr>
          <w:sz w:val="19"/>
          <w:lang w:val="en-US"/>
        </w:rPr>
        <w:t>Licea</w:t>
      </w:r>
      <w:proofErr w:type="spellEnd"/>
      <w:r w:rsidRPr="00BB709A">
        <w:rPr>
          <w:sz w:val="19"/>
          <w:lang w:val="en-US"/>
        </w:rPr>
        <w:t xml:space="preserve">, D., </w:t>
      </w:r>
      <w:proofErr w:type="spellStart"/>
      <w:r w:rsidRPr="00BB709A">
        <w:rPr>
          <w:sz w:val="19"/>
          <w:lang w:val="en-US"/>
        </w:rPr>
        <w:t>Ghogho</w:t>
      </w:r>
      <w:proofErr w:type="spellEnd"/>
      <w:r w:rsidRPr="00BB709A">
        <w:rPr>
          <w:sz w:val="19"/>
          <w:lang w:val="en-US"/>
        </w:rPr>
        <w:t xml:space="preserve">, M., &amp; </w:t>
      </w:r>
      <w:proofErr w:type="spellStart"/>
      <w:r w:rsidRPr="00BB709A">
        <w:rPr>
          <w:sz w:val="19"/>
          <w:lang w:val="en-US"/>
        </w:rPr>
        <w:t>Kobbane</w:t>
      </w:r>
      <w:proofErr w:type="spellEnd"/>
      <w:r w:rsidRPr="00BB709A">
        <w:rPr>
          <w:sz w:val="19"/>
          <w:lang w:val="en-US"/>
        </w:rPr>
        <w:t>, A. (2022). Experimental investigation of variational mode decomposition and deep learning for short-term multi-horizon residential electric load forecasting. Applied Energy, 326, 119963. https://doi.org/10.1016/j.apenergy.2022.119963</w:t>
      </w:r>
      <w:bookmarkEnd w:id="4"/>
    </w:p>
    <w:p w14:paraId="61AED799" w14:textId="77777777" w:rsidR="00BB709A" w:rsidRPr="00BB709A" w:rsidRDefault="00BB709A" w:rsidP="00BB709A">
      <w:pPr>
        <w:pStyle w:val="a3"/>
        <w:spacing w:after="80" w:line="276" w:lineRule="auto"/>
        <w:contextualSpacing/>
        <w:rPr>
          <w:sz w:val="19"/>
          <w:lang w:val="en-US"/>
        </w:rPr>
      </w:pPr>
      <w:bookmarkStart w:id="5" w:name="ref_belinkov_2022"/>
      <w:proofErr w:type="spellStart"/>
      <w:r w:rsidRPr="00BB709A">
        <w:rPr>
          <w:sz w:val="19"/>
          <w:lang w:val="en-US"/>
        </w:rPr>
        <w:t>Belinkov</w:t>
      </w:r>
      <w:proofErr w:type="spellEnd"/>
      <w:r w:rsidRPr="00BB709A">
        <w:rPr>
          <w:sz w:val="19"/>
          <w:lang w:val="en-US"/>
        </w:rPr>
        <w:t>, Y. (2022). Probing classifiers: Promises, shortcomings, and advances. Computational Linguistics, 48(1), 207–219. https://doi.org/10.1162/coli_a_00422</w:t>
      </w:r>
      <w:bookmarkEnd w:id="5"/>
    </w:p>
    <w:p>
      <w:pPr/>
      <w:r>
        <w:t>Bischl, B., Casalicchio, G., Feurer, M., Hutter, F., Lang, M., Mantovani, R. G., van Rijn, J. N., &amp; Vanschoren, J. (2021). OpenML benchmarking suites. In Proceedings of the Neural Information Processing Systems Track on Datasets and Benchmarks, 1.</w:t>
      </w:r>
    </w:p>
    <w:p w14:paraId="0B91E173" w14:textId="77777777" w:rsidR="00BB709A" w:rsidRPr="00BB709A" w:rsidRDefault="00BB709A" w:rsidP="00BB709A">
      <w:pPr>
        <w:pStyle w:val="a3"/>
        <w:spacing w:after="80" w:line="276" w:lineRule="auto"/>
        <w:contextualSpacing/>
        <w:rPr>
          <w:sz w:val="19"/>
          <w:lang w:val="en-US"/>
        </w:rPr>
      </w:pPr>
      <w:bookmarkStart w:id="6" w:name="ref_bouthillier_2021"/>
      <w:r w:rsidRPr="00BB709A">
        <w:rPr>
          <w:sz w:val="19"/>
          <w:lang w:val="en-US"/>
        </w:rPr>
        <w:t xml:space="preserve">Bouthillier, X., Delaunay, P., </w:t>
      </w:r>
      <w:proofErr w:type="spellStart"/>
      <w:r w:rsidRPr="00BB709A">
        <w:rPr>
          <w:sz w:val="19"/>
          <w:lang w:val="en-US"/>
        </w:rPr>
        <w:t>Bronzi</w:t>
      </w:r>
      <w:proofErr w:type="spellEnd"/>
      <w:r w:rsidRPr="00BB709A">
        <w:rPr>
          <w:sz w:val="19"/>
          <w:lang w:val="en-US"/>
        </w:rPr>
        <w:t xml:space="preserve">, M., </w:t>
      </w:r>
      <w:proofErr w:type="spellStart"/>
      <w:r w:rsidRPr="00BB709A">
        <w:rPr>
          <w:sz w:val="19"/>
          <w:lang w:val="en-US"/>
        </w:rPr>
        <w:t>Trofimov</w:t>
      </w:r>
      <w:proofErr w:type="spellEnd"/>
      <w:r w:rsidRPr="00BB709A">
        <w:rPr>
          <w:sz w:val="19"/>
          <w:lang w:val="en-US"/>
        </w:rPr>
        <w:t xml:space="preserve">, A., </w:t>
      </w:r>
      <w:proofErr w:type="spellStart"/>
      <w:r w:rsidRPr="00BB709A">
        <w:rPr>
          <w:sz w:val="19"/>
          <w:lang w:val="en-US"/>
        </w:rPr>
        <w:t>Nichyporuk</w:t>
      </w:r>
      <w:proofErr w:type="spellEnd"/>
      <w:r w:rsidRPr="00BB709A">
        <w:rPr>
          <w:sz w:val="19"/>
          <w:lang w:val="en-US"/>
        </w:rPr>
        <w:t xml:space="preserve">, B., Szeto, J., </w:t>
      </w:r>
      <w:proofErr w:type="spellStart"/>
      <w:r w:rsidRPr="00BB709A">
        <w:rPr>
          <w:sz w:val="19"/>
          <w:lang w:val="en-US"/>
        </w:rPr>
        <w:t>Sepah</w:t>
      </w:r>
      <w:proofErr w:type="spellEnd"/>
      <w:r w:rsidRPr="00BB709A">
        <w:rPr>
          <w:sz w:val="19"/>
          <w:lang w:val="en-US"/>
        </w:rPr>
        <w:t xml:space="preserve">, N., Raff, E., Madan, K., </w:t>
      </w:r>
      <w:proofErr w:type="spellStart"/>
      <w:r w:rsidRPr="00BB709A">
        <w:rPr>
          <w:sz w:val="19"/>
          <w:lang w:val="en-US"/>
        </w:rPr>
        <w:t>Voleti</w:t>
      </w:r>
      <w:proofErr w:type="spellEnd"/>
      <w:r w:rsidRPr="00BB709A">
        <w:rPr>
          <w:sz w:val="19"/>
          <w:lang w:val="en-US"/>
        </w:rPr>
        <w:t xml:space="preserve">, V., Ebrahimi </w:t>
      </w:r>
      <w:proofErr w:type="spellStart"/>
      <w:r w:rsidRPr="00BB709A">
        <w:rPr>
          <w:sz w:val="19"/>
          <w:lang w:val="en-US"/>
        </w:rPr>
        <w:t>Kahou</w:t>
      </w:r>
      <w:proofErr w:type="spellEnd"/>
      <w:r w:rsidRPr="00BB709A">
        <w:rPr>
          <w:sz w:val="19"/>
          <w:lang w:val="en-US"/>
        </w:rPr>
        <w:t xml:space="preserve">, S., Michalski, V., Serdyuk, D., </w:t>
      </w:r>
      <w:proofErr w:type="spellStart"/>
      <w:r w:rsidRPr="00BB709A">
        <w:rPr>
          <w:sz w:val="19"/>
          <w:lang w:val="en-US"/>
        </w:rPr>
        <w:t>Arbel</w:t>
      </w:r>
      <w:proofErr w:type="spellEnd"/>
      <w:r w:rsidRPr="00BB709A">
        <w:rPr>
          <w:sz w:val="19"/>
          <w:lang w:val="en-US"/>
        </w:rPr>
        <w:t xml:space="preserve">, T., Pal, C., </w:t>
      </w:r>
      <w:proofErr w:type="spellStart"/>
      <w:r w:rsidRPr="00BB709A">
        <w:rPr>
          <w:sz w:val="19"/>
          <w:lang w:val="en-US"/>
        </w:rPr>
        <w:t>Varoquaux</w:t>
      </w:r>
      <w:proofErr w:type="spellEnd"/>
      <w:r w:rsidRPr="00BB709A">
        <w:rPr>
          <w:sz w:val="19"/>
          <w:lang w:val="en-US"/>
        </w:rPr>
        <w:t>, G., &amp; Vincent, P. (2021). Accounting for variance in machine learning benchmarks. In Proceedings of Machine Learning and Systems (Vol. 3, pp. 747–769).</w:t>
      </w:r>
      <w:bookmarkEnd w:id="6"/>
    </w:p>
    <w:p w14:paraId="7682BC96" w14:textId="77777777" w:rsidR="00BB709A" w:rsidRPr="00BB709A" w:rsidRDefault="00BB709A" w:rsidP="00BB709A">
      <w:pPr>
        <w:pStyle w:val="a3"/>
        <w:spacing w:after="80" w:line="276" w:lineRule="auto"/>
        <w:contextualSpacing/>
        <w:rPr>
          <w:sz w:val="19"/>
          <w:lang w:val="en-US"/>
        </w:rPr>
      </w:pPr>
      <w:bookmarkStart w:id="7" w:name="ref_challu_2023"/>
      <w:proofErr w:type="spellStart"/>
      <w:r w:rsidRPr="00BB709A">
        <w:rPr>
          <w:sz w:val="19"/>
          <w:lang w:val="en-US"/>
        </w:rPr>
        <w:t>Challu</w:t>
      </w:r>
      <w:proofErr w:type="spellEnd"/>
      <w:r w:rsidRPr="00BB709A">
        <w:rPr>
          <w:sz w:val="19"/>
          <w:lang w:val="en-US"/>
        </w:rPr>
        <w:t xml:space="preserve">, C., Olivares, K. G., </w:t>
      </w:r>
      <w:proofErr w:type="spellStart"/>
      <w:r w:rsidRPr="00BB709A">
        <w:rPr>
          <w:sz w:val="19"/>
          <w:lang w:val="en-US"/>
        </w:rPr>
        <w:t>Oreshkin</w:t>
      </w:r>
      <w:proofErr w:type="spellEnd"/>
      <w:r w:rsidRPr="00BB709A">
        <w:rPr>
          <w:sz w:val="19"/>
          <w:lang w:val="en-US"/>
        </w:rPr>
        <w:t xml:space="preserve">, B. N., Garza Ramirez, F., Mergenthaler Canseco, M., &amp; </w:t>
      </w:r>
      <w:proofErr w:type="spellStart"/>
      <w:r w:rsidRPr="00BB709A">
        <w:rPr>
          <w:sz w:val="19"/>
          <w:lang w:val="en-US"/>
        </w:rPr>
        <w:t>Dubrawski</w:t>
      </w:r>
      <w:proofErr w:type="spellEnd"/>
      <w:r w:rsidRPr="00BB709A">
        <w:rPr>
          <w:sz w:val="19"/>
          <w:lang w:val="en-US"/>
        </w:rPr>
        <w:t>, A. (2023). N-</w:t>
      </w:r>
      <w:proofErr w:type="spellStart"/>
      <w:r w:rsidRPr="00BB709A">
        <w:rPr>
          <w:sz w:val="19"/>
          <w:lang w:val="en-US"/>
        </w:rPr>
        <w:t>HiTS</w:t>
      </w:r>
      <w:proofErr w:type="spellEnd"/>
      <w:r w:rsidRPr="00BB709A">
        <w:rPr>
          <w:sz w:val="19"/>
          <w:lang w:val="en-US"/>
        </w:rPr>
        <w:t xml:space="preserve">: Neural hierarchical interpolation for time series forecasting. Proceedings of the AAAI Conference on Artificial Intelligence, 37(6), 6989–6997. https://doi.org/10.1609/aaai.v37i6.25854 </w:t>
      </w:r>
      <w:bookmarkEnd w:id="7"/>
    </w:p>
    <w:p w14:paraId="1089AF18" w14:textId="77777777" w:rsidR="00BB709A" w:rsidRPr="00BB709A" w:rsidRDefault="00BB709A" w:rsidP="00BB709A">
      <w:pPr>
        <w:pStyle w:val="a3"/>
        <w:spacing w:after="80" w:line="276" w:lineRule="auto"/>
        <w:contextualSpacing/>
        <w:rPr>
          <w:sz w:val="19"/>
          <w:lang w:val="en-US"/>
        </w:rPr>
      </w:pPr>
      <w:bookmarkStart w:id="8" w:name="ref_dodge_2020"/>
      <w:r w:rsidRPr="00BB709A">
        <w:rPr>
          <w:sz w:val="19"/>
          <w:lang w:val="en-US"/>
        </w:rPr>
        <w:t xml:space="preserve">Dodge, J., </w:t>
      </w:r>
      <w:proofErr w:type="spellStart"/>
      <w:r w:rsidRPr="00BB709A">
        <w:rPr>
          <w:sz w:val="19"/>
          <w:lang w:val="en-US"/>
        </w:rPr>
        <w:t>Ilharco</w:t>
      </w:r>
      <w:proofErr w:type="spellEnd"/>
      <w:r w:rsidRPr="00BB709A">
        <w:rPr>
          <w:sz w:val="19"/>
          <w:lang w:val="en-US"/>
        </w:rPr>
        <w:t xml:space="preserve">, G., Schwartz, R., Farhadi, A., </w:t>
      </w:r>
      <w:proofErr w:type="spellStart"/>
      <w:r w:rsidRPr="00BB709A">
        <w:rPr>
          <w:sz w:val="19"/>
          <w:lang w:val="en-US"/>
        </w:rPr>
        <w:t>Hajishirzi</w:t>
      </w:r>
      <w:proofErr w:type="spellEnd"/>
      <w:r w:rsidRPr="00BB709A">
        <w:rPr>
          <w:sz w:val="19"/>
          <w:lang w:val="en-US"/>
        </w:rPr>
        <w:t>, H., &amp; Smith, N. (2020). Fine-tuning pretrained language models: Weight initializations, data orders, and early stopping. arXiv:2002.06305.</w:t>
      </w:r>
      <w:bookmarkEnd w:id="8"/>
    </w:p>
    <w:p w14:paraId="0D0EF514" w14:textId="77777777" w:rsidR="00BB709A" w:rsidRPr="00BB709A" w:rsidRDefault="00BB709A" w:rsidP="00BB709A">
      <w:pPr>
        <w:pStyle w:val="a3"/>
        <w:spacing w:after="80" w:line="276" w:lineRule="auto"/>
        <w:contextualSpacing/>
        <w:rPr>
          <w:sz w:val="19"/>
          <w:lang w:val="en-US"/>
        </w:rPr>
      </w:pPr>
      <w:bookmarkStart w:id="9" w:name="ref_dong_2025"/>
      <w:r w:rsidRPr="00BB709A">
        <w:rPr>
          <w:sz w:val="19"/>
          <w:lang w:val="en-US"/>
        </w:rPr>
        <w:t xml:space="preserve">Dong, Q., Huang, R., Cui, C., </w:t>
      </w:r>
      <w:proofErr w:type="spellStart"/>
      <w:r w:rsidRPr="00BB709A">
        <w:rPr>
          <w:sz w:val="19"/>
          <w:lang w:val="en-US"/>
        </w:rPr>
        <w:t>Towey</w:t>
      </w:r>
      <w:proofErr w:type="spellEnd"/>
      <w:r w:rsidRPr="00BB709A">
        <w:rPr>
          <w:sz w:val="19"/>
          <w:lang w:val="en-US"/>
        </w:rPr>
        <w:t>, D., Zhou, L., Tian, J., &amp; Wang, J. (2025). Short-term electricity-load forecasting by deep learning: A comprehensive survey. Engineering Applications of Artificial Intelligence, 154, 110980. https://doi.org/10.1016/j.engappai.2025.110980</w:t>
      </w:r>
      <w:bookmarkEnd w:id="9"/>
    </w:p>
    <w:p w14:paraId="11DCAD13" w14:textId="77777777" w:rsidR="00BB709A" w:rsidRPr="00BB709A" w:rsidRDefault="00BB709A" w:rsidP="00BB709A">
      <w:pPr>
        <w:pStyle w:val="a3"/>
        <w:spacing w:after="80" w:line="276" w:lineRule="auto"/>
        <w:contextualSpacing/>
        <w:rPr>
          <w:sz w:val="19"/>
          <w:lang w:val="en-US"/>
        </w:rPr>
      </w:pPr>
      <w:bookmarkStart w:id="10" w:name="ref_dragomiretskiy_2014"/>
      <w:proofErr w:type="spellStart"/>
      <w:r w:rsidRPr="00BB709A">
        <w:rPr>
          <w:sz w:val="19"/>
          <w:lang w:val="en-US"/>
        </w:rPr>
        <w:t>Dragomiretskiy</w:t>
      </w:r>
      <w:proofErr w:type="spellEnd"/>
      <w:r w:rsidRPr="00BB709A">
        <w:rPr>
          <w:sz w:val="19"/>
          <w:lang w:val="en-US"/>
        </w:rPr>
        <w:t xml:space="preserve">, K., &amp; </w:t>
      </w:r>
      <w:proofErr w:type="spellStart"/>
      <w:r w:rsidRPr="00BB709A">
        <w:rPr>
          <w:sz w:val="19"/>
          <w:lang w:val="en-US"/>
        </w:rPr>
        <w:t>Zosso</w:t>
      </w:r>
      <w:proofErr w:type="spellEnd"/>
      <w:r w:rsidRPr="00BB709A">
        <w:rPr>
          <w:sz w:val="19"/>
          <w:lang w:val="en-US"/>
        </w:rPr>
        <w:t>, D. (2014). Variational mode decomposition. IEEE Transactions on Signal Processing, 62(3), 531–544. https://doi.org/10.1109/TSP.2013.2288675</w:t>
      </w:r>
      <w:bookmarkEnd w:id="10"/>
    </w:p>
    <w:p w14:paraId="59E87D34" w14:textId="77777777" w:rsidR="00BB709A" w:rsidRPr="00BB709A" w:rsidRDefault="00BB709A" w:rsidP="00BB709A">
      <w:pPr>
        <w:pStyle w:val="a3"/>
        <w:spacing w:after="80" w:line="276" w:lineRule="auto"/>
        <w:contextualSpacing/>
        <w:rPr>
          <w:sz w:val="19"/>
          <w:lang w:val="en-US"/>
        </w:rPr>
      </w:pPr>
      <w:bookmarkStart w:id="11" w:name="ref_errica_2020"/>
      <w:proofErr w:type="spellStart"/>
      <w:r w:rsidRPr="00BB709A">
        <w:rPr>
          <w:sz w:val="19"/>
          <w:lang w:val="en-US"/>
        </w:rPr>
        <w:t>Errica</w:t>
      </w:r>
      <w:proofErr w:type="spellEnd"/>
      <w:r w:rsidRPr="00BB709A">
        <w:rPr>
          <w:sz w:val="19"/>
          <w:lang w:val="en-US"/>
        </w:rPr>
        <w:t xml:space="preserve">, F., </w:t>
      </w:r>
      <w:proofErr w:type="spellStart"/>
      <w:r w:rsidRPr="00BB709A">
        <w:rPr>
          <w:sz w:val="19"/>
          <w:lang w:val="en-US"/>
        </w:rPr>
        <w:t>Podda</w:t>
      </w:r>
      <w:proofErr w:type="spellEnd"/>
      <w:r w:rsidRPr="00BB709A">
        <w:rPr>
          <w:sz w:val="19"/>
          <w:lang w:val="en-US"/>
        </w:rPr>
        <w:t xml:space="preserve">, M., </w:t>
      </w:r>
      <w:proofErr w:type="spellStart"/>
      <w:r w:rsidRPr="00BB709A">
        <w:rPr>
          <w:sz w:val="19"/>
          <w:lang w:val="en-US"/>
        </w:rPr>
        <w:t>Bacciu</w:t>
      </w:r>
      <w:proofErr w:type="spellEnd"/>
      <w:r w:rsidRPr="00BB709A">
        <w:rPr>
          <w:sz w:val="19"/>
          <w:lang w:val="en-US"/>
        </w:rPr>
        <w:t xml:space="preserve">, D., &amp; </w:t>
      </w:r>
      <w:proofErr w:type="spellStart"/>
      <w:r w:rsidRPr="00BB709A">
        <w:rPr>
          <w:sz w:val="19"/>
          <w:lang w:val="en-US"/>
        </w:rPr>
        <w:t>Micheli</w:t>
      </w:r>
      <w:proofErr w:type="spellEnd"/>
      <w:r w:rsidRPr="00BB709A">
        <w:rPr>
          <w:sz w:val="19"/>
          <w:lang w:val="en-US"/>
        </w:rPr>
        <w:t>, A. (2020). A fair comparison of graph neural networks for graph classification. In The Eighth International Conference on Learning Representations.</w:t>
      </w:r>
      <w:bookmarkEnd w:id="11"/>
    </w:p>
    <w:p w14:paraId="471822C9" w14:textId="77777777" w:rsidR="00BB709A" w:rsidRPr="00BB709A" w:rsidRDefault="00BB709A" w:rsidP="00BB709A">
      <w:pPr>
        <w:pStyle w:val="a3"/>
        <w:spacing w:after="80" w:line="276" w:lineRule="auto"/>
        <w:contextualSpacing/>
        <w:rPr>
          <w:sz w:val="19"/>
          <w:lang w:val="en-US"/>
        </w:rPr>
      </w:pPr>
      <w:bookmarkStart w:id="12" w:name="ref_fernandes_2024"/>
      <w:r w:rsidRPr="00BB709A">
        <w:rPr>
          <w:sz w:val="19"/>
          <w:lang w:val="en-US"/>
        </w:rPr>
        <w:t xml:space="preserve">Fernandes, P., </w:t>
      </w:r>
      <w:proofErr w:type="spellStart"/>
      <w:r w:rsidRPr="00BB709A">
        <w:rPr>
          <w:sz w:val="19"/>
          <w:lang w:val="en-US"/>
        </w:rPr>
        <w:t>Faria</w:t>
      </w:r>
      <w:proofErr w:type="spellEnd"/>
      <w:r w:rsidRPr="00BB709A">
        <w:rPr>
          <w:sz w:val="19"/>
          <w:lang w:val="en-US"/>
        </w:rPr>
        <w:t xml:space="preserve">, P., &amp; Vale, Z. (2024). SHEERM: Sustainable household energy and environment resources management dataset [Data set]. </w:t>
      </w:r>
      <w:proofErr w:type="spellStart"/>
      <w:r w:rsidRPr="00BB709A">
        <w:rPr>
          <w:sz w:val="19"/>
          <w:lang w:val="en-US"/>
        </w:rPr>
        <w:t>Zenodo</w:t>
      </w:r>
      <w:proofErr w:type="spellEnd"/>
      <w:r w:rsidRPr="00BB709A">
        <w:rPr>
          <w:sz w:val="19"/>
          <w:lang w:val="en-US"/>
        </w:rPr>
        <w:t xml:space="preserve">. https://doi.org/10.5281/zenodo.13619621 </w:t>
      </w:r>
      <w:bookmarkEnd w:id="12"/>
    </w:p>
    <w:p w14:paraId="03FB4C45" w14:textId="77777777" w:rsidR="00BB709A" w:rsidRPr="00BB709A" w:rsidRDefault="00BB709A" w:rsidP="00BB709A">
      <w:pPr>
        <w:pStyle w:val="a3"/>
        <w:spacing w:after="80" w:line="276" w:lineRule="auto"/>
        <w:contextualSpacing/>
        <w:rPr>
          <w:sz w:val="19"/>
          <w:lang w:val="en-US"/>
        </w:rPr>
      </w:pPr>
      <w:bookmarkStart w:id="13" w:name="ref_ferraridacrema_2019"/>
      <w:r w:rsidRPr="00BB709A">
        <w:rPr>
          <w:sz w:val="19"/>
          <w:lang w:val="en-US"/>
        </w:rPr>
        <w:t xml:space="preserve">Ferrari </w:t>
      </w:r>
      <w:proofErr w:type="spellStart"/>
      <w:r w:rsidRPr="00BB709A">
        <w:rPr>
          <w:sz w:val="19"/>
          <w:lang w:val="en-US"/>
        </w:rPr>
        <w:t>Dacrema</w:t>
      </w:r>
      <w:proofErr w:type="spellEnd"/>
      <w:r w:rsidRPr="00BB709A">
        <w:rPr>
          <w:sz w:val="19"/>
          <w:lang w:val="en-US"/>
        </w:rPr>
        <w:t xml:space="preserve">, M., </w:t>
      </w:r>
      <w:proofErr w:type="spellStart"/>
      <w:r w:rsidRPr="00BB709A">
        <w:rPr>
          <w:sz w:val="19"/>
          <w:lang w:val="en-US"/>
        </w:rPr>
        <w:t>Cremonesi</w:t>
      </w:r>
      <w:proofErr w:type="spellEnd"/>
      <w:r w:rsidRPr="00BB709A">
        <w:rPr>
          <w:sz w:val="19"/>
          <w:lang w:val="en-US"/>
        </w:rPr>
        <w:t xml:space="preserve">, P., &amp; </w:t>
      </w:r>
      <w:proofErr w:type="spellStart"/>
      <w:r w:rsidRPr="00BB709A">
        <w:rPr>
          <w:sz w:val="19"/>
          <w:lang w:val="en-US"/>
        </w:rPr>
        <w:t>Jannach</w:t>
      </w:r>
      <w:proofErr w:type="spellEnd"/>
      <w:r w:rsidRPr="00BB709A">
        <w:rPr>
          <w:sz w:val="19"/>
          <w:lang w:val="en-US"/>
        </w:rPr>
        <w:t>, D. (2019). Are we really making much progress? A worrying analysis of recent neural recommendation approaches. In Proceedings of the 13th ACM Conference on Recommender Systems (pp. 101–109). ACM. https://doi.org/10.1145/3298689.3347058</w:t>
      </w:r>
      <w:bookmarkEnd w:id="13"/>
    </w:p>
    <w:p w14:paraId="5AA99EF9" w14:textId="77777777" w:rsidR="00BB709A" w:rsidRPr="00BB709A" w:rsidRDefault="00BB709A" w:rsidP="00BB709A">
      <w:pPr>
        <w:pStyle w:val="a3"/>
        <w:spacing w:after="80" w:line="276" w:lineRule="auto"/>
        <w:contextualSpacing/>
        <w:rPr>
          <w:sz w:val="19"/>
          <w:lang w:val="en-US"/>
        </w:rPr>
      </w:pPr>
      <w:bookmarkStart w:id="14" w:name="ref_gao_2025"/>
      <w:r w:rsidRPr="00BB709A">
        <w:rPr>
          <w:sz w:val="19"/>
          <w:lang w:val="en-US"/>
        </w:rPr>
        <w:lastRenderedPageBreak/>
        <w:t>Gao, B., Ni, Q., Ju, F., Chen, Y., &amp; Zhao, Z. (2025). A multi-scale representation learning framework for long-term time series forecasting. arXiv:2505.08199.</w:t>
      </w:r>
      <w:bookmarkEnd w:id="14"/>
    </w:p>
    <w:p w14:paraId="3844A13B" w14:textId="77777777" w:rsidR="00BB709A" w:rsidRPr="00BB709A" w:rsidRDefault="00BB709A" w:rsidP="00BB709A">
      <w:pPr>
        <w:pStyle w:val="a3"/>
        <w:spacing w:after="80" w:line="276" w:lineRule="auto"/>
        <w:contextualSpacing/>
        <w:rPr>
          <w:sz w:val="19"/>
          <w:lang w:val="en-US"/>
        </w:rPr>
      </w:pPr>
      <w:bookmarkStart w:id="15" w:name="ref_gao_2023"/>
      <w:r w:rsidRPr="00BB709A">
        <w:rPr>
          <w:sz w:val="19"/>
          <w:lang w:val="en-US"/>
        </w:rPr>
        <w:t>Gao, J., Hu, W., &amp; Chen, Y. (2023). Client: Cross-variable linear integrated enhanced transformer for multivariate long-term time series forecasting. arXiv:2305.18838.</w:t>
      </w:r>
      <w:bookmarkEnd w:id="15"/>
    </w:p>
    <w:p>
      <w:pPr/>
      <w:r>
        <w:t>Gorishniy, Y., Rubachev, I., Khrulkov, V., &amp; Babenko, A. (2021). Revisiting deep learning models for tabular data. Advances in Neural Information Processing Systems, 34, 18932–18943.</w:t>
      </w:r>
    </w:p>
    <w:p w14:paraId="3BEA280E" w14:textId="77777777" w:rsidR="00BB709A" w:rsidRPr="00BB709A" w:rsidRDefault="00BB709A" w:rsidP="00BB709A">
      <w:pPr>
        <w:pStyle w:val="a3"/>
        <w:spacing w:after="80" w:line="276" w:lineRule="auto"/>
        <w:contextualSpacing/>
        <w:rPr>
          <w:sz w:val="19"/>
          <w:lang w:val="en-US"/>
        </w:rPr>
      </w:pPr>
      <w:bookmarkStart w:id="16" w:name="ref_gundersen_2023"/>
      <w:r w:rsidRPr="00BB709A">
        <w:rPr>
          <w:sz w:val="19"/>
          <w:lang w:val="en-US"/>
        </w:rPr>
        <w:t xml:space="preserve">Gundersen, O. E., </w:t>
      </w:r>
      <w:proofErr w:type="spellStart"/>
      <w:r w:rsidRPr="00BB709A">
        <w:rPr>
          <w:sz w:val="19"/>
          <w:lang w:val="en-US"/>
        </w:rPr>
        <w:t>Shamsaliei</w:t>
      </w:r>
      <w:proofErr w:type="spellEnd"/>
      <w:r w:rsidRPr="00BB709A">
        <w:rPr>
          <w:sz w:val="19"/>
          <w:lang w:val="en-US"/>
        </w:rPr>
        <w:t xml:space="preserve">, S., </w:t>
      </w:r>
      <w:proofErr w:type="spellStart"/>
      <w:r w:rsidRPr="00BB709A">
        <w:rPr>
          <w:sz w:val="19"/>
          <w:lang w:val="en-US"/>
        </w:rPr>
        <w:t>Kjærnli</w:t>
      </w:r>
      <w:proofErr w:type="spellEnd"/>
      <w:r w:rsidRPr="00BB709A">
        <w:rPr>
          <w:sz w:val="19"/>
          <w:lang w:val="en-US"/>
        </w:rPr>
        <w:t xml:space="preserve">, H. S., &amp; </w:t>
      </w:r>
      <w:proofErr w:type="spellStart"/>
      <w:r w:rsidRPr="00BB709A">
        <w:rPr>
          <w:sz w:val="19"/>
          <w:lang w:val="en-US"/>
        </w:rPr>
        <w:t>Langseth</w:t>
      </w:r>
      <w:proofErr w:type="spellEnd"/>
      <w:r w:rsidRPr="00BB709A">
        <w:rPr>
          <w:sz w:val="19"/>
          <w:lang w:val="en-US"/>
        </w:rPr>
        <w:t xml:space="preserve">, H. (2023). On reporting robust and trustworthy conclusions from model comparison studies involving neural networks and randomness. In Proceedings of the 2023 ACM Conference on Reproducibility and Replicability (pp. 37–61). ACM. https://doi.org/10.1145/3589806.3600044 </w:t>
      </w:r>
      <w:bookmarkEnd w:id="16"/>
    </w:p>
    <w:p w14:paraId="210F6FD6" w14:textId="77777777" w:rsidR="00BB709A" w:rsidRPr="00BB709A" w:rsidRDefault="00BB709A" w:rsidP="00BB709A">
      <w:pPr>
        <w:pStyle w:val="a3"/>
        <w:spacing w:after="80" w:line="276" w:lineRule="auto"/>
        <w:contextualSpacing/>
        <w:rPr>
          <w:sz w:val="19"/>
          <w:lang w:val="en-US"/>
        </w:rPr>
      </w:pPr>
      <w:bookmarkStart w:id="17" w:name="ref_han_2024"/>
      <w:r w:rsidRPr="00BB709A">
        <w:rPr>
          <w:sz w:val="19"/>
          <w:lang w:val="en-US"/>
        </w:rPr>
        <w:t>Han, L., Chen, X.-Y., Ye, H.-J., &amp; Zhan, D.-C. (2024). SOFTS: Efficient multivariate time series forecasting with series-core fusion. In Advances in Neural Information Processing Systems 37 (</w:t>
      </w:r>
      <w:proofErr w:type="spellStart"/>
      <w:r w:rsidRPr="00BB709A">
        <w:rPr>
          <w:sz w:val="19"/>
          <w:lang w:val="en-US"/>
        </w:rPr>
        <w:t>NeurIPS</w:t>
      </w:r>
      <w:proofErr w:type="spellEnd"/>
      <w:r w:rsidRPr="00BB709A">
        <w:rPr>
          <w:sz w:val="19"/>
          <w:lang w:val="en-US"/>
        </w:rPr>
        <w:t xml:space="preserve"> 2024).</w:t>
      </w:r>
      <w:bookmarkEnd w:id="17"/>
    </w:p>
    <w:p w14:paraId="68423AE8" w14:textId="77777777" w:rsidR="00BB709A" w:rsidRPr="00BB709A" w:rsidRDefault="00BB709A" w:rsidP="00BB709A">
      <w:pPr>
        <w:pStyle w:val="a3"/>
        <w:spacing w:after="80" w:line="276" w:lineRule="auto"/>
        <w:contextualSpacing/>
        <w:rPr>
          <w:sz w:val="19"/>
          <w:lang w:val="en-US"/>
        </w:rPr>
      </w:pPr>
      <w:bookmarkStart w:id="18" w:name="ref_henderson_2018"/>
      <w:r w:rsidRPr="00BB709A">
        <w:rPr>
          <w:sz w:val="19"/>
          <w:lang w:val="en-US"/>
        </w:rPr>
        <w:t xml:space="preserve">Henderson, P., Islam, R., Bachman, P., </w:t>
      </w:r>
      <w:proofErr w:type="spellStart"/>
      <w:r w:rsidRPr="00BB709A">
        <w:rPr>
          <w:sz w:val="19"/>
          <w:lang w:val="en-US"/>
        </w:rPr>
        <w:t>Pineau</w:t>
      </w:r>
      <w:proofErr w:type="spellEnd"/>
      <w:r w:rsidRPr="00BB709A">
        <w:rPr>
          <w:sz w:val="19"/>
          <w:lang w:val="en-US"/>
        </w:rPr>
        <w:t xml:space="preserve">, J., </w:t>
      </w:r>
      <w:proofErr w:type="spellStart"/>
      <w:r w:rsidRPr="00BB709A">
        <w:rPr>
          <w:sz w:val="19"/>
          <w:lang w:val="en-US"/>
        </w:rPr>
        <w:t>Precup</w:t>
      </w:r>
      <w:proofErr w:type="spellEnd"/>
      <w:r w:rsidRPr="00BB709A">
        <w:rPr>
          <w:sz w:val="19"/>
          <w:lang w:val="en-US"/>
        </w:rPr>
        <w:t xml:space="preserve">, D., &amp; </w:t>
      </w:r>
      <w:proofErr w:type="spellStart"/>
      <w:r w:rsidRPr="00BB709A">
        <w:rPr>
          <w:sz w:val="19"/>
          <w:lang w:val="en-US"/>
        </w:rPr>
        <w:t>Meger</w:t>
      </w:r>
      <w:proofErr w:type="spellEnd"/>
      <w:r w:rsidRPr="00BB709A">
        <w:rPr>
          <w:sz w:val="19"/>
          <w:lang w:val="en-US"/>
        </w:rPr>
        <w:t>, D. (2018). Deep reinforcement learning that matters. Proceedings of the AAAI Conference on Artificial Intelligence, 32(1), 3207–3214. https://doi.org/10.1609/aaai.v32i1.11694</w:t>
      </w:r>
      <w:bookmarkEnd w:id="18"/>
    </w:p>
    <w:p w14:paraId="4FDAD223" w14:textId="77777777" w:rsidR="00BB709A" w:rsidRPr="00BB709A" w:rsidRDefault="00BB709A" w:rsidP="00BB709A">
      <w:pPr>
        <w:pStyle w:val="a3"/>
        <w:spacing w:after="80" w:line="276" w:lineRule="auto"/>
        <w:contextualSpacing/>
        <w:rPr>
          <w:sz w:val="19"/>
          <w:lang w:val="en-US"/>
        </w:rPr>
      </w:pPr>
      <w:bookmarkStart w:id="19" w:name="ref_hewitt_2019"/>
      <w:r w:rsidRPr="00BB709A">
        <w:rPr>
          <w:sz w:val="19"/>
          <w:lang w:val="en-US"/>
        </w:rPr>
        <w:t>Hewitt, J., &amp; Liang, P. (2019). Designing and interpreting probes with control tasks. In Proceedings of the 2019 Conference on Empirical Methods in Natural Language Processing and the 9th International Joint Conference on Natural Language Processing (EMNLP-IJCNLP) (pp. 2733–2743). Association for Computational Linguistics. https://doi.org/10.18653/v1/D19-1275</w:t>
      </w:r>
      <w:bookmarkEnd w:id="19"/>
    </w:p>
    <w:p w14:paraId="18BC6C39" w14:textId="77777777" w:rsidR="00BB709A" w:rsidRPr="00BB709A" w:rsidRDefault="00BB709A" w:rsidP="00BB709A">
      <w:pPr>
        <w:pStyle w:val="a3"/>
        <w:spacing w:after="80" w:line="276" w:lineRule="auto"/>
        <w:contextualSpacing/>
        <w:rPr>
          <w:sz w:val="19"/>
          <w:lang w:val="en-US"/>
        </w:rPr>
      </w:pPr>
      <w:bookmarkStart w:id="20" w:name="ref_kelly_2015"/>
      <w:r w:rsidRPr="00BB709A">
        <w:rPr>
          <w:sz w:val="19"/>
          <w:lang w:val="en-US"/>
        </w:rPr>
        <w:t>Kelly, J., &amp; Knottenbelt, W. (2015). The UK-DALE dataset, domestic appliance-level electricity demand and whole-house demand from five UK homes. Scientific Data, 2(1), 150007. https://doi.org/10.1038/sdata.2015.7</w:t>
      </w:r>
      <w:bookmarkEnd w:id="20"/>
    </w:p>
    <w:p w14:paraId="0F908294" w14:textId="77777777" w:rsidR="00BB709A" w:rsidRPr="00BB709A" w:rsidRDefault="00BB709A" w:rsidP="00BB709A">
      <w:pPr>
        <w:pStyle w:val="a3"/>
        <w:spacing w:after="80" w:line="276" w:lineRule="auto"/>
        <w:contextualSpacing/>
        <w:rPr>
          <w:sz w:val="19"/>
          <w:lang w:val="en-US"/>
        </w:rPr>
      </w:pPr>
      <w:bookmarkStart w:id="21" w:name="ref_liu_2024"/>
      <w:r w:rsidRPr="00BB709A">
        <w:rPr>
          <w:sz w:val="19"/>
          <w:lang w:val="en-US"/>
        </w:rPr>
        <w:t xml:space="preserve">Liu, Y., Hu, T., Zhang, H., Wu, H., Wang, S., Ma, L., &amp; Long, M. (2024). </w:t>
      </w:r>
      <w:proofErr w:type="spellStart"/>
      <w:r w:rsidRPr="00BB709A">
        <w:rPr>
          <w:sz w:val="19"/>
          <w:lang w:val="en-US"/>
        </w:rPr>
        <w:t>iTransformer</w:t>
      </w:r>
      <w:proofErr w:type="spellEnd"/>
      <w:r w:rsidRPr="00BB709A">
        <w:rPr>
          <w:sz w:val="19"/>
          <w:lang w:val="en-US"/>
        </w:rPr>
        <w:t>: Inverted transformers are effective for time series forecasting. In The Twelfth International Conference on Learning Representations.</w:t>
      </w:r>
      <w:bookmarkEnd w:id="21"/>
    </w:p>
    <w:p w14:paraId="35EE2043" w14:textId="77777777" w:rsidR="00BB709A" w:rsidRPr="00BB709A" w:rsidRDefault="00BB709A" w:rsidP="00BB709A">
      <w:pPr>
        <w:pStyle w:val="a3"/>
        <w:spacing w:after="80" w:line="276" w:lineRule="auto"/>
        <w:contextualSpacing/>
        <w:rPr>
          <w:sz w:val="19"/>
          <w:lang w:val="en-US"/>
        </w:rPr>
      </w:pPr>
      <w:bookmarkStart w:id="22" w:name="ref_murad_2025"/>
      <w:r w:rsidRPr="00BB709A">
        <w:rPr>
          <w:sz w:val="19"/>
          <w:lang w:val="en-US"/>
        </w:rPr>
        <w:t xml:space="preserve">Murad, M. M. N., </w:t>
      </w:r>
      <w:proofErr w:type="spellStart"/>
      <w:r w:rsidRPr="00BB709A">
        <w:rPr>
          <w:sz w:val="19"/>
          <w:lang w:val="en-US"/>
        </w:rPr>
        <w:t>Aktukmak</w:t>
      </w:r>
      <w:proofErr w:type="spellEnd"/>
      <w:r w:rsidRPr="00BB709A">
        <w:rPr>
          <w:sz w:val="19"/>
          <w:lang w:val="en-US"/>
        </w:rPr>
        <w:t xml:space="preserve">, M., &amp; Yilmaz, Y. (2025). </w:t>
      </w:r>
      <w:proofErr w:type="spellStart"/>
      <w:r w:rsidRPr="00BB709A">
        <w:rPr>
          <w:sz w:val="19"/>
          <w:lang w:val="en-US"/>
        </w:rPr>
        <w:t>WPMixer</w:t>
      </w:r>
      <w:proofErr w:type="spellEnd"/>
      <w:r w:rsidRPr="00BB709A">
        <w:rPr>
          <w:sz w:val="19"/>
          <w:lang w:val="en-US"/>
        </w:rPr>
        <w:t>: Efficient multi-resolution mixing for long-term time series forecasting. Proceedings of the AAAI Conference on Artificial Intelligence, 39(18), 19581–19588. https://doi.org/10.1609/aaai.v39i18.34156</w:t>
      </w:r>
      <w:bookmarkEnd w:id="22"/>
    </w:p>
    <w:p w14:paraId="0B588289" w14:textId="77777777" w:rsidR="00BB709A" w:rsidRPr="00BB709A" w:rsidRDefault="00BB709A" w:rsidP="00BB709A">
      <w:pPr>
        <w:pStyle w:val="a3"/>
        <w:spacing w:after="80" w:line="276" w:lineRule="auto"/>
        <w:contextualSpacing/>
        <w:rPr>
          <w:sz w:val="19"/>
          <w:lang w:val="en-US"/>
        </w:rPr>
      </w:pPr>
      <w:bookmarkStart w:id="23" w:name="ref_murray_2017"/>
      <w:r w:rsidRPr="00BB709A">
        <w:rPr>
          <w:sz w:val="19"/>
          <w:lang w:val="en-US"/>
        </w:rPr>
        <w:t>Murray, D., Stankovic, L., &amp; Stankovic, V. (2017). An electrical load measurements dataset of 20 UK households from a two-year longitudinal study. Scientific Data, 4(1), 160122. https://doi.org/10.1038/sdata.2016.122</w:t>
      </w:r>
      <w:bookmarkEnd w:id="23"/>
    </w:p>
    <w:p w14:paraId="5D946D3A" w14:textId="77777777" w:rsidR="00BB709A" w:rsidRPr="00BB709A" w:rsidRDefault="00BB709A" w:rsidP="00BB709A">
      <w:pPr>
        <w:pStyle w:val="a3"/>
        <w:spacing w:after="80" w:line="276" w:lineRule="auto"/>
        <w:contextualSpacing/>
        <w:rPr>
          <w:sz w:val="19"/>
          <w:lang w:val="en-US"/>
        </w:rPr>
      </w:pPr>
      <w:bookmarkStart w:id="24" w:name="ref_musgrave_2020"/>
      <w:r w:rsidRPr="00BB709A">
        <w:rPr>
          <w:sz w:val="19"/>
          <w:lang w:val="en-US"/>
        </w:rPr>
        <w:t xml:space="preserve">Musgrave, K., </w:t>
      </w:r>
      <w:proofErr w:type="spellStart"/>
      <w:r w:rsidRPr="00BB709A">
        <w:rPr>
          <w:sz w:val="19"/>
          <w:lang w:val="en-US"/>
        </w:rPr>
        <w:t>Belongie</w:t>
      </w:r>
      <w:proofErr w:type="spellEnd"/>
      <w:r w:rsidRPr="00BB709A">
        <w:rPr>
          <w:sz w:val="19"/>
          <w:lang w:val="en-US"/>
        </w:rPr>
        <w:t xml:space="preserve">, S., &amp; Lim, S.-N. (2020). A metric learning reality check. In A. </w:t>
      </w:r>
      <w:proofErr w:type="spellStart"/>
      <w:r w:rsidRPr="00BB709A">
        <w:rPr>
          <w:sz w:val="19"/>
          <w:lang w:val="en-US"/>
        </w:rPr>
        <w:t>Vedaldi</w:t>
      </w:r>
      <w:proofErr w:type="spellEnd"/>
      <w:r w:rsidRPr="00BB709A">
        <w:rPr>
          <w:sz w:val="19"/>
          <w:lang w:val="en-US"/>
        </w:rPr>
        <w:t xml:space="preserve">, H. Bischof, T. </w:t>
      </w:r>
      <w:proofErr w:type="spellStart"/>
      <w:r w:rsidRPr="00BB709A">
        <w:rPr>
          <w:sz w:val="19"/>
          <w:lang w:val="en-US"/>
        </w:rPr>
        <w:t>Brox</w:t>
      </w:r>
      <w:proofErr w:type="spellEnd"/>
      <w:r w:rsidRPr="00BB709A">
        <w:rPr>
          <w:sz w:val="19"/>
          <w:lang w:val="en-US"/>
        </w:rPr>
        <w:t>, &amp; J.-M. Frahm (Eds.), Computer Vision – ECCV 2020. Lecture Notes in Computer Science (Vol. 12370, pp. 681–699). Springer. https://doi.org/10.1007/978-3-030-58595-2_41</w:t>
      </w:r>
      <w:bookmarkEnd w:id="24"/>
    </w:p>
    <w:p w14:paraId="222F3166" w14:textId="77777777" w:rsidR="00BB709A" w:rsidRPr="00BB709A" w:rsidRDefault="00BB709A" w:rsidP="00BB709A">
      <w:pPr>
        <w:pStyle w:val="a3"/>
        <w:spacing w:after="80" w:line="276" w:lineRule="auto"/>
        <w:contextualSpacing/>
        <w:rPr>
          <w:sz w:val="19"/>
          <w:lang w:val="en-US"/>
        </w:rPr>
      </w:pPr>
      <w:bookmarkStart w:id="25" w:name="ref_musina_2026"/>
      <w:r w:rsidRPr="00BB709A">
        <w:rPr>
          <w:sz w:val="19"/>
          <w:lang w:val="en-US"/>
        </w:rPr>
        <w:t xml:space="preserve">Musina, D. T. (2026). </w:t>
      </w:r>
      <w:proofErr w:type="spellStart"/>
      <w:r w:rsidRPr="00BB709A">
        <w:rPr>
          <w:sz w:val="19"/>
          <w:lang w:val="en-US"/>
        </w:rPr>
        <w:t>Razrabotka</w:t>
      </w:r>
      <w:proofErr w:type="spellEnd"/>
      <w:r w:rsidRPr="00BB709A">
        <w:rPr>
          <w:sz w:val="19"/>
          <w:lang w:val="en-US"/>
        </w:rPr>
        <w:t xml:space="preserve"> </w:t>
      </w:r>
      <w:proofErr w:type="spellStart"/>
      <w:r w:rsidRPr="00BB709A">
        <w:rPr>
          <w:sz w:val="19"/>
          <w:lang w:val="en-US"/>
        </w:rPr>
        <w:t>intellektual'noi</w:t>
      </w:r>
      <w:proofErr w:type="spellEnd"/>
      <w:r w:rsidRPr="00BB709A">
        <w:rPr>
          <w:sz w:val="19"/>
          <w:lang w:val="en-US"/>
        </w:rPr>
        <w:t xml:space="preserve"> </w:t>
      </w:r>
      <w:proofErr w:type="spellStart"/>
      <w:r w:rsidRPr="00BB709A">
        <w:rPr>
          <w:sz w:val="19"/>
          <w:lang w:val="en-US"/>
        </w:rPr>
        <w:t>sistemy</w:t>
      </w:r>
      <w:proofErr w:type="spellEnd"/>
      <w:r w:rsidRPr="00BB709A">
        <w:rPr>
          <w:sz w:val="19"/>
          <w:lang w:val="en-US"/>
        </w:rPr>
        <w:t xml:space="preserve"> </w:t>
      </w:r>
      <w:proofErr w:type="spellStart"/>
      <w:r w:rsidRPr="00BB709A">
        <w:rPr>
          <w:sz w:val="19"/>
          <w:lang w:val="en-US"/>
        </w:rPr>
        <w:t>upravleniya</w:t>
      </w:r>
      <w:proofErr w:type="spellEnd"/>
      <w:r w:rsidRPr="00BB709A">
        <w:rPr>
          <w:sz w:val="19"/>
          <w:lang w:val="en-US"/>
        </w:rPr>
        <w:t xml:space="preserve"> </w:t>
      </w:r>
      <w:proofErr w:type="spellStart"/>
      <w:r w:rsidRPr="00BB709A">
        <w:rPr>
          <w:sz w:val="19"/>
          <w:lang w:val="en-US"/>
        </w:rPr>
        <w:t>energopotrebleniem</w:t>
      </w:r>
      <w:proofErr w:type="spellEnd"/>
      <w:r w:rsidRPr="00BB709A">
        <w:rPr>
          <w:sz w:val="19"/>
          <w:lang w:val="en-US"/>
        </w:rPr>
        <w:t xml:space="preserve"> </w:t>
      </w:r>
      <w:proofErr w:type="spellStart"/>
      <w:r w:rsidRPr="00BB709A">
        <w:rPr>
          <w:sz w:val="19"/>
          <w:lang w:val="en-US"/>
        </w:rPr>
        <w:t>dlya</w:t>
      </w:r>
      <w:proofErr w:type="spellEnd"/>
      <w:r w:rsidRPr="00BB709A">
        <w:rPr>
          <w:sz w:val="19"/>
          <w:lang w:val="en-US"/>
        </w:rPr>
        <w:t xml:space="preserve"> </w:t>
      </w:r>
      <w:proofErr w:type="spellStart"/>
      <w:r w:rsidRPr="00BB709A">
        <w:rPr>
          <w:sz w:val="19"/>
          <w:lang w:val="en-US"/>
        </w:rPr>
        <w:t>umnykh</w:t>
      </w:r>
      <w:proofErr w:type="spellEnd"/>
      <w:r w:rsidRPr="00BB709A">
        <w:rPr>
          <w:sz w:val="19"/>
          <w:lang w:val="en-US"/>
        </w:rPr>
        <w:t xml:space="preserve"> </w:t>
      </w:r>
      <w:proofErr w:type="spellStart"/>
      <w:r w:rsidRPr="00BB709A">
        <w:rPr>
          <w:sz w:val="19"/>
          <w:lang w:val="en-US"/>
        </w:rPr>
        <w:t>domov</w:t>
      </w:r>
      <w:proofErr w:type="spellEnd"/>
      <w:r w:rsidRPr="00BB709A">
        <w:rPr>
          <w:sz w:val="19"/>
          <w:lang w:val="en-US"/>
        </w:rPr>
        <w:t xml:space="preserve"> [Development of an intelligent energy management system for smart homes]. Bachelor's thesis, L.N. Gumilyov Eurasian National University, Astana, Kazakhstan (unpublished).</w:t>
      </w:r>
      <w:bookmarkEnd w:id="25"/>
    </w:p>
    <w:p w14:paraId="0786DC0B" w14:textId="77777777" w:rsidR="00BB709A" w:rsidRPr="00BB709A" w:rsidRDefault="00BB709A" w:rsidP="00BB709A">
      <w:pPr>
        <w:pStyle w:val="a3"/>
        <w:spacing w:after="80" w:line="276" w:lineRule="auto"/>
        <w:contextualSpacing/>
        <w:rPr>
          <w:sz w:val="19"/>
          <w:lang w:val="en-US"/>
        </w:rPr>
      </w:pPr>
      <w:bookmarkStart w:id="26" w:name="ref_oreshkin_2020"/>
      <w:proofErr w:type="spellStart"/>
      <w:r w:rsidRPr="00BB709A">
        <w:rPr>
          <w:sz w:val="19"/>
          <w:lang w:val="en-US"/>
        </w:rPr>
        <w:t>Oreshkin</w:t>
      </w:r>
      <w:proofErr w:type="spellEnd"/>
      <w:r w:rsidRPr="00BB709A">
        <w:rPr>
          <w:sz w:val="19"/>
          <w:lang w:val="en-US"/>
        </w:rPr>
        <w:t xml:space="preserve">, B. N., </w:t>
      </w:r>
      <w:proofErr w:type="spellStart"/>
      <w:r w:rsidRPr="00BB709A">
        <w:rPr>
          <w:sz w:val="19"/>
          <w:lang w:val="en-US"/>
        </w:rPr>
        <w:t>Carpov</w:t>
      </w:r>
      <w:proofErr w:type="spellEnd"/>
      <w:r w:rsidRPr="00BB709A">
        <w:rPr>
          <w:sz w:val="19"/>
          <w:lang w:val="en-US"/>
        </w:rPr>
        <w:t xml:space="preserve">, D., </w:t>
      </w:r>
      <w:proofErr w:type="spellStart"/>
      <w:r w:rsidRPr="00BB709A">
        <w:rPr>
          <w:sz w:val="19"/>
          <w:lang w:val="en-US"/>
        </w:rPr>
        <w:t>Chapados</w:t>
      </w:r>
      <w:proofErr w:type="spellEnd"/>
      <w:r w:rsidRPr="00BB709A">
        <w:rPr>
          <w:sz w:val="19"/>
          <w:lang w:val="en-US"/>
        </w:rPr>
        <w:t xml:space="preserve">, N., &amp; </w:t>
      </w:r>
      <w:proofErr w:type="spellStart"/>
      <w:r w:rsidRPr="00BB709A">
        <w:rPr>
          <w:sz w:val="19"/>
          <w:lang w:val="en-US"/>
        </w:rPr>
        <w:t>Bengio</w:t>
      </w:r>
      <w:proofErr w:type="spellEnd"/>
      <w:r w:rsidRPr="00BB709A">
        <w:rPr>
          <w:sz w:val="19"/>
          <w:lang w:val="en-US"/>
        </w:rPr>
        <w:t>, Y. (2020). N-BEATS: Neural basis expansion analysis for interpretable time series forecasting. In The Eighth International Conference on Learning Representations.</w:t>
      </w:r>
      <w:bookmarkEnd w:id="26"/>
    </w:p>
    <w:p w14:paraId="5BB43822" w14:textId="77777777" w:rsidR="00BB709A" w:rsidRPr="00BB709A" w:rsidRDefault="00BB709A" w:rsidP="00BB709A">
      <w:pPr>
        <w:pStyle w:val="a3"/>
        <w:spacing w:after="80" w:line="276" w:lineRule="auto"/>
        <w:contextualSpacing/>
        <w:rPr>
          <w:sz w:val="19"/>
          <w:lang w:val="en-US"/>
        </w:rPr>
      </w:pPr>
      <w:bookmarkStart w:id="27" w:name="ref_picard_2021"/>
      <w:r w:rsidRPr="00BB709A">
        <w:rPr>
          <w:sz w:val="19"/>
          <w:lang w:val="en-US"/>
        </w:rPr>
        <w:t xml:space="preserve">Picard, D. (2021). </w:t>
      </w:r>
      <w:proofErr w:type="spellStart"/>
      <w:proofErr w:type="gramStart"/>
      <w:r w:rsidRPr="00BB709A">
        <w:rPr>
          <w:sz w:val="19"/>
          <w:lang w:val="en-US"/>
        </w:rPr>
        <w:t>torch.manual</w:t>
      </w:r>
      <w:proofErr w:type="gramEnd"/>
      <w:r w:rsidRPr="00BB709A">
        <w:rPr>
          <w:sz w:val="19"/>
          <w:lang w:val="en-US"/>
        </w:rPr>
        <w:t>_seed</w:t>
      </w:r>
      <w:proofErr w:type="spellEnd"/>
      <w:r w:rsidRPr="00BB709A">
        <w:rPr>
          <w:sz w:val="19"/>
          <w:lang w:val="en-US"/>
        </w:rPr>
        <w:t>(3407) is all you need: On the influence of random seeds in deep learning architectures for computer vision. arXiv:2109.08203.</w:t>
      </w:r>
      <w:bookmarkEnd w:id="27"/>
    </w:p>
    <w:p w14:paraId="2BDA5BA7" w14:textId="77777777" w:rsidR="00BB709A" w:rsidRPr="00BB709A" w:rsidRDefault="00BB709A" w:rsidP="00BB709A">
      <w:pPr>
        <w:pStyle w:val="a3"/>
        <w:spacing w:after="80" w:line="276" w:lineRule="auto"/>
        <w:contextualSpacing/>
        <w:rPr>
          <w:sz w:val="19"/>
          <w:lang w:val="en-US"/>
        </w:rPr>
      </w:pPr>
      <w:bookmarkStart w:id="28" w:name="ref_summers_2021"/>
      <w:r w:rsidRPr="00BB709A">
        <w:rPr>
          <w:sz w:val="19"/>
          <w:lang w:val="en-US"/>
        </w:rPr>
        <w:t xml:space="preserve">Summers, C., &amp; </w:t>
      </w:r>
      <w:proofErr w:type="spellStart"/>
      <w:r w:rsidRPr="00BB709A">
        <w:rPr>
          <w:sz w:val="19"/>
          <w:lang w:val="en-US"/>
        </w:rPr>
        <w:t>Dinneen</w:t>
      </w:r>
      <w:proofErr w:type="spellEnd"/>
      <w:r w:rsidRPr="00BB709A">
        <w:rPr>
          <w:sz w:val="19"/>
          <w:lang w:val="en-US"/>
        </w:rPr>
        <w:t>, M. J. (2021). Nondeterminism and instability in neural network optimization. In Proceedings of the 38th International Conference on Machine Learning (Vol. 139, pp. 9913–9922). PMLR.</w:t>
      </w:r>
      <w:bookmarkEnd w:id="28"/>
    </w:p>
    <w:p w14:paraId="72FACD56" w14:textId="77777777" w:rsidR="00BB709A" w:rsidRPr="00BB709A" w:rsidRDefault="00BB709A" w:rsidP="00BB709A">
      <w:pPr>
        <w:pStyle w:val="a3"/>
        <w:spacing w:after="80" w:line="276" w:lineRule="auto"/>
        <w:contextualSpacing/>
        <w:rPr>
          <w:sz w:val="19"/>
          <w:lang w:val="en-US"/>
        </w:rPr>
      </w:pPr>
      <w:bookmarkStart w:id="29" w:name="ref_tokhmetov_2026"/>
      <w:r w:rsidRPr="00BB709A">
        <w:rPr>
          <w:sz w:val="19"/>
          <w:lang w:val="en-US"/>
        </w:rPr>
        <w:t xml:space="preserve">Tokhmetov, A., </w:t>
      </w:r>
      <w:proofErr w:type="spellStart"/>
      <w:r w:rsidRPr="00BB709A">
        <w:rPr>
          <w:sz w:val="19"/>
          <w:lang w:val="en-US"/>
        </w:rPr>
        <w:t>Serikbayeva</w:t>
      </w:r>
      <w:proofErr w:type="spellEnd"/>
      <w:r w:rsidRPr="00BB709A">
        <w:rPr>
          <w:sz w:val="19"/>
          <w:lang w:val="en-US"/>
        </w:rPr>
        <w:t>, S., Tanchenko, L., &amp; Kenesbay, M. (2026). AI-based energy forecasting and improved demand management in smart homes. Herald of the Kazakh-British Technical University, 23(2), 133–149. https://doi.org/10.55452/1998-6688-2026-23-2-133-149</w:t>
      </w:r>
      <w:bookmarkEnd w:id="29"/>
    </w:p>
    <w:p>
      <w:pPr/>
      <w:r>
        <w:t>Vanschoren, J., van Rijn, J. N., Bischl, B., &amp; Torgo, L. (2014). OpenML: Networked science in machine learning. ACM SIGKDD Explorations Newsletter, 15(2), 49–60. https://doi.org/10.1145/2641190.2641198</w:t>
      </w:r>
    </w:p>
    <w:p w14:paraId="1AA45AE0" w14:textId="77777777" w:rsidR="00BB709A" w:rsidRPr="00BB709A" w:rsidRDefault="00BB709A" w:rsidP="00BB709A">
      <w:pPr>
        <w:pStyle w:val="a3"/>
        <w:spacing w:after="80" w:line="276" w:lineRule="auto"/>
        <w:contextualSpacing/>
        <w:rPr>
          <w:sz w:val="19"/>
          <w:lang w:val="en-US"/>
        </w:rPr>
      </w:pPr>
      <w:bookmarkStart w:id="30" w:name="ref_wang_2023"/>
      <w:r w:rsidRPr="00BB709A">
        <w:rPr>
          <w:sz w:val="19"/>
          <w:lang w:val="en-US"/>
        </w:rPr>
        <w:t>Wang, H., Peng, J., Huang, F., Wang, J., Chen, J., &amp; Xiao, Y. (2023). MICN: Multi-scale local and global context modeling for long-term series forecasting. In The Eleventh International Conference on Learning Representations.</w:t>
      </w:r>
      <w:bookmarkEnd w:id="30"/>
    </w:p>
    <w:p w14:paraId="2E3EF5F4" w14:textId="77777777" w:rsidR="00BB709A" w:rsidRPr="00BB709A" w:rsidRDefault="00BB709A" w:rsidP="00BB709A">
      <w:pPr>
        <w:pStyle w:val="a3"/>
        <w:spacing w:after="80" w:line="276" w:lineRule="auto"/>
        <w:contextualSpacing/>
        <w:rPr>
          <w:sz w:val="19"/>
          <w:lang w:val="en-US"/>
        </w:rPr>
      </w:pPr>
      <w:bookmarkStart w:id="31" w:name="ref_wang_2024"/>
      <w:r w:rsidRPr="00BB709A">
        <w:rPr>
          <w:sz w:val="19"/>
          <w:lang w:val="en-US"/>
        </w:rPr>
        <w:t xml:space="preserve">Wang, S., Wu, H., Shi, X., Hu, T., Luo, H., Ma, L., Zhang, J. Y., &amp; Zhou, J. (2024). </w:t>
      </w:r>
      <w:proofErr w:type="spellStart"/>
      <w:r w:rsidRPr="00BB709A">
        <w:rPr>
          <w:sz w:val="19"/>
          <w:lang w:val="en-US"/>
        </w:rPr>
        <w:t>TimeMixer</w:t>
      </w:r>
      <w:proofErr w:type="spellEnd"/>
      <w:r w:rsidRPr="00BB709A">
        <w:rPr>
          <w:sz w:val="19"/>
          <w:lang w:val="en-US"/>
        </w:rPr>
        <w:t xml:space="preserve">: Decomposable multiscale mixing for time series forecasting. In The Twelfth International Conference on Learning Representations. </w:t>
      </w:r>
      <w:bookmarkEnd w:id="31"/>
    </w:p>
    <w:p w14:paraId="406E5C6B" w14:textId="77777777" w:rsidR="00BB709A" w:rsidRPr="00BB709A" w:rsidRDefault="00BB709A" w:rsidP="00BB709A">
      <w:pPr>
        <w:pStyle w:val="a3"/>
        <w:spacing w:after="80" w:line="276" w:lineRule="auto"/>
        <w:contextualSpacing/>
        <w:rPr>
          <w:sz w:val="19"/>
          <w:lang w:val="en-US"/>
        </w:rPr>
      </w:pPr>
      <w:bookmarkStart w:id="32" w:name="ref_wang_2022"/>
      <w:r w:rsidRPr="00BB709A">
        <w:rPr>
          <w:sz w:val="19"/>
          <w:lang w:val="en-US"/>
        </w:rPr>
        <w:t xml:space="preserve">Wang, Z., Xu, X., Zhang, W., </w:t>
      </w:r>
      <w:proofErr w:type="spellStart"/>
      <w:r w:rsidRPr="00BB709A">
        <w:rPr>
          <w:sz w:val="19"/>
          <w:lang w:val="en-US"/>
        </w:rPr>
        <w:t>Trajcevski</w:t>
      </w:r>
      <w:proofErr w:type="spellEnd"/>
      <w:r w:rsidRPr="00BB709A">
        <w:rPr>
          <w:sz w:val="19"/>
          <w:lang w:val="en-US"/>
        </w:rPr>
        <w:t>, G., Zhong, T., &amp; Zhou, F. (2022). Learning latent seasonal-trend representations for time series forecasting. In Advances in Neural Information Processing Systems 35 (</w:t>
      </w:r>
      <w:proofErr w:type="spellStart"/>
      <w:r w:rsidRPr="00BB709A">
        <w:rPr>
          <w:sz w:val="19"/>
          <w:lang w:val="en-US"/>
        </w:rPr>
        <w:t>NeurIPS</w:t>
      </w:r>
      <w:proofErr w:type="spellEnd"/>
      <w:r w:rsidRPr="00BB709A">
        <w:rPr>
          <w:sz w:val="19"/>
          <w:lang w:val="en-US"/>
        </w:rPr>
        <w:t xml:space="preserve"> 2022).</w:t>
      </w:r>
      <w:bookmarkEnd w:id="32"/>
    </w:p>
    <w:p w14:paraId="64DC5959" w14:textId="77777777" w:rsidR="00BB709A" w:rsidRPr="00BB709A" w:rsidRDefault="00BB709A" w:rsidP="00BB709A">
      <w:pPr>
        <w:pStyle w:val="a3"/>
        <w:spacing w:after="80" w:line="276" w:lineRule="auto"/>
        <w:contextualSpacing/>
        <w:rPr>
          <w:sz w:val="19"/>
          <w:lang w:val="en-US"/>
        </w:rPr>
      </w:pPr>
      <w:bookmarkStart w:id="33" w:name="ref_woo_2022a"/>
      <w:r w:rsidRPr="00BB709A">
        <w:rPr>
          <w:sz w:val="19"/>
          <w:lang w:val="en-US"/>
        </w:rPr>
        <w:t xml:space="preserve">Woo, G., Liu, C., Sahoo, D., Kumar, A., &amp; Hoi, S. (2022a). </w:t>
      </w:r>
      <w:proofErr w:type="spellStart"/>
      <w:r w:rsidRPr="00BB709A">
        <w:rPr>
          <w:sz w:val="19"/>
          <w:lang w:val="en-US"/>
        </w:rPr>
        <w:t>CoST</w:t>
      </w:r>
      <w:proofErr w:type="spellEnd"/>
      <w:r w:rsidRPr="00BB709A">
        <w:rPr>
          <w:sz w:val="19"/>
          <w:lang w:val="en-US"/>
        </w:rPr>
        <w:t>: Contrastive learning of disentangled seasonal-trend representations for time series forecasting. In The Tenth International Conference on Learning Representations.</w:t>
      </w:r>
      <w:bookmarkEnd w:id="33"/>
    </w:p>
    <w:p w14:paraId="745C9B6C" w14:textId="77777777" w:rsidR="00BB709A" w:rsidRPr="00BB709A" w:rsidRDefault="00BB709A" w:rsidP="00BB709A">
      <w:pPr>
        <w:pStyle w:val="a3"/>
        <w:spacing w:after="80" w:line="276" w:lineRule="auto"/>
        <w:contextualSpacing/>
        <w:rPr>
          <w:sz w:val="19"/>
          <w:lang w:val="en-US"/>
        </w:rPr>
      </w:pPr>
      <w:bookmarkStart w:id="34" w:name="ref_woo_2022b"/>
      <w:r w:rsidRPr="00BB709A">
        <w:rPr>
          <w:sz w:val="19"/>
          <w:lang w:val="en-US"/>
        </w:rPr>
        <w:t xml:space="preserve">Woo, G., Liu, C., Sahoo, D., Kumar, A., &amp; Hoi, S. (2022b). </w:t>
      </w:r>
      <w:proofErr w:type="spellStart"/>
      <w:r w:rsidRPr="00BB709A">
        <w:rPr>
          <w:sz w:val="19"/>
          <w:lang w:val="en-US"/>
        </w:rPr>
        <w:t>ETSformer</w:t>
      </w:r>
      <w:proofErr w:type="spellEnd"/>
      <w:r w:rsidRPr="00BB709A">
        <w:rPr>
          <w:sz w:val="19"/>
          <w:lang w:val="en-US"/>
        </w:rPr>
        <w:t>: Exponential smoothing transformers for time-series forecasting. arXiv:2202.01381.</w:t>
      </w:r>
      <w:bookmarkEnd w:id="34"/>
    </w:p>
    <w:p w14:paraId="1FC37440" w14:textId="77777777" w:rsidR="00BB709A" w:rsidRPr="00BB709A" w:rsidRDefault="00BB709A" w:rsidP="00BB709A">
      <w:pPr>
        <w:pStyle w:val="a3"/>
        <w:spacing w:after="80" w:line="276" w:lineRule="auto"/>
        <w:contextualSpacing/>
        <w:rPr>
          <w:sz w:val="19"/>
          <w:lang w:val="en-US"/>
        </w:rPr>
      </w:pPr>
      <w:bookmarkStart w:id="35" w:name="ref_wu_2023"/>
      <w:r w:rsidRPr="00BB709A">
        <w:rPr>
          <w:sz w:val="19"/>
          <w:lang w:val="en-US"/>
        </w:rPr>
        <w:t xml:space="preserve">Wu, H., Hu, T., Liu, Y., Zhou, H., Wang, J., &amp; Long, M. (2023). </w:t>
      </w:r>
      <w:proofErr w:type="spellStart"/>
      <w:r w:rsidRPr="00BB709A">
        <w:rPr>
          <w:sz w:val="19"/>
          <w:lang w:val="en-US"/>
        </w:rPr>
        <w:t>TimesNet</w:t>
      </w:r>
      <w:proofErr w:type="spellEnd"/>
      <w:r w:rsidRPr="00BB709A">
        <w:rPr>
          <w:sz w:val="19"/>
          <w:lang w:val="en-US"/>
        </w:rPr>
        <w:t>: Temporal 2D-variation modeling for general time series analysis. In The Eleventh International Conference on Learning Representations.</w:t>
      </w:r>
      <w:bookmarkEnd w:id="35"/>
    </w:p>
    <w:p w14:paraId="284F7206" w14:textId="77777777" w:rsidR="00BB709A" w:rsidRPr="00BB709A" w:rsidRDefault="00BB709A" w:rsidP="00BB709A">
      <w:pPr>
        <w:pStyle w:val="a3"/>
        <w:spacing w:after="80" w:line="276" w:lineRule="auto"/>
        <w:contextualSpacing/>
        <w:rPr>
          <w:sz w:val="19"/>
          <w:lang w:val="en-US"/>
        </w:rPr>
      </w:pPr>
      <w:bookmarkStart w:id="36" w:name="ref_wu_2021"/>
      <w:r w:rsidRPr="00BB709A">
        <w:rPr>
          <w:sz w:val="19"/>
          <w:lang w:val="en-US"/>
        </w:rPr>
        <w:t xml:space="preserve">Wu, H., Xu, J., Wang, J., &amp; Long, M. (2021). </w:t>
      </w:r>
      <w:proofErr w:type="spellStart"/>
      <w:r w:rsidRPr="00BB709A">
        <w:rPr>
          <w:sz w:val="19"/>
          <w:lang w:val="en-US"/>
        </w:rPr>
        <w:t>Autoformer</w:t>
      </w:r>
      <w:proofErr w:type="spellEnd"/>
      <w:r w:rsidRPr="00BB709A">
        <w:rPr>
          <w:sz w:val="19"/>
          <w:lang w:val="en-US"/>
        </w:rPr>
        <w:t>: Decomposition transformers with auto-correlation for long-term series forecasting. In Advances in Neural Information Processing Systems 34 (</w:t>
      </w:r>
      <w:proofErr w:type="spellStart"/>
      <w:r w:rsidRPr="00BB709A">
        <w:rPr>
          <w:sz w:val="19"/>
          <w:lang w:val="en-US"/>
        </w:rPr>
        <w:t>NeurIPS</w:t>
      </w:r>
      <w:proofErr w:type="spellEnd"/>
      <w:r w:rsidRPr="00BB709A">
        <w:rPr>
          <w:sz w:val="19"/>
          <w:lang w:val="en-US"/>
        </w:rPr>
        <w:t xml:space="preserve"> 2021).</w:t>
      </w:r>
      <w:bookmarkEnd w:id="36"/>
    </w:p>
    <w:p w14:paraId="0AD6218E" w14:textId="77777777" w:rsidR="00BB709A" w:rsidRPr="00BB709A" w:rsidRDefault="00BB709A" w:rsidP="00BB709A">
      <w:pPr>
        <w:pStyle w:val="a3"/>
        <w:spacing w:after="80" w:line="276" w:lineRule="auto"/>
        <w:contextualSpacing/>
        <w:rPr>
          <w:sz w:val="19"/>
          <w:lang w:val="en-US"/>
        </w:rPr>
      </w:pPr>
      <w:bookmarkStart w:id="37" w:name="ref_xue_2024"/>
      <w:proofErr w:type="spellStart"/>
      <w:r w:rsidRPr="00BB709A">
        <w:rPr>
          <w:sz w:val="19"/>
          <w:lang w:val="en-US"/>
        </w:rPr>
        <w:t>Xue</w:t>
      </w:r>
      <w:proofErr w:type="spellEnd"/>
      <w:r w:rsidRPr="00BB709A">
        <w:rPr>
          <w:sz w:val="19"/>
          <w:lang w:val="en-US"/>
        </w:rPr>
        <w:t xml:space="preserve">, W., Zhou, T., Wen, Q., Gao, J., Ding, B., &amp; </w:t>
      </w:r>
      <w:proofErr w:type="spellStart"/>
      <w:r w:rsidRPr="00BB709A">
        <w:rPr>
          <w:sz w:val="19"/>
          <w:lang w:val="en-US"/>
        </w:rPr>
        <w:t>Jin</w:t>
      </w:r>
      <w:proofErr w:type="spellEnd"/>
      <w:r w:rsidRPr="00BB709A">
        <w:rPr>
          <w:sz w:val="19"/>
          <w:lang w:val="en-US"/>
        </w:rPr>
        <w:t>, R. (2024). CARD: Channel aligned robust blend transformer for time series forecasting. In The Twelfth International Conference on Learning Representations.</w:t>
      </w:r>
      <w:bookmarkEnd w:id="37"/>
    </w:p>
    <w:p w14:paraId="53D2021A" w14:textId="77777777" w:rsidR="00BB709A" w:rsidRPr="00BB709A" w:rsidRDefault="00BB709A" w:rsidP="00BB709A">
      <w:pPr>
        <w:pStyle w:val="a3"/>
        <w:spacing w:after="80" w:line="276" w:lineRule="auto"/>
        <w:contextualSpacing/>
        <w:rPr>
          <w:sz w:val="19"/>
          <w:lang w:val="en-US"/>
        </w:rPr>
      </w:pPr>
      <w:bookmarkStart w:id="38" w:name="ref_zeng_2023"/>
      <w:r w:rsidRPr="00BB709A">
        <w:rPr>
          <w:sz w:val="19"/>
          <w:lang w:val="en-US"/>
        </w:rPr>
        <w:t>Zeng, A., Chen, M., Zhang, L., &amp; Xu, Q. (2023). Are transformers effective for time series forecasting? Proceedings of the AAAI Conference on Artificial Intelligence, 37(9), 11121–11128. https://doi.org/10.1609/aaai.v37i9.26317</w:t>
      </w:r>
      <w:bookmarkEnd w:id="38"/>
    </w:p>
    <w:p w14:paraId="3AA77E28" w14:textId="77777777" w:rsidR="00BB709A" w:rsidRPr="00BB709A" w:rsidRDefault="00BB709A" w:rsidP="00BB709A">
      <w:pPr>
        <w:pStyle w:val="a3"/>
        <w:spacing w:after="80" w:line="276" w:lineRule="auto"/>
        <w:contextualSpacing/>
        <w:rPr>
          <w:sz w:val="19"/>
          <w:lang w:val="en-US"/>
        </w:rPr>
      </w:pPr>
      <w:bookmarkStart w:id="39" w:name="ref_zhang_2023"/>
      <w:r w:rsidRPr="00BB709A">
        <w:rPr>
          <w:sz w:val="19"/>
          <w:lang w:val="en-US"/>
        </w:rPr>
        <w:lastRenderedPageBreak/>
        <w:t xml:space="preserve">Zhang, Y., &amp; Yan, J. (2023). </w:t>
      </w:r>
      <w:proofErr w:type="spellStart"/>
      <w:r w:rsidRPr="00BB709A">
        <w:rPr>
          <w:sz w:val="19"/>
          <w:lang w:val="en-US"/>
        </w:rPr>
        <w:t>Crossformer</w:t>
      </w:r>
      <w:proofErr w:type="spellEnd"/>
      <w:r w:rsidRPr="00BB709A">
        <w:rPr>
          <w:sz w:val="19"/>
          <w:lang w:val="en-US"/>
        </w:rPr>
        <w:t>: Transformer utilizing cross-dimension dependency for multivariate time series forecasting. In The Eleventh International Conference on Learning Representations.</w:t>
      </w:r>
      <w:bookmarkEnd w:id="39"/>
    </w:p>
    <w:p w14:paraId="469F8EC9" w14:textId="77777777" w:rsidR="00BB709A" w:rsidRPr="00BB709A" w:rsidRDefault="00BB709A" w:rsidP="00BB709A">
      <w:pPr>
        <w:pStyle w:val="a3"/>
        <w:spacing w:after="80" w:line="276" w:lineRule="auto"/>
        <w:contextualSpacing/>
        <w:rPr>
          <w:sz w:val="19"/>
          <w:lang w:val="en-US"/>
        </w:rPr>
      </w:pPr>
      <w:bookmarkStart w:id="40" w:name="ref_zhou_2024"/>
      <w:r w:rsidRPr="00BB709A">
        <w:rPr>
          <w:sz w:val="19"/>
          <w:lang w:val="en-US"/>
        </w:rPr>
        <w:t xml:space="preserve">Zhou, S., Li, Y., Guo, Y., Yang, X., </w:t>
      </w:r>
      <w:proofErr w:type="spellStart"/>
      <w:r w:rsidRPr="00BB709A">
        <w:rPr>
          <w:sz w:val="19"/>
          <w:lang w:val="en-US"/>
        </w:rPr>
        <w:t>Shahidehpour</w:t>
      </w:r>
      <w:proofErr w:type="spellEnd"/>
      <w:r w:rsidRPr="00BB709A">
        <w:rPr>
          <w:sz w:val="19"/>
          <w:lang w:val="en-US"/>
        </w:rPr>
        <w:t>, M., Deng, W., Mei, Y., Ren, L., Liu, Y., Kang, T., &amp; You, J. (2024). A load forecasting framework considering hybrid ensemble deep learning with two-stage load decomposition. IEEE Transactions on Industry Applications. vol. 60, no. 3, pp. 4568-4582, https://doi.org/10.1109/TIA.2024.3354222</w:t>
      </w:r>
      <w:bookmarkEnd w:id="40"/>
    </w:p>
    <w:p w14:paraId="72358F15" w14:textId="77777777" w:rsidR="00BB709A" w:rsidRPr="00BB709A" w:rsidRDefault="00BB709A" w:rsidP="00BB709A">
      <w:pPr>
        <w:pStyle w:val="a3"/>
        <w:spacing w:after="80" w:line="276" w:lineRule="auto"/>
        <w:contextualSpacing/>
        <w:rPr>
          <w:sz w:val="19"/>
          <w:lang w:val="en-US"/>
        </w:rPr>
      </w:pPr>
      <w:bookmarkStart w:id="41" w:name="ref_zhou_2022a"/>
      <w:r w:rsidRPr="00BB709A">
        <w:rPr>
          <w:sz w:val="19"/>
          <w:lang w:val="en-US"/>
        </w:rPr>
        <w:t xml:space="preserve">Zhou, T., Ma, Z., Wen, Q., Wang, X., Sun, L., &amp; </w:t>
      </w:r>
      <w:proofErr w:type="spellStart"/>
      <w:r w:rsidRPr="00BB709A">
        <w:rPr>
          <w:sz w:val="19"/>
          <w:lang w:val="en-US"/>
        </w:rPr>
        <w:t>Jin</w:t>
      </w:r>
      <w:proofErr w:type="spellEnd"/>
      <w:r w:rsidRPr="00BB709A">
        <w:rPr>
          <w:sz w:val="19"/>
          <w:lang w:val="en-US"/>
        </w:rPr>
        <w:t xml:space="preserve">, R. (2022a). </w:t>
      </w:r>
      <w:proofErr w:type="spellStart"/>
      <w:r w:rsidRPr="00BB709A">
        <w:rPr>
          <w:sz w:val="19"/>
          <w:lang w:val="en-US"/>
        </w:rPr>
        <w:t>FEDformer</w:t>
      </w:r>
      <w:proofErr w:type="spellEnd"/>
      <w:r w:rsidRPr="00BB709A">
        <w:rPr>
          <w:sz w:val="19"/>
          <w:lang w:val="en-US"/>
        </w:rPr>
        <w:t>: Frequency enhanced decomposed transformer for long-term series forecasting. In Proceedings of the 39th International Conference on Machine Learning (Vol. 162, pp. 27268–27286). PMLR.</w:t>
      </w:r>
      <w:bookmarkEnd w:id="41"/>
    </w:p>
    <w:p w14:paraId="0BBEFF36" w14:textId="77777777" w:rsidR="00E47846" w:rsidRPr="00F22774" w:rsidRDefault="00BB709A" w:rsidP="00BB709A">
      <w:pPr>
        <w:pStyle w:val="a3"/>
        <w:spacing w:after="80" w:line="276" w:lineRule="auto"/>
        <w:contextualSpacing/>
      </w:pPr>
      <w:bookmarkStart w:id="42" w:name="ref_zhou_2022b"/>
      <w:r w:rsidRPr="00BB709A">
        <w:rPr>
          <w:sz w:val="19"/>
          <w:lang w:val="en-US"/>
        </w:rPr>
        <w:t xml:space="preserve">Zhou, T., Ma, Z., Wang, X., Wen, Q., Sun, L., Yao, T., Yin, W., &amp; </w:t>
      </w:r>
      <w:proofErr w:type="spellStart"/>
      <w:r w:rsidRPr="00BB709A">
        <w:rPr>
          <w:sz w:val="19"/>
          <w:lang w:val="en-US"/>
        </w:rPr>
        <w:t>Jin</w:t>
      </w:r>
      <w:proofErr w:type="spellEnd"/>
      <w:r w:rsidRPr="00BB709A">
        <w:rPr>
          <w:sz w:val="19"/>
          <w:lang w:val="en-US"/>
        </w:rPr>
        <w:t xml:space="preserve">, R. (2022b). </w:t>
      </w:r>
      <w:proofErr w:type="spellStart"/>
      <w:r w:rsidRPr="00BB709A">
        <w:rPr>
          <w:sz w:val="19"/>
          <w:lang w:val="en-US"/>
        </w:rPr>
        <w:t>FiLM</w:t>
      </w:r>
      <w:proofErr w:type="spellEnd"/>
      <w:r w:rsidRPr="00BB709A">
        <w:rPr>
          <w:sz w:val="19"/>
          <w:lang w:val="en-US"/>
        </w:rPr>
        <w:t>: Frequency improved Legendre memory model for long-term time series forecasting. In Advances in Neural Information Processing Systems 35 (</w:t>
      </w:r>
      <w:proofErr w:type="spellStart"/>
      <w:r w:rsidRPr="00BB709A">
        <w:rPr>
          <w:sz w:val="19"/>
          <w:lang w:val="en-US"/>
        </w:rPr>
        <w:t>NeurIPS</w:t>
      </w:r>
      <w:proofErr w:type="spellEnd"/>
      <w:r w:rsidRPr="00BB709A">
        <w:rPr>
          <w:sz w:val="19"/>
          <w:lang w:val="en-US"/>
        </w:rPr>
        <w:t xml:space="preserve"> 2022).</w:t>
      </w:r>
      <w:bookmarkEnd w:id="42"/>
    </w:p>
    <w:sectPr w:rsidR="00E47846" w:rsidRPr="00F2277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7CFB"/>
    <w:multiLevelType w:val="hybridMultilevel"/>
    <w:tmpl w:val="8772C2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058385C"/>
    <w:multiLevelType w:val="multilevel"/>
    <w:tmpl w:val="1AF480DC"/>
    <w:lvl w:ilvl="0">
      <w:start w:val="1"/>
      <w:numFmt w:val="decimal"/>
      <w:lvlText w:val="%1."/>
      <w:lvlJc w:val="left"/>
      <w:pPr>
        <w:ind w:left="720" w:hanging="360"/>
      </w:pPr>
      <w:rPr>
        <w:rFonts w:hint="default"/>
      </w:rPr>
    </w:lvl>
    <w:lvl w:ilvl="1">
      <w:start w:val="1"/>
      <w:numFmt w:val="decimal"/>
      <w:isLgl/>
      <w:lvlText w:val="%1.%2."/>
      <w:lvlJc w:val="left"/>
      <w:pPr>
        <w:ind w:left="864" w:hanging="504"/>
      </w:pPr>
      <w:rPr>
        <w:rFonts w:ascii="Times New Roman" w:hAnsi="Times New Roman" w:cs="Times New Roman" w:hint="default"/>
        <w:color w:val="2E74B5"/>
        <w:sz w:val="32"/>
      </w:rPr>
    </w:lvl>
    <w:lvl w:ilvl="2">
      <w:start w:val="1"/>
      <w:numFmt w:val="decimal"/>
      <w:isLgl/>
      <w:lvlText w:val="%1.%2.%3."/>
      <w:lvlJc w:val="left"/>
      <w:pPr>
        <w:ind w:left="1080" w:hanging="720"/>
      </w:pPr>
      <w:rPr>
        <w:rFonts w:ascii="Times New Roman" w:hAnsi="Times New Roman" w:cs="Times New Roman" w:hint="default"/>
        <w:color w:val="2E74B5"/>
        <w:sz w:val="32"/>
      </w:rPr>
    </w:lvl>
    <w:lvl w:ilvl="3">
      <w:start w:val="1"/>
      <w:numFmt w:val="decimal"/>
      <w:isLgl/>
      <w:lvlText w:val="%1.%2.%3.%4."/>
      <w:lvlJc w:val="left"/>
      <w:pPr>
        <w:ind w:left="1080" w:hanging="720"/>
      </w:pPr>
      <w:rPr>
        <w:rFonts w:ascii="Times New Roman" w:hAnsi="Times New Roman" w:cs="Times New Roman" w:hint="default"/>
        <w:color w:val="2E74B5"/>
        <w:sz w:val="32"/>
      </w:rPr>
    </w:lvl>
    <w:lvl w:ilvl="4">
      <w:start w:val="1"/>
      <w:numFmt w:val="decimal"/>
      <w:isLgl/>
      <w:lvlText w:val="%1.%2.%3.%4.%5."/>
      <w:lvlJc w:val="left"/>
      <w:pPr>
        <w:ind w:left="1440" w:hanging="1080"/>
      </w:pPr>
      <w:rPr>
        <w:rFonts w:ascii="Times New Roman" w:hAnsi="Times New Roman" w:cs="Times New Roman" w:hint="default"/>
        <w:color w:val="2E74B5"/>
        <w:sz w:val="32"/>
      </w:rPr>
    </w:lvl>
    <w:lvl w:ilvl="5">
      <w:start w:val="1"/>
      <w:numFmt w:val="decimal"/>
      <w:isLgl/>
      <w:lvlText w:val="%1.%2.%3.%4.%5.%6."/>
      <w:lvlJc w:val="left"/>
      <w:pPr>
        <w:ind w:left="1440" w:hanging="1080"/>
      </w:pPr>
      <w:rPr>
        <w:rFonts w:ascii="Times New Roman" w:hAnsi="Times New Roman" w:cs="Times New Roman" w:hint="default"/>
        <w:color w:val="2E74B5"/>
        <w:sz w:val="32"/>
      </w:rPr>
    </w:lvl>
    <w:lvl w:ilvl="6">
      <w:start w:val="1"/>
      <w:numFmt w:val="decimal"/>
      <w:isLgl/>
      <w:lvlText w:val="%1.%2.%3.%4.%5.%6.%7."/>
      <w:lvlJc w:val="left"/>
      <w:pPr>
        <w:ind w:left="1800" w:hanging="1440"/>
      </w:pPr>
      <w:rPr>
        <w:rFonts w:ascii="Times New Roman" w:hAnsi="Times New Roman" w:cs="Times New Roman" w:hint="default"/>
        <w:color w:val="2E74B5"/>
        <w:sz w:val="32"/>
      </w:rPr>
    </w:lvl>
    <w:lvl w:ilvl="7">
      <w:start w:val="1"/>
      <w:numFmt w:val="decimal"/>
      <w:isLgl/>
      <w:lvlText w:val="%1.%2.%3.%4.%5.%6.%7.%8."/>
      <w:lvlJc w:val="left"/>
      <w:pPr>
        <w:ind w:left="1800" w:hanging="1440"/>
      </w:pPr>
      <w:rPr>
        <w:rFonts w:ascii="Times New Roman" w:hAnsi="Times New Roman" w:cs="Times New Roman" w:hint="default"/>
        <w:color w:val="2E74B5"/>
        <w:sz w:val="32"/>
      </w:rPr>
    </w:lvl>
    <w:lvl w:ilvl="8">
      <w:start w:val="1"/>
      <w:numFmt w:val="decimal"/>
      <w:isLgl/>
      <w:lvlText w:val="%1.%2.%3.%4.%5.%6.%7.%8.%9."/>
      <w:lvlJc w:val="left"/>
      <w:pPr>
        <w:ind w:left="2160" w:hanging="1800"/>
      </w:pPr>
      <w:rPr>
        <w:rFonts w:ascii="Times New Roman" w:hAnsi="Times New Roman" w:cs="Times New Roman" w:hint="default"/>
        <w:color w:val="2E74B5"/>
        <w:sz w:val="32"/>
      </w:rPr>
    </w:lvl>
  </w:abstractNum>
  <w:abstractNum w:abstractNumId="2" w15:restartNumberingAfterBreak="0">
    <w:nsid w:val="642528D7"/>
    <w:multiLevelType w:val="hybridMultilevel"/>
    <w:tmpl w:val="F1D4D2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F37"/>
    <w:rsid w:val="00012A2C"/>
    <w:rsid w:val="00043B52"/>
    <w:rsid w:val="00047878"/>
    <w:rsid w:val="0008578F"/>
    <w:rsid w:val="000A0F7C"/>
    <w:rsid w:val="000E7118"/>
    <w:rsid w:val="00101EA7"/>
    <w:rsid w:val="0011569C"/>
    <w:rsid w:val="00115951"/>
    <w:rsid w:val="0012040C"/>
    <w:rsid w:val="00125247"/>
    <w:rsid w:val="00146887"/>
    <w:rsid w:val="00147E50"/>
    <w:rsid w:val="00195456"/>
    <w:rsid w:val="001A5677"/>
    <w:rsid w:val="00203635"/>
    <w:rsid w:val="00206C70"/>
    <w:rsid w:val="00220702"/>
    <w:rsid w:val="00220724"/>
    <w:rsid w:val="00233F37"/>
    <w:rsid w:val="0023528F"/>
    <w:rsid w:val="002424C2"/>
    <w:rsid w:val="00245AE2"/>
    <w:rsid w:val="00262DEA"/>
    <w:rsid w:val="002841BC"/>
    <w:rsid w:val="002E4112"/>
    <w:rsid w:val="002F39C1"/>
    <w:rsid w:val="00300032"/>
    <w:rsid w:val="00303F28"/>
    <w:rsid w:val="003151C2"/>
    <w:rsid w:val="003223E0"/>
    <w:rsid w:val="0033557E"/>
    <w:rsid w:val="003406D9"/>
    <w:rsid w:val="00373CA8"/>
    <w:rsid w:val="003926C4"/>
    <w:rsid w:val="00397181"/>
    <w:rsid w:val="003A4620"/>
    <w:rsid w:val="003A471E"/>
    <w:rsid w:val="003A5DB0"/>
    <w:rsid w:val="003B4BED"/>
    <w:rsid w:val="003C36D3"/>
    <w:rsid w:val="004A2954"/>
    <w:rsid w:val="004A6FD4"/>
    <w:rsid w:val="004A7F0F"/>
    <w:rsid w:val="004B04DF"/>
    <w:rsid w:val="004C5168"/>
    <w:rsid w:val="005244D0"/>
    <w:rsid w:val="005343A0"/>
    <w:rsid w:val="005746E9"/>
    <w:rsid w:val="00580C4F"/>
    <w:rsid w:val="005812DE"/>
    <w:rsid w:val="005A00E2"/>
    <w:rsid w:val="005B1948"/>
    <w:rsid w:val="005D2621"/>
    <w:rsid w:val="005E275D"/>
    <w:rsid w:val="00627AD3"/>
    <w:rsid w:val="00647582"/>
    <w:rsid w:val="006509A7"/>
    <w:rsid w:val="0067263A"/>
    <w:rsid w:val="006779B1"/>
    <w:rsid w:val="006A1A03"/>
    <w:rsid w:val="006F4216"/>
    <w:rsid w:val="006F6174"/>
    <w:rsid w:val="00700C41"/>
    <w:rsid w:val="00757480"/>
    <w:rsid w:val="00781F85"/>
    <w:rsid w:val="00791136"/>
    <w:rsid w:val="007915AA"/>
    <w:rsid w:val="00793CA8"/>
    <w:rsid w:val="007A5B57"/>
    <w:rsid w:val="007E046F"/>
    <w:rsid w:val="007E6DB9"/>
    <w:rsid w:val="007F05BC"/>
    <w:rsid w:val="007F1013"/>
    <w:rsid w:val="00837FE6"/>
    <w:rsid w:val="00844329"/>
    <w:rsid w:val="0084461B"/>
    <w:rsid w:val="00882A45"/>
    <w:rsid w:val="008A2606"/>
    <w:rsid w:val="008F710F"/>
    <w:rsid w:val="00992DC1"/>
    <w:rsid w:val="009A3DB4"/>
    <w:rsid w:val="00A17B30"/>
    <w:rsid w:val="00A25277"/>
    <w:rsid w:val="00A47B5E"/>
    <w:rsid w:val="00A50112"/>
    <w:rsid w:val="00A55378"/>
    <w:rsid w:val="00A75AA7"/>
    <w:rsid w:val="00AA1380"/>
    <w:rsid w:val="00AA1977"/>
    <w:rsid w:val="00AA7CE3"/>
    <w:rsid w:val="00AD4AE3"/>
    <w:rsid w:val="00AF109E"/>
    <w:rsid w:val="00B0013C"/>
    <w:rsid w:val="00B501C6"/>
    <w:rsid w:val="00B611D3"/>
    <w:rsid w:val="00B62DB8"/>
    <w:rsid w:val="00B72CE3"/>
    <w:rsid w:val="00B91C93"/>
    <w:rsid w:val="00B957C0"/>
    <w:rsid w:val="00B967FE"/>
    <w:rsid w:val="00BB33D9"/>
    <w:rsid w:val="00BB709A"/>
    <w:rsid w:val="00BC7B50"/>
    <w:rsid w:val="00BE0D75"/>
    <w:rsid w:val="00C15EB4"/>
    <w:rsid w:val="00C21141"/>
    <w:rsid w:val="00C56C61"/>
    <w:rsid w:val="00C63392"/>
    <w:rsid w:val="00C70EB5"/>
    <w:rsid w:val="00C96B8A"/>
    <w:rsid w:val="00CA4BED"/>
    <w:rsid w:val="00CD0D53"/>
    <w:rsid w:val="00CD2380"/>
    <w:rsid w:val="00CD2C2E"/>
    <w:rsid w:val="00CE1755"/>
    <w:rsid w:val="00CE78D3"/>
    <w:rsid w:val="00CF691C"/>
    <w:rsid w:val="00D25B5F"/>
    <w:rsid w:val="00D5053E"/>
    <w:rsid w:val="00D85B70"/>
    <w:rsid w:val="00D93EA7"/>
    <w:rsid w:val="00D95494"/>
    <w:rsid w:val="00DB1D7E"/>
    <w:rsid w:val="00DD392A"/>
    <w:rsid w:val="00DD3CF2"/>
    <w:rsid w:val="00E42460"/>
    <w:rsid w:val="00E465B9"/>
    <w:rsid w:val="00E4748E"/>
    <w:rsid w:val="00E47846"/>
    <w:rsid w:val="00E55B1A"/>
    <w:rsid w:val="00E64F55"/>
    <w:rsid w:val="00E67863"/>
    <w:rsid w:val="00E85C27"/>
    <w:rsid w:val="00ED6106"/>
    <w:rsid w:val="00EF5D14"/>
    <w:rsid w:val="00F16C1B"/>
    <w:rsid w:val="00F22774"/>
    <w:rsid w:val="00F318BD"/>
    <w:rsid w:val="00F31C64"/>
    <w:rsid w:val="00F36D04"/>
    <w:rsid w:val="00F443F7"/>
    <w:rsid w:val="00F833A2"/>
    <w:rsid w:val="00FA4F84"/>
    <w:rsid w:val="00FF006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F35C"/>
  <w15:chartTrackingRefBased/>
  <w15:docId w15:val="{97518D20-65AF-440A-BFB6-395993DB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rsid w:val="00CE1755"/>
    <w:pPr>
      <w:spacing w:after="0" w:line="240" w:lineRule="auto"/>
      <w:outlineLvl w:val="0"/>
    </w:pPr>
    <w:rPr>
      <w:rFonts w:ascii="Times New Roman" w:eastAsia="Times New Roman" w:hAnsi="Times New Roman" w:cs="Times New Roman"/>
      <w:color w:val="2E74B5"/>
      <w:sz w:val="32"/>
      <w:szCs w:val="32"/>
      <w:lang w:eastAsia="ru-RU"/>
    </w:rPr>
  </w:style>
  <w:style w:type="paragraph" w:styleId="2">
    <w:name w:val="heading 2"/>
    <w:basedOn w:val="a"/>
    <w:next w:val="a"/>
    <w:link w:val="20"/>
    <w:uiPriority w:val="9"/>
    <w:unhideWhenUsed/>
    <w:qFormat/>
    <w:rsid w:val="00E64F5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882A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1755"/>
    <w:rPr>
      <w:rFonts w:ascii="Times New Roman" w:eastAsia="Times New Roman" w:hAnsi="Times New Roman" w:cs="Times New Roman"/>
      <w:color w:val="2E74B5"/>
      <w:sz w:val="32"/>
      <w:szCs w:val="32"/>
      <w:lang w:eastAsia="ru-RU"/>
    </w:rPr>
  </w:style>
  <w:style w:type="paragraph" w:styleId="a3">
    <w:name w:val="List Paragraph"/>
    <w:uiPriority w:val="34"/>
    <w:qFormat/>
    <w:rsid w:val="00CE1755"/>
    <w:pPr>
      <w:spacing w:after="0" w:line="240" w:lineRule="auto"/>
    </w:pPr>
    <w:rPr>
      <w:rFonts w:ascii="Times New Roman" w:eastAsia="Times New Roman" w:hAnsi="Times New Roman" w:cs="Times New Roman"/>
      <w:sz w:val="20"/>
      <w:szCs w:val="20"/>
      <w:lang w:eastAsia="ru-RU"/>
    </w:rPr>
  </w:style>
  <w:style w:type="character" w:customStyle="1" w:styleId="20">
    <w:name w:val="Заголовок 2 Знак"/>
    <w:basedOn w:val="a0"/>
    <w:link w:val="2"/>
    <w:uiPriority w:val="9"/>
    <w:rsid w:val="00E64F5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882A45"/>
    <w:rPr>
      <w:rFonts w:asciiTheme="majorHAnsi" w:eastAsiaTheme="majorEastAsia" w:hAnsiTheme="majorHAnsi" w:cstheme="majorBidi"/>
      <w:color w:val="1F3763" w:themeColor="accent1" w:themeShade="7F"/>
      <w:sz w:val="24"/>
      <w:szCs w:val="24"/>
    </w:rPr>
  </w:style>
  <w:style w:type="character" w:styleId="a4">
    <w:name w:val="line number"/>
    <w:basedOn w:val="a0"/>
    <w:uiPriority w:val="99"/>
    <w:semiHidden/>
    <w:unhideWhenUsed/>
    <w:rsid w:val="00146887"/>
  </w:style>
  <w:style w:type="character" w:styleId="a5">
    <w:name w:val="Hyperlink"/>
    <w:basedOn w:val="a0"/>
    <w:uiPriority w:val="99"/>
    <w:unhideWhenUsed/>
    <w:rsid w:val="00CD0D53"/>
    <w:rPr>
      <w:color w:val="0563C1" w:themeColor="hyperlink"/>
      <w:u w:val="single"/>
    </w:rPr>
  </w:style>
  <w:style w:type="character" w:styleId="a6">
    <w:name w:val="Unresolved Mention"/>
    <w:basedOn w:val="a0"/>
    <w:uiPriority w:val="99"/>
    <w:semiHidden/>
    <w:unhideWhenUsed/>
    <w:rsid w:val="00CD0D53"/>
    <w:rPr>
      <w:color w:val="605E5C"/>
      <w:shd w:val="clear" w:color="auto" w:fill="E1DFDD"/>
    </w:rPr>
  </w:style>
  <w:style w:type="character" w:styleId="a7">
    <w:name w:val="FollowedHyperlink"/>
    <w:basedOn w:val="a0"/>
    <w:uiPriority w:val="99"/>
    <w:semiHidden/>
    <w:unhideWhenUsed/>
    <w:rsid w:val="00A25277"/>
    <w:rPr>
      <w:color w:val="954F72" w:themeColor="followedHyperlink"/>
      <w:u w:val="single"/>
    </w:rPr>
  </w:style>
  <w:style w:type="table" w:styleId="a8">
    <w:name w:val="Table Grid"/>
    <w:basedOn w:val="a1"/>
    <w:uiPriority w:val="39"/>
    <w:rsid w:val="008A2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Placeholder Text"/>
    <w:basedOn w:val="a0"/>
    <w:uiPriority w:val="99"/>
    <w:semiHidden/>
    <w:rsid w:val="00DD3CF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E837C4-662F-4474-B4DD-A70F14ACDD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34</Pages>
  <Words>19276</Words>
  <Characters>109879</Characters>
  <Application>Microsoft Office Word</Application>
  <DocSecurity>0</DocSecurity>
  <Lines>915</Lines>
  <Paragraphs>257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Тохметов Акылбек Тимербекович</dc:creator>
  <cp:keywords/>
  <dc:description/>
  <cp:lastModifiedBy>Тохметов Акылбек Тимербекович</cp:lastModifiedBy>
  <cp:revision>4</cp:revision>
  <cp:lastPrinted>2026-08-04T15:34:00Z</cp:lastPrinted>
  <dcterms:created xsi:type="dcterms:W3CDTF">2026-08-07T12:14:00Z</dcterms:created>
  <dcterms:modified xsi:type="dcterms:W3CDTF">2026-08-12T06:00:00Z</dcterms:modified>
</cp:coreProperties>
</file>