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240" w:after="320"/>
        <w:jc w:val="left"/>
      </w:pPr>
      <w:r>
        <w:rPr>
          <w:rFonts w:ascii="Calibri" w:hAnsi="Calibri" w:eastAsia="Noto Sans SC"/>
          <w:b/>
          <w:color w:val="A46B00"/>
          <w:sz w:val="20"/>
        </w:rPr>
        <w:t>ENTERPRISE ENGINEERING PLAN</w:t>
      </w:r>
    </w:p>
    <w:p>
      <w:pPr>
        <w:spacing w:after="200"/>
      </w:pPr>
      <w:r>
        <w:rPr>
          <w:rFonts w:ascii="Calibri" w:hAnsi="Calibri" w:eastAsia="Noto Sans SC"/>
          <w:b/>
          <w:color w:val="18324B"/>
          <w:sz w:val="54"/>
        </w:rPr>
        <w:t>FocusCode 企业级高可用</w:t>
        <w:br/>
        <w:t>Coding Agent 实现、测试与发布计划</w:t>
      </w:r>
    </w:p>
    <w:p>
      <w:pPr>
        <w:spacing w:after="560"/>
      </w:pPr>
      <w:r>
        <w:rPr>
          <w:rFonts w:ascii="Calibri" w:hAnsi="Calibri" w:eastAsia="Noto Sans SC"/>
          <w:color w:val="637381"/>
          <w:sz w:val="26"/>
        </w:rPr>
        <w:t>从 0.4 Beta1 到 1.0 GA：可靠性、安全、模型可用性与可运营性的系统工程路线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"/>
                <w:b/>
                <w:color w:val="18324B"/>
                <w:sz w:val="19"/>
              </w:rPr>
              <w:t>计划版本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"/>
                <w:color w:val="1C2733"/>
                <w:sz w:val="19"/>
              </w:rPr>
              <w:t>v1.0</w:t>
            </w:r>
          </w:p>
        </w:tc>
      </w:tr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"/>
                <w:b/>
                <w:color w:val="18324B"/>
                <w:sz w:val="19"/>
              </w:rPr>
              <w:t>代码基线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"/>
                <w:color w:val="1C2733"/>
                <w:sz w:val="19"/>
              </w:rPr>
              <w:t>FocusCode 0.4.0-beta.1</w:t>
            </w:r>
          </w:p>
        </w:tc>
      </w:tr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"/>
                <w:b/>
                <w:color w:val="18324B"/>
                <w:sz w:val="19"/>
              </w:rPr>
              <w:t>目标版本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"/>
                <w:color w:val="1C2733"/>
                <w:sz w:val="19"/>
              </w:rPr>
              <w:t>FocusCode 1.0 Enterprise GA</w:t>
            </w:r>
          </w:p>
        </w:tc>
      </w:tr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"/>
                <w:b/>
                <w:color w:val="18324B"/>
                <w:sz w:val="19"/>
              </w:rPr>
              <w:t>计划日期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Noto Sans SC"/>
                <w:color w:val="1C2733"/>
                <w:sz w:val="19"/>
              </w:rPr>
              <w:t>2026-07-19</w:t>
            </w:r>
          </w:p>
        </w:tc>
      </w:tr>
    </w:tbl>
    <w:p>
      <w:pPr>
        <w:spacing w:before="480" w:after="200"/>
        <w:shd w:fill="F4F6F9"/>
        <w:ind w:left="216" w:right="216"/>
      </w:pPr>
      <w:r>
        <w:rPr>
          <w:rFonts w:ascii="Calibri" w:hAnsi="Calibri" w:eastAsia="Noto Sans SC"/>
          <w:b w:val="0"/>
          <w:color w:val="18324B"/>
          <w:sz w:val="22"/>
        </w:rPr>
        <w:t>核心判断  FocusCode 已具备企业预生产 Beta 的功能面，但 GA 的关键不再是增加 Tool，而是统一副作用主链、持久化恢复、Sandbox 生命周期、企业身份、Provider 证书、SLO 与可回滚发布。</w:t>
      </w:r>
    </w:p>
    <w:p>
      <w:pPr>
        <w:spacing w:before="320"/>
      </w:pPr>
      <w:r>
        <w:rPr>
          <w:rFonts w:ascii="Calibri" w:hAnsi="Calibri" w:eastAsia="Noto Sans SC"/>
          <w:b/>
          <w:color w:val="637381"/>
          <w:sz w:val="17"/>
        </w:rPr>
        <w:t>CONFIDENTIAL · INTERNAL ENGINEERING REVIEW</w:t>
      </w:r>
    </w:p>
    <w:p>
      <w:r>
        <w:rPr>
          <w:rFonts w:ascii="Calibri" w:hAnsi="Calibri" w:eastAsia="Noto Sans SC"/>
          <w:color w:val="1C2733"/>
          <w:sz w:val="21"/>
        </w:rPr>
        <w:br w:type="page"/>
      </w:r>
    </w:p>
    <w:p>
      <w:pPr>
        <w:spacing w:before="360" w:after="360"/>
      </w:pPr>
      <w:r>
        <w:rPr>
          <w:rFonts w:ascii="Calibri" w:hAnsi="Calibri" w:eastAsia="Noto Sans SC"/>
          <w:b/>
          <w:color w:val="18324B"/>
          <w:sz w:val="40"/>
        </w:rPr>
        <w:t>目录  /  CONTENTS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4860"/>
      </w:tblGrid>
      <w:tr>
        <w:trPr>
          <w:tblHeader w:val="true"/>
        </w:trP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0  </w:t>
            </w:r>
            <w:r>
              <w:rPr>
                <w:rFonts w:ascii="Calibri" w:hAnsi="Calibri" w:eastAsia="Noto Sans SC"/>
                <w:color w:val="18324B"/>
                <w:sz w:val="21"/>
              </w:rPr>
              <w:t>结论与资源假设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9  </w:t>
            </w:r>
            <w:r>
              <w:rPr>
                <w:rFonts w:ascii="Calibri" w:hAnsi="Calibri" w:eastAsia="Noto Sans SC"/>
                <w:color w:val="18324B"/>
                <w:sz w:val="21"/>
              </w:rPr>
              <w:t>API 与用户接入计划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1  </w:t>
            </w:r>
            <w:r>
              <w:rPr>
                <w:rFonts w:ascii="Calibri" w:hAnsi="Calibri" w:eastAsia="Noto Sans SC"/>
                <w:color w:val="18324B"/>
                <w:sz w:val="21"/>
              </w:rPr>
              <w:t>企业级高可用定义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10  </w:t>
            </w:r>
            <w:r>
              <w:rPr>
                <w:rFonts w:ascii="Calibri" w:hAnsi="Calibri" w:eastAsia="Noto Sans SC"/>
                <w:color w:val="18324B"/>
                <w:sz w:val="21"/>
              </w:rPr>
              <w:t>测试战略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2  </w:t>
            </w:r>
            <w:r>
              <w:rPr>
                <w:rFonts w:ascii="Calibri" w:hAnsi="Calibri" w:eastAsia="Noto Sans SC"/>
                <w:color w:val="18324B"/>
                <w:sz w:val="21"/>
              </w:rPr>
              <w:t>当前基线与 GA 差距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11  </w:t>
            </w:r>
            <w:r>
              <w:rPr>
                <w:rFonts w:ascii="Calibri" w:hAnsi="Calibri" w:eastAsia="Noto Sans SC"/>
                <w:color w:val="18324B"/>
                <w:sz w:val="21"/>
              </w:rPr>
              <w:t>CI/CD 与发布计划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3  </w:t>
            </w:r>
            <w:r>
              <w:rPr>
                <w:rFonts w:ascii="Calibri" w:hAnsi="Calibri" w:eastAsia="Noto Sans SC"/>
                <w:color w:val="18324B"/>
                <w:sz w:val="21"/>
              </w:rPr>
              <w:t>目标架构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12  </w:t>
            </w:r>
            <w:r>
              <w:rPr>
                <w:rFonts w:ascii="Calibri" w:hAnsi="Calibri" w:eastAsia="Noto Sans SC"/>
                <w:color w:val="18324B"/>
                <w:sz w:val="21"/>
              </w:rPr>
              <w:t>版本里程碑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4  </w:t>
            </w:r>
            <w:r>
              <w:rPr>
                <w:rFonts w:ascii="Calibri" w:hAnsi="Calibri" w:eastAsia="Noto Sans SC"/>
                <w:color w:val="18324B"/>
                <w:sz w:val="21"/>
              </w:rPr>
              <w:t>任务与副作用状态机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13  </w:t>
            </w:r>
            <w:r>
              <w:rPr>
                <w:rFonts w:ascii="Calibri" w:hAnsi="Calibri" w:eastAsia="Noto Sans SC"/>
                <w:color w:val="18324B"/>
                <w:sz w:val="21"/>
              </w:rPr>
              <w:t>运营与组织准备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5  </w:t>
            </w:r>
            <w:r>
              <w:rPr>
                <w:rFonts w:ascii="Calibri" w:hAnsi="Calibri" w:eastAsia="Noto Sans SC"/>
                <w:color w:val="18324B"/>
                <w:sz w:val="21"/>
              </w:rPr>
              <w:t>核心代码接口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14  </w:t>
            </w:r>
            <w:r>
              <w:rPr>
                <w:rFonts w:ascii="Calibri" w:hAnsi="Calibri" w:eastAsia="Noto Sans SC"/>
                <w:color w:val="18324B"/>
                <w:sz w:val="21"/>
              </w:rPr>
              <w:t>风险登记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6  </w:t>
            </w:r>
            <w:r>
              <w:rPr>
                <w:rFonts w:ascii="Calibri" w:hAnsi="Calibri" w:eastAsia="Noto Sans SC"/>
                <w:color w:val="18324B"/>
                <w:sz w:val="21"/>
              </w:rPr>
              <w:t>数据模型与迁移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15  </w:t>
            </w:r>
            <w:r>
              <w:rPr>
                <w:rFonts w:ascii="Calibri" w:hAnsi="Calibri" w:eastAsia="Noto Sans SC"/>
                <w:color w:val="18324B"/>
                <w:sz w:val="21"/>
              </w:rPr>
              <w:t>企业 GA Definition of Done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7  </w:t>
            </w:r>
            <w:r>
              <w:rPr>
                <w:rFonts w:ascii="Calibri" w:hAnsi="Calibri" w:eastAsia="Noto Sans SC"/>
                <w:color w:val="18324B"/>
                <w:sz w:val="21"/>
              </w:rPr>
              <w:t>Monorepo 调整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16  </w:t>
            </w:r>
            <w:r>
              <w:rPr>
                <w:rFonts w:ascii="Calibri" w:hAnsi="Calibri" w:eastAsia="Noto Sans SC"/>
                <w:color w:val="18324B"/>
                <w:sz w:val="21"/>
              </w:rPr>
              <w:t>建议立即开始的前 10 个 PR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8  </w:t>
            </w:r>
            <w:r>
              <w:rPr>
                <w:rFonts w:ascii="Calibri" w:hAnsi="Calibri" w:eastAsia="Noto Sans SC"/>
                <w:color w:val="18324B"/>
                <w:sz w:val="21"/>
              </w:rPr>
              <w:t>分阶段代码实现计划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120" w:after="120"/>
            </w:pPr>
            <w:r/>
            <w:r>
              <w:rPr>
                <w:rFonts w:ascii="Calibri" w:hAnsi="Calibri" w:eastAsia="Noto Sans SC"/>
                <w:b/>
                <w:color w:val="A46B00"/>
                <w:sz w:val="21"/>
              </w:rPr>
              <w:t xml:space="preserve">17  </w:t>
            </w:r>
            <w:r>
              <w:rPr>
                <w:rFonts w:ascii="Calibri" w:hAnsi="Calibri" w:eastAsia="Noto Sans SC"/>
                <w:color w:val="18324B"/>
                <w:sz w:val="21"/>
              </w:rPr>
              <w:t>参考标准与工程依据</w:t>
            </w:r>
          </w:p>
        </w:tc>
      </w:tr>
    </w:tbl>
    <w:p>
      <w:pPr>
        <w:spacing w:before="360"/>
      </w:pPr>
      <w:r>
        <w:rPr>
          <w:rFonts w:ascii="Calibri" w:hAnsi="Calibri" w:eastAsia="Noto Sans SC"/>
          <w:i/>
          <w:color w:val="637381"/>
          <w:sz w:val="20"/>
        </w:rPr>
        <w:t>路线原则：先消除不可恢复的副作用旁路，再建设多节点与企业治理能力。</w:t>
      </w:r>
    </w:p>
    <w:p>
      <w:r>
        <w:rPr>
          <w:rFonts w:ascii="Calibri" w:hAnsi="Calibri" w:eastAsia="Noto Sans SC"/>
          <w:color w:val="1C2733"/>
          <w:sz w:val="21"/>
        </w:rPr>
        <w:br w:type="page"/>
      </w:r>
    </w:p>
    <w:bookmarkStart w:id="20" w:name="X5186dba81d4ea4aa841f073e17bb47a6c05f32b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0. 结论与资源假设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FocusCode v0.4 已经解决了“能否运行”的问题，但距离企业级高可用，主要差距不再是主题、宠物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或增加更多 Tool，而是以下七个系统性问题：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会话型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CodingAgent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与审计型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FocusKernel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仍有两条副作用执行链；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File JSONL/Checkpoint 不具备数据库事务、WAL、租约、跨节点恢复和在线迁移能力；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Control API、Worker、Sandbox 尚未形成多副本调度、背压、故障转移和灾备系统；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Docker/gVisor/VM driver 已有，但没有完整 Sandbox lifecycle、attestation、Secret/Egress Broker；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OIDC 有协议实现，但缺少企业租户、RBAC/ABAC、服务身份、密钥轮换和数据隔离；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五类 Provider 有方言适配，但缺 live contract、模型 revision 证书、熔断、容量和受控降级；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缺少完整 SLI/SLO、OpenTelemetry、容量测试、混沌测试、SBOM/provenance、金丝雀和 DR 演练。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推荐按 24 周实施，默认投入：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4 名 Runtime/Backend 工程师；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2 名 Platform/SRE/Security 工程师；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1 名 CLI/TUI/SDK 工程师；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1 名 Test/Eval Automation 工程师；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产品、企业安全和模型运营各提供兼职 Owner。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4 人团队在保持同样范围时，现实周期约 36–44 周。以下估算不包含企业自有 IdP、Git、KMS、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Kubernetes 和模型采购流程的等待时间。</w:t>
      </w:r>
    </w:p>
    <w:bookmarkEnd w:id="20"/>
    <w:bookmarkStart w:id="23" w:name="X08b2a2f99f493be080b7eda560f75e071534ab4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1. 什么叫“企业级高可用 Coding Agent”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高可用不能只用 HTTP 健康检查衡量。FocusCode 的可用性分为六层：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3730"/>
        <w:gridCol w:w="3930"/>
      </w:tblGrid>
      <w:tr>
        <w:trPr>
          <w:tblHeader w:val="true"/>
          <w:tblHeader w:val="true"/>
        </w:trP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层次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目标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不能接受的伪实现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接入可用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CLI/API 可提交、重连、审批、steering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API 200，但任务被丢弃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任务可恢复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Worker/Pod/节点失败后从已提交边界恢复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从头重跑并重复副作用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副作用可靠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每个写入、命令、Git、网络动作可识别、幂等或 reconciliation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宣称无法证明的 exactly-once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安全可用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故障时仍不越权、不泄密、不回退到 Host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为“可用”而关闭隔离或审批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模型可用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 限流/故障时按策略等待、切换或降级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静默换模型、区域或数据策略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运维可用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可观测、可扩容、可升级、可回滚、可灾备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只能人工查看日志和重启</w:t>
            </w:r>
          </w:p>
        </w:tc>
      </w:tr>
    </w:tbl>
    <w:bookmarkStart w:id="21" w:name="X7b1fe2725770f6bb3297c0958c22635c694baa4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1.1 推荐 SLO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SLO 要把 FocusCode 自身故障与外部模型故障分开统计。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300"/>
        <w:gridCol w:w="2750"/>
        <w:gridCol w:w="3600"/>
        <w:gridCol w:w="1710"/>
      </w:tblGrid>
      <w:tr>
        <w:trPr>
          <w:tblHeader w:val="true"/>
          <w:tblHeader w:val="true"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SLI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Beta 目标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1.0 GA 目标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统计边界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Control API 月可用性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99.9%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99.95%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不含企业 IdP 全局故障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已确认任务持久化成功率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99.99%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99.999%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API 返回 accepted 后不得丢失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Worker 丢失后的恢复时间 p95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120 秒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60 秒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从 lease 过期到新 attempt 继续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SSE/RPC 重连恢复 p95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10 秒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5 秒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使用 event cursor，不丢 committed event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Harness 内部错误导致的任务失败率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&lt;0.5%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&lt;0.1%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排除 Provider/用户代码失败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已提交高风险副作用审计完整率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100%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100%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缺一条即发布阻断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未 reconciliation 的 UNKNOWN effect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&lt;10 分钟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&lt;5 分钟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高风险 effect 不允许自动盲重试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Sandbox 非 Host 执行比例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100%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100%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企业模式硬门禁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 profile contract 通过率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99%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100%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每个允许的 model revision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发布自动回滚时间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20 分钟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10 分钟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从告警到稳定旧版本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单区域 RPO/RTO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RPO ≤5 分钟 / RTO ≤60 分钟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RPO ≤1 分钟 / RTO ≤30 分钟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数据库和对象存储演练结果</w:t>
            </w:r>
          </w:p>
        </w:tc>
      </w:tr>
    </w:tbl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模型任务完成率、Accepted &amp; Verified、Token 成本和首次正确 Patch 时间是产品质量 SLI，不能与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平台可用性混成一个数字。</w:t>
      </w:r>
    </w:p>
    <w:bookmarkEnd w:id="21"/>
    <w:bookmarkStart w:id="22" w:name="X7249677efdd6cb44b4c24618d08ae876dce65fc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1.2 1.0 非目标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以下内容不应阻塞首个企业 GA：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多区域 active-active 写入；1.0 采用单区域多 AZ + 跨区域 warm standby；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公共扩展市场；企业版默认只运行组织 allowlist；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无限制多 Agent 自治协作；先保证单任务单写者和有限只读 delegation；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音视频和高拟真宠物；它们不属于 HA 主路径；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“所有副作用 exactly-once”；工程目标是 at-least-once orchestration + 幂等键 + fencing +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reconciliation。</w:t>
      </w:r>
    </w:p>
    <w:bookmarkEnd w:id="22"/>
    <w:bookmarkEnd w:id="23"/>
    <w:bookmarkStart w:id="24" w:name="X10e158406e795c947114491709e671c601a7c20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2. 当前基线与 GA 差距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300"/>
        <w:gridCol w:w="2750"/>
        <w:gridCol w:w="3600"/>
        <w:gridCol w:w="1710"/>
      </w:tblGrid>
      <w:tr>
        <w:trPr>
          <w:tblHeader w:val="true"/>
          <w:tblHeader w:val="true"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能力域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v0.4 现状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GA 缺口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优先级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Agent/Kernel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两条可运行链，共享部分 contract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唯一 ToolIntent/Policy/Grant/Receipt 主链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状态持久化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JSONL Session、File Fact/Checkpoint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PostgreSQL 事务、迁移、checksum、租约、备份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工作流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单进程 loop，可手动恢复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durable workflow、signal、retry、cancel、reconciliation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Control API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只读/验证型 HTTP server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OIDC、多租户 API、idempotency、SSE cursor、限流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Worker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读取本地 job JSON 的单进程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多副本队列、心跳、fencing、背压、drain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Sandbox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Host/Docker/gVisor/SSH VM driver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生命周期控制器、镜像证明、warm pool、orphan reaper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Secret/Egress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子进程环境清理、默认断网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短期凭据 Broker、mTLS、DNS/HTTP egress policy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五系 Profile、reasoning/retry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live conformance、revision pin、熔断、容量、受控 fallback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Session/Context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tree/fork/compact/provider state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schema migration、WAL、delta checkpoint、崩溃恢复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Extension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npm 签名/allowlist，仍在主进程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独立 process/WASI capability host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Audit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本地 HMAC 链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集中式、KMS 签名、WORM、轮换、tenant retention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Observability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事件和测试报告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OTel trace/metric/log、SLO dashboard、alert/runbook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Release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npm clean-install Gate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OCI/Helm、SBOM、SLSA provenance、签名、canary/rollback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TUI/Remote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本地全屏 TUI/RPC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远程连接、重连、cursor、审批通知、版本协商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P1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Coding Quality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基础 compaction/tools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LSP/symbol retrieval、diff review、affected tests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P1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A2A/MCP/ACP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contract boundary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身份化、预算化、只读优先的有限 delegation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P2</w:t>
            </w:r>
          </w:p>
        </w:tc>
      </w:tr>
    </w:tbl>
    <w:bookmarkEnd w:id="24"/>
    <w:bookmarkStart w:id="30" w:name="Xf8fba464c74d5b1930655e5c80fef81763ed190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3. 目标架构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drawing>
          <wp:inline>
            <wp:extent cx="5334000" cy="3733800"/>
            <wp:effectExtent b="0" l="0" r="0" t="0"/>
            <wp:docPr descr="Enterprise HA target architecture" title="" id="26" name="Picture"/>
            <a:graphic>
              <a:graphicData uri="http://schemas.openxmlformats.org/drawingml/2006/picture">
                <pic:pic>
                  <pic:nvPicPr>
                    <pic:cNvPr descr="/workspace/scratch/806ded8fe5d4/deliverables/focuscode-ha-docx-acjggua4/ha-architect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X1778d56b578f7c04a38243c30e52e5d2d8139ee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3.1 架构决策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Noto Sans SC"/>
          <w:b/>
          <w:color w:val="1C2733"/>
          <w:sz w:val="21"/>
        </w:rPr>
        <w:t xml:space="preserve">控制面无状态化</w:t>
      </w:r>
      <w:r>
        <w:rPr>
          <w:rFonts w:ascii="Calibri" w:hAnsi="Calibri" w:eastAsia="Noto Sans SC"/>
          <w:color w:val="1C2733"/>
          <w:sz w:val="21"/>
        </w:rPr>
        <w:t xml:space="preserve">：Control API 不保存进程内任务状态，至少 3 副本跨 AZ；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Noto Sans SC"/>
          <w:b/>
          <w:color w:val="1C2733"/>
          <w:sz w:val="21"/>
        </w:rPr>
        <w:t xml:space="preserve">生产工作流使用 durable engine</w:t>
      </w:r>
      <w:r>
        <w:rPr>
          <w:rFonts w:ascii="Calibri" w:hAnsi="Calibri" w:eastAsia="Noto Sans SC"/>
          <w:color w:val="1C2733"/>
          <w:sz w:val="21"/>
        </w:rPr>
        <w:t xml:space="preserve">：推荐 Temporal TypeScript adapter；本地开发保留 inline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adapter，不自行重造分布式 timer/signal/replay 系统；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Noto Sans SC"/>
          <w:b/>
          <w:color w:val="1C2733"/>
          <w:sz w:val="21"/>
        </w:rPr>
        <w:t xml:space="preserve">PostgreSQL 是业务事实源</w:t>
      </w:r>
      <w:r>
        <w:rPr>
          <w:rFonts w:ascii="Calibri" w:hAnsi="Calibri" w:eastAsia="Noto Sans SC"/>
          <w:color w:val="1C2733"/>
          <w:sz w:val="21"/>
        </w:rPr>
        <w:t xml:space="preserve">：Tenant、Task、Session、Effect、Approval、Policy、Model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Certificate 和 Outbox 都在事务库；Temporal history 负责 orchestration，不保存大段 Token；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Noto Sans SC"/>
          <w:b/>
          <w:color w:val="1C2733"/>
          <w:sz w:val="21"/>
        </w:rPr>
        <w:t xml:space="preserve">对象存储保存大对象</w:t>
      </w:r>
      <w:r>
        <w:rPr>
          <w:rFonts w:ascii="Calibri" w:hAnsi="Calibri" w:eastAsia="Noto Sans SC"/>
          <w:color w:val="1C2733"/>
          <w:sz w:val="21"/>
        </w:rPr>
        <w:t xml:space="preserve">：图片、Patch、Diff、日志、checkpoint delta、share bundle；数据库只存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digest、URI、size、classification 和 encryption metadata；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Noto Sans SC"/>
          <w:b/>
          <w:color w:val="1C2733"/>
          <w:sz w:val="21"/>
        </w:rPr>
        <w:t xml:space="preserve">消息总线不是事实源</w:t>
      </w:r>
      <w:r>
        <w:rPr>
          <w:rFonts w:ascii="Calibri" w:hAnsi="Calibri" w:eastAsia="Noto Sans SC"/>
          <w:color w:val="1C2733"/>
          <w:sz w:val="21"/>
        </w:rPr>
        <w:t xml:space="preserve">：NATS JetStream/Kafka 只承载 outbox 通知、stream fanout 和 cache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invalidation；消费者必须可从 PostgreSQL cursor 补放；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Noto Sans SC"/>
          <w:b/>
          <w:color w:val="1C2733"/>
          <w:sz w:val="21"/>
        </w:rPr>
        <w:t xml:space="preserve">唯一副作用通道</w:t>
      </w:r>
      <w:r>
        <w:rPr>
          <w:rFonts w:ascii="Calibri" w:hAnsi="Calibri" w:eastAsia="Noto Sans SC"/>
          <w:color w:val="1C2733"/>
          <w:sz w:val="21"/>
        </w:rPr>
        <w:t xml:space="preserve">：Agent 只能生成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ToolIntent</w:t>
      </w:r>
      <w:r>
        <w:rPr>
          <w:rFonts w:ascii="Calibri" w:hAnsi="Calibri" w:eastAsia="Noto Sans SC"/>
          <w:color w:val="1C2733"/>
          <w:sz w:val="21"/>
        </w:rPr>
        <w:t xml:space="preserve">，不得直接调用 Tool implementation；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Noto Sans SC"/>
          <w:b/>
          <w:color w:val="1C2733"/>
          <w:sz w:val="21"/>
        </w:rPr>
        <w:t xml:space="preserve">每任务一个 home region 和一个有效 writer fence</w:t>
      </w:r>
      <w:r>
        <w:rPr>
          <w:rFonts w:ascii="Calibri" w:hAnsi="Calibri" w:eastAsia="Noto Sans SC"/>
          <w:color w:val="1C2733"/>
          <w:sz w:val="21"/>
        </w:rPr>
        <w:t xml:space="preserve">：1.0 不做跨区域并发写；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Noto Sans SC"/>
          <w:b/>
          <w:color w:val="1C2733"/>
          <w:sz w:val="21"/>
        </w:rPr>
        <w:t xml:space="preserve">Sandbox 是 workload，不是 library</w:t>
      </w:r>
      <w:r>
        <w:rPr>
          <w:rFonts w:ascii="Calibri" w:hAnsi="Calibri" w:eastAsia="Noto Sans SC"/>
          <w:color w:val="1C2733"/>
          <w:sz w:val="21"/>
        </w:rPr>
        <w:t xml:space="preserve">：独立控制器创建/销毁，每个 workload 有短期身份；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Noto Sans SC"/>
          <w:b/>
          <w:color w:val="1C2733"/>
          <w:sz w:val="21"/>
        </w:rPr>
        <w:t xml:space="preserve">Provider fallback 是显式策略</w:t>
      </w:r>
      <w:r>
        <w:rPr>
          <w:rFonts w:ascii="Calibri" w:hAnsi="Calibri" w:eastAsia="Noto Sans SC"/>
          <w:color w:val="1C2733"/>
          <w:sz w:val="21"/>
        </w:rPr>
        <w:t xml:space="preserve">：模型、区域、数据边界、费用和 capability 不满足时宁可暂停，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不静默换模型；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Noto Sans SC"/>
          <w:b/>
          <w:color w:val="1C2733"/>
          <w:sz w:val="21"/>
        </w:rPr>
        <w:t xml:space="preserve">Telemetry 与 Audit 分离</w:t>
      </w:r>
      <w:r>
        <w:rPr>
          <w:rFonts w:ascii="Calibri" w:hAnsi="Calibri" w:eastAsia="Noto Sans SC"/>
          <w:color w:val="1C2733"/>
          <w:sz w:val="21"/>
        </w:rPr>
        <w:t xml:space="preserve">：Telemetry 可采样且不含正文；Audit 不采样并有完整性证明。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Temporal 的事件历史和 deterministic replay 适合长任务恢复，但模型调用、网络和文件 I/O 必须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作为 Activity；Token delta 不写入 workflow history。生产实现必须通过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WorkflowEnginePort</w:t>
      </w:r>
      <w:r>
        <w:rPr>
          <w:rFonts w:ascii="Calibri" w:hAnsi="Calibri" w:eastAsia="Noto Sans SC"/>
          <w:color w:val="1C2733"/>
          <w:sz w:val="21"/>
        </w:rPr>
        <w:t xml:space="preserve">，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避免把核心领域对象绑定到单个调度产品。</w:t>
      </w:r>
    </w:p>
    <w:bookmarkEnd w:id="28"/>
    <w:bookmarkStart w:id="29" w:name="X70771d67e356314258e51ca27d73be4875bbb9c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3.2 故障域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故障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系统行为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Control API Pod 退出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客户端重试到其他副本；相同 Idempotency-Key 返回原 task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Agent Worker 退出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workflow activity timeout；新 worker 从 committed session/effect boundary 恢复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Sandbox 节点丢失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effect 标记 UNKNOWN；重建 workspace，再 reconcile，禁止盲重放高风险动作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 429/5xx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路由器按 Retry-After、预算和熔断器处理；不占满 worker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 首 Token 后断流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保存 attempt；允许同模型重新生成，但不得重复已提交 Tool effect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PostgreSQL 主库切换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API 暂停接受写，连接池重连；已 accepted task 由 workflow 恢复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消息总线不可用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Outbox 累积；事实仍提交数据库，恢复后补发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对象存储短时不可用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不提交引用该 artifact 的数据库状态；有界重试后暂停任务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IdP 不可用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已验证短期 session 继续到 TTL；新登录/高风险审批 fail closed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KMS/Secret Broker 不可用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不下发新凭据；任务等待，不回退静态 secret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单区域不可用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DNS/入口切到 warm standby，恢复到已复制 checkpoint；禁止双写</w:t>
            </w:r>
          </w:p>
        </w:tc>
      </w:tr>
    </w:tbl>
    <w:bookmarkEnd w:id="29"/>
    <w:bookmarkEnd w:id="30"/>
    <w:bookmarkStart w:id="39" w:name="X6c9b3f2000b8bc5fec78f12deb125c1e463bdc8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4. 唯一任务与副作用状态机</w:t>
      </w:r>
    </w:p>
    <w:bookmarkStart w:id="34" w:name="Xa5c30c9876e1edf11f495b8fdb222382eec1235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4.1 TaskRun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drawing>
          <wp:inline>
            <wp:extent cx="5334000" cy="3644900"/>
            <wp:effectExtent b="0" l="0" r="0" t="0"/>
            <wp:docPr descr="TaskRun durable state model" title="" id="32" name="Picture"/>
            <a:graphic>
              <a:graphicData uri="http://schemas.openxmlformats.org/drawingml/2006/picture">
                <pic:pic>
                  <pic:nvPicPr>
                    <pic:cNvPr descr="/workspace/scratch/806ded8fe5d4/deliverables/focuscode-ha-docx-acjggua4/task-stat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  <w:rFonts w:ascii="Calibri" w:hAnsi="Calibri" w:eastAsia="Noto Sans SC"/>
          <w:color w:val="1C2733"/>
          <w:sz w:val="21"/>
        </w:rPr>
        <w:t xml:space="preserve">WAITING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必须带 reason：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USER_INPUT</w:t>
      </w:r>
      <w:r>
        <w:rPr>
          <w:rFonts w:ascii="Calibri" w:hAnsi="Calibri" w:eastAsia="Noto Sans SC"/>
          <w:color w:val="1C2733"/>
          <w:sz w:val="21"/>
        </w:rPr>
        <w:t xml:space="preserve">、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APPROVAL</w:t>
      </w:r>
      <w:r>
        <w:rPr>
          <w:rFonts w:ascii="Calibri" w:hAnsi="Calibri" w:eastAsia="Noto Sans SC"/>
          <w:color w:val="1C2733"/>
          <w:sz w:val="21"/>
        </w:rPr>
        <w:t xml:space="preserve">、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PROVIDER_CAPACITY</w:t>
      </w:r>
      <w:r>
        <w:rPr>
          <w:rFonts w:ascii="Calibri" w:hAnsi="Calibri" w:eastAsia="Noto Sans SC"/>
          <w:color w:val="1C2733"/>
          <w:sz w:val="21"/>
        </w:rPr>
        <w:t xml:space="preserve">、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SANDBOX_CAPACITY</w:t>
      </w:r>
      <w:r>
        <w:rPr>
          <w:rFonts w:ascii="Calibri" w:hAnsi="Calibri" w:eastAsia="Noto Sans SC"/>
          <w:color w:val="1C2733"/>
          <w:sz w:val="21"/>
        </w:rPr>
        <w:t xml:space="preserve">、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DEPENDENCY</w:t>
      </w:r>
      <w:r>
        <w:rPr>
          <w:rFonts w:ascii="Calibri" w:hAnsi="Calibri" w:eastAsia="Noto Sans SC"/>
          <w:color w:val="1C2733"/>
          <w:sz w:val="21"/>
        </w:rPr>
        <w:t xml:space="preserve">。Terminal state 只能通过 CAS/version check 提交。</w:t>
      </w:r>
    </w:p>
    <w:bookmarkEnd w:id="34"/>
    <w:bookmarkStart w:id="38" w:name="X1152416978a59bece309d9d22a39a812a025342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4.2 EffectAttempt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drawing>
          <wp:inline>
            <wp:extent cx="5334000" cy="4196080"/>
            <wp:effectExtent b="0" l="0" r="0" t="0"/>
            <wp:docPr descr="EffectAttempt durable state model" title="" id="36" name="Picture"/>
            <a:graphic>
              <a:graphicData uri="http://schemas.openxmlformats.org/drawingml/2006/picture">
                <pic:pic>
                  <pic:nvPicPr>
                    <pic:cNvPr descr="/workspace/scratch/806ded8fe5d4/deliverables/focuscode-ha-docx-acjggua4/effect-stat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规则：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rFonts w:ascii="Calibri" w:hAnsi="Calibri" w:eastAsia="Noto Sans SC"/>
          <w:color w:val="1C2733"/>
          <w:sz w:val="21"/>
        </w:rPr>
        <w:t xml:space="preserve">action_id</w:t>
      </w:r>
      <w:r>
        <w:rPr>
          <w:rFonts w:ascii="Calibri" w:hAnsi="Calibri" w:eastAsia="Noto Sans SC"/>
          <w:color w:val="1C2733"/>
          <w:sz w:val="21"/>
        </w:rPr>
        <w:t xml:space="preserve">、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intent_digest</w:t>
      </w:r>
      <w:r>
        <w:rPr>
          <w:rFonts w:ascii="Calibri" w:hAnsi="Calibri" w:eastAsia="Noto Sans SC"/>
          <w:color w:val="1C2733"/>
          <w:sz w:val="21"/>
        </w:rPr>
        <w:t xml:space="preserve">、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task_id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组成稳定幂等身份；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每次调度有递增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attempt_no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和不可回退的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fencing_token</w:t>
      </w:r>
      <w:r>
        <w:rPr>
          <w:rFonts w:ascii="Calibri" w:hAnsi="Calibri" w:eastAsia="Noto Sans SC"/>
          <w:color w:val="1C2733"/>
          <w:sz w:val="21"/>
        </w:rPr>
        <w:t xml:space="preserve">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rFonts w:ascii="Calibri" w:hAnsi="Calibri" w:eastAsia="Noto Sans SC"/>
          <w:color w:val="1C2733"/>
          <w:sz w:val="21"/>
        </w:rPr>
        <w:t xml:space="preserve">STARTED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在执行前持久化；进程失联后进入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UNKNOWN</w:t>
      </w:r>
      <w:r>
        <w:rPr>
          <w:rFonts w:ascii="Calibri" w:hAnsi="Calibri" w:eastAsia="Noto Sans SC"/>
          <w:color w:val="1C2733"/>
          <w:sz w:val="21"/>
        </w:rPr>
        <w:t xml:space="preserve">，不把“没收到结果”当成“没执行”；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文件改动在任务 workspace 内可通过 checkpoint/diff reconcile；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Git push/PR/外部 API 必须使用目标系统 idempotency key 或先查询后决定；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无法 reconcile 的高风险命令进入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MANUAL_REVIEW</w:t>
      </w:r>
      <w:r>
        <w:rPr>
          <w:rFonts w:ascii="Calibri" w:hAnsi="Calibri" w:eastAsia="Noto Sans SC"/>
          <w:color w:val="1C2733"/>
          <w:sz w:val="21"/>
        </w:rPr>
        <w:t xml:space="preserve">；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approval 绑定 intent digest、policy version、identity、TTL 和最大 effect，不允许批准后换参数。</w:t>
      </w:r>
    </w:p>
    <w:bookmarkEnd w:id="38"/>
    <w:bookmarkEnd w:id="39"/>
    <w:bookmarkStart w:id="45" w:name="X915f67b2699db080e26fa02ddd1a6795c1a66c3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5. 核心代码接口</w:t>
      </w:r>
    </w:p>
    <w:bookmarkStart w:id="40" w:name="X979a0a785d23d38d55d11027016ec996dd8abbe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5.1 Durable workflow port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建议新增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packages/workflow-domain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与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packages/workflow-temporal</w:t>
      </w:r>
      <w:r>
        <w:rPr>
          <w:rFonts w:ascii="Calibri" w:hAnsi="Calibri" w:eastAsia="Noto Sans SC"/>
          <w:color w:val="1C2733"/>
          <w:sz w:val="21"/>
        </w:rPr>
        <w:t xml:space="preserve">：</w:t>
      </w:r>
    </w:p>
    <w:p>
      <w:pPr>
        <w:pStyle w:val="SourceCode"/>
        <w:spacing w:before="60" w:after="140" w:line="252" w:lineRule="auto"/>
        <w:ind w:left="173" w:right="173"/>
        <w:shd w:fill="F2F4F7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WorkflowEnginePort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StartTaskRequest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idempotencyKey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TaskHandle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signal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TaskWorkflowStatus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TaskSignal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"interrupt"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approvalId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disposition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"user_input"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answers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"provider_profile_changed"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revision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Workflow 只做 deterministic orchestration；LLM、数据库外读写、Sandbox、Git 和验证都是 Activity。</w:t>
      </w:r>
    </w:p>
    <w:bookmarkEnd w:id="40"/>
    <w:bookmarkStart w:id="41" w:name="X6cd88cfe8fa3f4f1dbd8c2c250fc71913f73a82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5.2 Task store</w:t>
      </w:r>
    </w:p>
    <w:p>
      <w:pPr>
        <w:pStyle w:val="SourceCode"/>
        <w:spacing w:before="60" w:after="140" w:line="252" w:lineRule="auto"/>
        <w:ind w:left="173" w:right="173"/>
        <w:shd w:fill="F2F4F7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TaskStore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NewTaskRun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idempotencyKey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TaskRun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NewTaskEvent[])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TaskEvent[]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checkpoint</w:t>
      </w:r>
      <w:r>
        <w:rPr>
          <w:rStyle w:val="NormalTok"/>
        </w:rPr>
        <w:t xml:space="preserve">(checkpoint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TaskCheckpoint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TaskSnapshot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events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TaskEvent[]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所有写操作在 transaction 内同时写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task_events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与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outbox_messages</w:t>
      </w:r>
      <w:r>
        <w:rPr>
          <w:rFonts w:ascii="Calibri" w:hAnsi="Calibri" w:eastAsia="Noto Sans SC"/>
          <w:color w:val="1C2733"/>
          <w:sz w:val="21"/>
        </w:rPr>
        <w:t xml:space="preserve">。事件 envelope 必须包含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tenant_id/task_id/sequence/schema_version/trace_id/actor/policy_revision/created_at/digest</w:t>
      </w:r>
      <w:r>
        <w:rPr>
          <w:rFonts w:ascii="Calibri" w:hAnsi="Calibri" w:eastAsia="Noto Sans SC"/>
          <w:color w:val="1C2733"/>
          <w:sz w:val="21"/>
        </w:rPr>
        <w:t xml:space="preserve">。</w:t>
      </w:r>
    </w:p>
    <w:bookmarkEnd w:id="41"/>
    <w:bookmarkStart w:id="42" w:name="Xe6f688b54d79d749153201eb0f43b77614bbc6f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5.3 Effect broker</w:t>
      </w:r>
    </w:p>
    <w:p>
      <w:pPr>
        <w:pStyle w:val="SourceCode"/>
        <w:spacing w:before="60" w:after="140" w:line="252" w:lineRule="auto"/>
        <w:ind w:left="173" w:right="173"/>
        <w:shd w:fill="F2F4F7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EffectBroker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PolicyContext)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AuthorizationResult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(grant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CapabilityGrant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EffectReceipt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reconcile</w:t>
      </w:r>
      <w:r>
        <w:rPr>
          <w:rStyle w:val="NormalTok"/>
        </w:rPr>
        <w:t xml:space="preserve">(effectId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ReconciliationEvidence)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EffectReceipt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rFonts w:ascii="Calibri" w:hAnsi="Calibri" w:eastAsia="Noto Sans SC"/>
          <w:color w:val="1C2733"/>
          <w:sz w:val="21"/>
        </w:rPr>
        <w:t xml:space="preserve">packages/agent-runtime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中现有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executeCalls()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要改为提交 intent；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PermissionController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变成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本地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PolicyDecisionPort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adapter。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packages/action-domain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的 Policy/Ledger 成为唯一语义源，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CLI local mode 与 remote enterprise mode 不再维护两套风险规则。</w:t>
      </w:r>
    </w:p>
    <w:bookmarkEnd w:id="42"/>
    <w:bookmarkStart w:id="43" w:name="Xf4cc82f4f4fe9cdf5c6270a3234864c9b4944a9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5.4 Sandbox control</w:t>
      </w:r>
    </w:p>
    <w:p>
      <w:pPr>
        <w:pStyle w:val="SourceCode"/>
        <w:spacing w:before="60" w:after="140" w:line="252" w:lineRule="auto"/>
        <w:ind w:left="173" w:right="173"/>
        <w:shd w:fill="F2F4F7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SandboxControlPort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acquire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SandboxLease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(lease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SandboxLeaseRef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ExecReceipt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checkpoint</w:t>
      </w:r>
      <w:r>
        <w:rPr>
          <w:rStyle w:val="NormalTok"/>
        </w:rPr>
        <w:t xml:space="preserve">(lease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SandboxLeaseRef)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WorkspaceCheckpoint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attest</w:t>
      </w:r>
      <w:r>
        <w:rPr>
          <w:rStyle w:val="NormalTok"/>
        </w:rPr>
        <w:t xml:space="preserve">(lease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SandboxLeaseRef)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SandboxAttestation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(lease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SandboxLeaseRef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Lease 包含 tenant/task/workspace、runtime class、image digest、node、expiry、attestation digest 和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fence。Controller 必须有 orphan reaper；Worker 不直接访问 Docker socket 或 Kubernetes API。</w:t>
      </w:r>
    </w:p>
    <w:bookmarkEnd w:id="43"/>
    <w:bookmarkStart w:id="44" w:name="X5b692a4d5c066fa162550f9899a02011fe33f1b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5.5 Provider router</w:t>
      </w:r>
    </w:p>
    <w:p>
      <w:pPr>
        <w:pStyle w:val="SourceCode"/>
        <w:spacing w:before="60" w:after="140" w:line="252" w:lineRule="auto"/>
        <w:ind w:left="173" w:right="173"/>
        <w:shd w:fill="F2F4F7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ProviderRouter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ModelRoutingRequest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RoutingPolicy)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ResolvedModelEndpoint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ModelAttemptOutcome)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路由输入必须包含 capability、model revision、region、data classification、max cost、deadline、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tenant quota 和 fallback group。只有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ResolvedModelEndpoint.certificateId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在 allowlist 中才能调用。</w:t>
      </w:r>
    </w:p>
    <w:bookmarkEnd w:id="44"/>
    <w:bookmarkEnd w:id="45"/>
    <w:bookmarkStart w:id="48" w:name="Xb6f300427dce78f539c9b1dfc465367288bc486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6. 数据模型与迁移</w:t>
      </w:r>
    </w:p>
    <w:bookmarkStart w:id="46" w:name="X8a02b0ecb132a7de6db9a08e33b807328cf4474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6.1 PostgreSQL 表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表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关键字段/约束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tenants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id、status、home_region、kms_key_ref、retention_policy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identities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 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/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 </w:t>
            </w: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memberships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subject、tenant、roles、groups、last_seen；唯一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 </w:t>
            </w: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(issuer, subject)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repositories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tenant、provider、repo_ref、default_policy、data_classification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task_runs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tenant、state、version、workflow_id、base_revision、budget、home_region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task_events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task、sequence、schema_version、digest；唯一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 </w:t>
            </w: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(task_id, sequence)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task_attempts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worker、started/ended、failure_class、checkpoint_ref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session_entries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branch、parent、role、content_ref/provider_state_ciphertext、token metadata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workspace_checkpoints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base commit、delta object、digest、size、previous checkpoint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effect_intents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action_id、intent_digest、policy_revision、risk、idempotency key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effect_attempts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attempt_no、fence、state、started、receipt、reconcile status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approvals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approver、intent digest、TTL、decision、reason、MFA claim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provider_profiles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provider/model/revision、capabilities、compatibility、region、status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provider_certificates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fixture/live results、issued_at、expires_at、artifact digest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policy_bundles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tenant、revision、source、compiled digest、effective period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audit_records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tenant、sequence、previous digest、event digest、KMS signature batch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artifacts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object key、digest、size、classification、encryption metadata、retention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outbox_messages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topic、aggregate、sequence、payload、published_at；唯一 event identity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idempotency_keys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tenant、scope、key hash、request digest、response ref、expiry</w:t>
            </w:r>
          </w:p>
        </w:tc>
      </w:tr>
    </w:tbl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每张多租户表包含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tenant_id</w:t>
      </w:r>
      <w:r>
        <w:rPr>
          <w:rFonts w:ascii="Calibri" w:hAnsi="Calibri" w:eastAsia="Noto Sans SC"/>
          <w:color w:val="1C2733"/>
          <w:sz w:val="21"/>
        </w:rPr>
        <w:t xml:space="preserve">，应用层条件和 PostgreSQL RLS 双重约束。正文/图片/Tool output 不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进入普通索引或 telemetry。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provider_state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单独加密并设置短 retention。</w:t>
      </w:r>
    </w:p>
    <w:bookmarkEnd w:id="46"/>
    <w:bookmarkStart w:id="47" w:name="X7173a516a77e1d2205ea76b1318e28c6acafc3b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6.2 Migration 规则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使用 expand → backfill → switch-read → contract 四阶段；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一个版本不得同时要求新 schema 并删除旧字段；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migration 有 dry-run、估算锁时间、statement timeout 和 rollback/forward-fix 文档；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event schema 只追加兼容字段；破坏性变更使用新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schema_version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和 upcaster；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每个 GA 支持至少前两个 minor 版本的 Session/Task 读取；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从 File store 到 PostgreSQL 提供 import/checksum/report，不原地破坏旧数据。</w:t>
      </w:r>
    </w:p>
    <w:bookmarkEnd w:id="47"/>
    <w:bookmarkEnd w:id="48"/>
    <w:bookmarkStart w:id="51" w:name="X63ce00e729b786ee07d5df90b99f51b71e48884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7. Monorepo 调整</w:t>
      </w:r>
    </w:p>
    <w:bookmarkStart w:id="49" w:name="Xa332ac241cafa5b0513c596ec9741a30c2109dc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7.1 新增 package/app</w:t>
      </w:r>
    </w:p>
    <w:p>
      <w:pPr>
        <w:pStyle w:val="SourceCode"/>
        <w:spacing w:before="60" w:after="140" w:line="252" w:lineRule="auto"/>
        <w:ind w:left="173" w:right="173"/>
        <w:shd w:fill="F2F4F7"/>
      </w:pPr>
      <w:r>
        <w:rPr>
          <w:rStyle w:val="VerbatimChar"/>
        </w:rPr>
        <w:t xml:space="preserve">packages/workflow-domain          Task/Effect 状态、事件、ports、upcasters</w:t>
      </w:r>
      <w:r>
        <w:br/>
      </w:r>
      <w:r>
        <w:rPr>
          <w:rStyle w:val="VerbatimChar"/>
        </w:rPr>
        <w:t xml:space="preserve">packages/workflow-temporal        生产 workflow/activity/signal adapter</w:t>
      </w:r>
      <w:r>
        <w:br/>
      </w:r>
      <w:r>
        <w:rPr>
          <w:rStyle w:val="VerbatimChar"/>
        </w:rPr>
        <w:t xml:space="preserve">packages/task-store-postgres      migrations、repositories、transactional outbox</w:t>
      </w:r>
      <w:r>
        <w:br/>
      </w:r>
      <w:r>
        <w:rPr>
          <w:rStyle w:val="VerbatimChar"/>
        </w:rPr>
        <w:t xml:space="preserve">packages/effect-broker            Policy/Grant/Fence/Receipt/Reconciliation</w:t>
      </w:r>
      <w:r>
        <w:br/>
      </w:r>
      <w:r>
        <w:rPr>
          <w:rStyle w:val="VerbatimChar"/>
        </w:rPr>
        <w:t xml:space="preserve">packages/provider-router          quota、circuit breaker、routing policy、certificates</w:t>
      </w:r>
      <w:r>
        <w:br/>
      </w:r>
      <w:r>
        <w:rPr>
          <w:rStyle w:val="VerbatimChar"/>
        </w:rPr>
        <w:t xml:space="preserve">packages/identity-policy          OIDC claims、RBAC/ABAC、tenant context</w:t>
      </w:r>
      <w:r>
        <w:br/>
      </w:r>
      <w:r>
        <w:rPr>
          <w:rStyle w:val="VerbatimChar"/>
        </w:rPr>
        <w:t xml:space="preserve">packages/secret-broker            短期凭据和审计接口，不绑定具体 Vault/KMS</w:t>
      </w:r>
      <w:r>
        <w:br/>
      </w:r>
      <w:r>
        <w:rPr>
          <w:rStyle w:val="VerbatimChar"/>
        </w:rPr>
        <w:t xml:space="preserve">packages/observability            OTel semantic attributes、metrics、redaction</w:t>
      </w:r>
      <w:r>
        <w:br/>
      </w:r>
      <w:r>
        <w:rPr>
          <w:rStyle w:val="VerbatimChar"/>
        </w:rPr>
        <w:t xml:space="preserve">packages/workspace-checkpoint     content-addressed delta、restore、checksum</w:t>
      </w:r>
      <w:r>
        <w:br/>
      </w:r>
      <w:r>
        <w:rPr>
          <w:rStyle w:val="VerbatimChar"/>
        </w:rPr>
        <w:t xml:space="preserve">packages/extension-runner         独立进程/WASI capability protocol</w:t>
      </w:r>
      <w:r>
        <w:br/>
      </w:r>
      <w:r>
        <w:rPr>
          <w:rStyle w:val="VerbatimChar"/>
        </w:rPr>
        <w:t xml:space="preserve">apps/scheduler                    workflow client、outbox relay、reconciliation sweep</w:t>
      </w:r>
      <w:r>
        <w:br/>
      </w:r>
      <w:r>
        <w:rPr>
          <w:rStyle w:val="VerbatimChar"/>
        </w:rPr>
        <w:t xml:space="preserve">apps/sandbox-controller           runtime lifecycle、attestation、orphan reaper</w:t>
      </w:r>
      <w:r>
        <w:br/>
      </w:r>
      <w:r>
        <w:rPr>
          <w:rStyle w:val="VerbatimChar"/>
        </w:rPr>
        <w:t xml:space="preserve">apps/agent-worker                 remote Agent activity worker</w:t>
      </w:r>
      <w:r>
        <w:br/>
      </w:r>
      <w:r>
        <w:rPr>
          <w:rStyle w:val="VerbatimChar"/>
        </w:rPr>
        <w:t xml:space="preserve">apps/egress-proxy                 allowlisted DNS/HTTP、request receipt</w:t>
      </w:r>
      <w:r>
        <w:br/>
      </w:r>
      <w:r>
        <w:rPr>
          <w:rStyle w:val="VerbatimChar"/>
        </w:rPr>
        <w:t xml:space="preserve">deploy/helm/focuscode             HA charts、PDB、topology spread、NetworkPolicy</w:t>
      </w:r>
      <w:r>
        <w:br/>
      </w:r>
      <w:r>
        <w:rPr>
          <w:rStyle w:val="VerbatimChar"/>
        </w:rPr>
        <w:t xml:space="preserve">infra/kind                        本地多节点/chaos 验收环境</w:t>
      </w:r>
      <w:r>
        <w:br/>
      </w:r>
      <w:r>
        <w:rPr>
          <w:rStyle w:val="VerbatimChar"/>
        </w:rPr>
        <w:t xml:space="preserve">specs                             Effect lifecycle TLA+/状态模型</w:t>
      </w:r>
    </w:p>
    <w:bookmarkEnd w:id="49"/>
    <w:bookmarkStart w:id="50" w:name="X8ddbaca362112dde6c7ea31d202bd77e174f0f7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7.2 改造现有模块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现模块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修改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agent-runtime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Tool execution 替换为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 </w:t>
            </w: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EffectBrokerPort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；Session/steering 改为 durable adapter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harness-core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保留 deterministic state semantics，合并到 workflow-domain；去除直接 EffectPort 批量假设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action-domain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成为 Policy/Grant/Receipt 唯一来源，增加 fence/unknown/reconcile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persistence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File adapter 降级为 local/dev；生产使用 PostgreSQL/Object Store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sandbox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保留 runtime driver；远程模式通过 sandbox-controller，不直接 spawn Docker/SSH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auth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OIDC token verification、JWKS cache/rotation、tenant membership、service identity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ecosystem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Extension 从动态 import 改为 runner IPC；Share 接企业 identity/retention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sdk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createLocalCodingAgent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 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与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 </w:t>
            </w: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createRemoteFocusCodeClient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 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分离，协议版本协商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cli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remote endpoint、device login、SSE cursor/reconnect、离线只读和审批通知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control-api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替换只读 File API，加入 task/session/approval/steering/admin API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harness-worker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不再读取含 secret 的本地 job JSON，改为 workload identity + task queue</w:t>
            </w:r>
          </w:p>
        </w:tc>
      </w:tr>
    </w:tbl>
    <w:bookmarkEnd w:id="50"/>
    <w:bookmarkEnd w:id="51"/>
    <w:bookmarkStart w:id="59" w:name="X6d5e4079344ffa263a35de81e7d28fba76da773"/>
    <w:p>
      <w:pPr>
        <w:pStyle w:val="Heading1"/>
        <w:keepNext/>
        <w:keepLines/>
        <w:pageBreakBefore/>
      </w:pPr>
      <w:r>
        <w:rPr>
          <w:rFonts w:ascii="Calibri" w:hAnsi="Calibri" w:eastAsia="Noto Sans SC"/>
          <w:color w:val="1C2733"/>
          <w:sz w:val="21"/>
        </w:rPr>
        <w:t xml:space="preserve">8. 分阶段代码实现计划</w:t>
      </w:r>
    </w:p>
    <w:bookmarkStart w:id="52" w:name="phase-0可靠性契约与基线w1w2v05-dev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Phase 0：可靠性契约与基线（W1–W2，v0.5-dev）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目标：先固定“不允许被绕过”的语义，再引入分布式组件。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300"/>
        <w:gridCol w:w="2750"/>
        <w:gridCol w:w="3600"/>
        <w:gridCol w:w="1710"/>
      </w:tblGrid>
      <w:tr>
        <w:trPr>
          <w:tblHeader w:val="true"/>
          <w:tblHeader w:val="true"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ID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实现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主要文件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完成标准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HA-001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定义 Task/Effect/Approval 状态和 error taxonomy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workflow-domain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property tests 覆盖所有合法/非法 transition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HA-002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定义 idempotency、fence、UNKNOWN/reconcile contract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contracts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、</w:t>
            </w: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effect-broker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断点模型审查通过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HA-003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抽取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 </w:t>
            </w: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EffectBrokerPort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agent-runtime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Agent 不再直接引用 Tool implementation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HA-004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local adapter 保持 CLI 功能兼容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sdk</w:t>
            </w:r>
            <w:r>
              <w:rPr>
                <w:rFonts w:ascii="Calibri" w:hAnsi="Calibri" w:eastAsia="Noto Sans SC"/>
                <w:color w:val="1C2733"/>
                <w:sz w:val="16"/>
              </w:rPr>
              <w:t xml:space="preserve">、</w:t>
            </w: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action-backends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现有 89 项测试及 npm demo 不退化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HA-005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建立 OTel attribute/redaction contract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observability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trace 无 Prompt、Token、源码正文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HA-006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写 Effect lifecycle TLA+/property model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specs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无双 writer、过期 grant 或 terminal resurrection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HA-007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形成 SLO dashboard schema 与 failure taxonomy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Style w:val="VerbatimChar"/>
                <w:rFonts w:ascii="Calibri" w:hAnsi="Calibri" w:eastAsia="Noto Sans SC"/>
                <w:color w:val="1C2733"/>
                <w:sz w:val="16"/>
              </w:rPr>
              <w:t xml:space="preserve">docs/runbooks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每个错误可归属 Focus/Provider/User/Infra</w:t>
            </w:r>
          </w:p>
        </w:tc>
      </w:tr>
    </w:tbl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Stop Gate：任何 Tool 仍可绕过统一 Broker，Phase 1 不得开始远程写路径。</w:t>
      </w:r>
    </w:p>
    <w:bookmarkEnd w:id="52"/>
    <w:bookmarkStart w:id="53" w:name="phase-1持久化与可恢复单写者w3w6v050-alpha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Phase 1：持久化与可恢复单写者（W3–W6，v0.5.0-alpha）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目标：单区域、单任务 writer 故障后可恢复，不重复已知副作用。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3730"/>
        <w:gridCol w:w="3930"/>
      </w:tblGrid>
      <w:tr>
        <w:trPr>
          <w:tblHeader w:val="true"/>
          <w:tblHeader w:val="true"/>
        </w:trP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ID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实现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验收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HA-101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PostgreSQL schema、RLS、migration runner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transaction/rollback/tenant escape tests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HA-102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TaskStore CAS append + checkpoint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并发 append 只有一个成功，event sequence 无洞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HA-103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Transactional outbox + relay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broker 断开时数据不丢，恢复后无重复业务消费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HA-104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Temporal workflow adapter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worker kill 后从 committed round 恢复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HA-105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durable steering/approval/user-input signal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signal ID 幂等，重放顺序稳定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HA-106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effect STARTED/UNKNOWN/reconciliation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kill-point 矩阵全部有确定结果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HA-107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workspace delta checkpoint/restore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sandbox 丢失后 digest 一致恢复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HA-108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File store import/checksum/report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v0.4 Session/Task 可迁移且原文件保留</w:t>
            </w:r>
          </w:p>
        </w:tc>
      </w:tr>
    </w:tbl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Release Gate：连续 10,000 次 crash-injection run 无丢 task、无未检测 duplicate、无 terminal state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逆转。</w:t>
      </w:r>
    </w:p>
    <w:bookmarkEnd w:id="53"/>
    <w:bookmarkStart w:id="54" w:name="phase-2单区域多-az-高可用w7w10v060-alpha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Phase 2：单区域多 AZ 高可用（W7–W10，v0.6.0-alpha）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目标：控制面、Worker 和数据层任一单节点/AZ 故障不丢已接受任务。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3730"/>
        <w:gridCol w:w="3930"/>
      </w:tblGrid>
      <w:tr>
        <w:trPr>
          <w:tblHeader w:val="true"/>
          <w:tblHeader w:val="true"/>
        </w:trP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ID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实现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验收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HA-201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Control API v2、OIDC/JWKS、Idempotency-Key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3 副本滚动重启，提交/查询无错乱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HA-202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SSE event cursor、Last-Event-ID、RPC version negotiation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断网/切 Pod 后恢复 committed event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HA-203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Worker queue、concurrency、heartbeat、graceful drain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PDB/节点 drain 时任务迁移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HA-204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Provider/Sandbox 容量队列和背压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过载返回可操作 retry/queue 状态，不 OOM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HA-205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PostgreSQL HA、PITR、对象存储 versioning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主库切换和 point-in-time restore 演练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HA-206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Outbox fanout + consumer cursor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消息总线重建后从 DB 补放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HA-207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Kubernetes topology spread/PDB/HPA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单 AZ loss 满足恢复 SLO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HA-208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Reconciliation scheduler leader election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多副本只有有效 leader 扫描，接管不遗漏</w:t>
            </w:r>
          </w:p>
        </w:tc>
      </w:tr>
    </w:tbl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Kubernetes Lease 可用于 controller leader election，但 task writer fence 仍以数据库/workflow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version 为准，不能把 Kubernetes Lease 当成业务 exactly-once 保证。</w:t>
      </w:r>
    </w:p>
    <w:bookmarkEnd w:id="54"/>
    <w:bookmarkStart w:id="55" w:name="Xcf4f25ca6b542ed571145c177026e5e2821eed3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Phase 3：Sandbox、身份、Secret 与 Extension（W11–W14，v0.7.0-alpha）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目标：执行不可信仓库时，故障和扩容都不降低安全边界。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3730"/>
        <w:gridCol w:w="3930"/>
      </w:tblGrid>
      <w:tr>
        <w:trPr>
          <w:tblHeader w:val="true"/>
          <w:tblHeader w:val="true"/>
        </w:trP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ID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实现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验收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HA-301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sandbox-controller + per-task lease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Worker 无 Docker socket/K8s 权限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HA-302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gVisor production RuntimeClass、rootless/container hardening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escape/secret/socket/network adversarial suite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HA-303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disposable VM adapter lifecycle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provision→attest→execute→destroy，orphan=0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HA-304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image SBOM/signature/digest admission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unsigned/unapproved image 100% 拒绝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HA-305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SPIFFE/SPIRE 或等价 workload identity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mTLS、短期 SVID/JWT，Pod 重建自动轮换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HA-306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Secret Broker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task/repo/provider scoped token，Tool 环境无长期 secret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HA-307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Egress Proxy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DNS/IP/HTTP policy、size/time limit、receipt、默认拒绝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HA-308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Extension runner/WASI capability protocol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恶意 extension 不能读 Host/Token/任意网络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HA-309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centralized audit + KMS-signed Merkle batch/WORM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key rotation、tamper、gap detection、retention tests</w:t>
            </w:r>
          </w:p>
        </w:tc>
      </w:tr>
    </w:tbl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Stop Gate：企业 remote mode 不允许 in-process extension；Host fallback 在编译/配置/运行三层都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必须关闭。</w:t>
      </w:r>
    </w:p>
    <w:bookmarkEnd w:id="55"/>
    <w:bookmarkStart w:id="56" w:name="X43102d295d38c0beb0ec6eba06c7d0f7aafb35f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Phase 4：Provider 高可用与可移植上下文（W15–W17，v0.8.0-beta）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目标：Provider 故障可控，模型切换不破坏企业策略和 Session 资产。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3730"/>
        <w:gridCol w:w="3930"/>
      </w:tblGrid>
      <w:tr>
        <w:trPr>
          <w:tblHeader w:val="true"/>
          <w:tblHeader w:val="true"/>
        </w:trP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ID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实现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验收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HA-401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五系脱敏 recorded-stream fixtures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text/reasoning/tool/image/usage/abort/overflow 全覆盖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HA-402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每个批准 revision 的 live conformance certificate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certificate 到期自动禁新任务或告警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HA-403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circuit breaker、bulkhead、tenant/provider quota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单 Provider 429 不拖垮其他 Provider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HA-404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pre-first-token retry 与 post-first-token attempt semantics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不重复已提交 Tool effect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HA-405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routing/fallback policy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区域、能力、费用、分类不匹配时 fail closed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HA-406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Session schema migration/encryption/retention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 state 可回放、分享仍强制剥离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HA-407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structured compaction/branch summary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长任务重放结果和关键事实稳定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HA-408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model catalog signed update + rollback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bad profile 可在 10 分钟内回滚</w:t>
            </w:r>
          </w:p>
        </w:tc>
      </w:tr>
    </w:tbl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默认不做生成请求 hedging；它会增加费用和不确定性。仅在只读、无副作用、租户明确允许且有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严格取消语义时实验。</w:t>
      </w:r>
    </w:p>
    <w:bookmarkEnd w:id="56"/>
    <w:bookmarkStart w:id="57" w:name="phase-5可观测质量与运营w18w20v090-beta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Phase 5：可观测、质量与运营（W18–W20，v0.9.0-beta）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3730"/>
        <w:gridCol w:w="3930"/>
      </w:tblGrid>
      <w:tr>
        <w:trPr>
          <w:tblHeader w:val="true"/>
          <w:tblHeader w:val="true"/>
        </w:trP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ID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实现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验收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HA-501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OpenTelemetry traces/metrics/logs + Collector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task→model→effect→sandbox 全链 trace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HA-502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SLO/error-budget dashboard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Focus/Provider/User/Repo/Infra 五类分拆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HA-503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alert rules + runbooks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每条 page 有 Owner、diagnosis、mitigation、rollback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HA-504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cost/token/context/cache metrics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tenant budget 达限前预警并 fail closed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HA-505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LSP/symbol retrieval、affected-test planner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真实 Repo 质量和 token 效率提升有 A/B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HA-506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diff review/approval UX、remote TUI reconnect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高风险动作可在上下文内审批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HA-507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24h/7d soak、memory/fd/session leak tests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无持续增长，满足容量模型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HA-508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Pi 同模型/同预算 30 Repo A/B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发布报告包含胜率、成本、时延和干预次数</w:t>
            </w:r>
          </w:p>
        </w:tc>
      </w:tr>
    </w:tbl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OpenTelemetry JavaScript 当前 traces/metrics 稳定、logs 仍处于 development 状态，因此日志管道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采用普通结构化 logger + trace correlation，OTel logs adapter 放在可替换边界。</w:t>
      </w:r>
    </w:p>
    <w:bookmarkEnd w:id="57"/>
    <w:bookmarkStart w:id="58" w:name="phase-6供应链灾备与-gaw21w24v09-rc--v10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Phase 6：供应链、灾备与 GA（W21–W24，v0.9 RC → v1.0）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3730"/>
        <w:gridCol w:w="3930"/>
      </w:tblGrid>
      <w:tr>
        <w:trPr>
          <w:tblHeader w:val="true"/>
          <w:tblHeader w:val="true"/>
        </w:trP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ID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实现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验收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HA-601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npm/OCI/Helm 固定版本和 compatibility matrix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clean install/upgrade/rollback 全通过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HA-602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SPDX/CycloneDX SBOM、SLSA provenance、Cosign 签名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admission 和离线验证通过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HA-603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multi-arch image、镜像漏洞 Gate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critical=0；high 有限期例外与 Owner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HA-604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expand/contract migration rehearsal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当前版和前两 minor 混跑无数据损坏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HA-605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canary + feature flags + auto rollback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1/5/25/50/100% 分批，异常自动停止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HA-606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跨区域 warm standby 与 game day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达到 RPO/RTO，确认无 split-brain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HA-607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安全红队/威胁模型/渗透修复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P0/P1 关闭，剩余风险经签字接受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HA-608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30 天 production-like soak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SLO、容量、成本、on-call 均通过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HA-609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GA readiness review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Product/SRE/Security/Data/Model Owner 共同签字</w:t>
            </w:r>
          </w:p>
        </w:tc>
      </w:tr>
    </w:tbl>
    <w:bookmarkEnd w:id="58"/>
    <w:bookmarkEnd w:id="59"/>
    <w:bookmarkStart w:id="62" w:name="Xd35ee52ac3835817d86547f64a2803caf6a9786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9. API 与用户接入计划</w:t>
      </w:r>
    </w:p>
    <w:bookmarkStart w:id="60" w:name="Xc16fceaa33d747eb72cbabb6374a81dd225041a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9.1 外部 API</w:t>
      </w:r>
    </w:p>
    <w:p>
      <w:pPr>
        <w:pStyle w:val="SourceCode"/>
        <w:spacing w:before="60" w:after="140" w:line="252" w:lineRule="auto"/>
        <w:ind w:left="173" w:right="173"/>
        <w:shd w:fill="F2F4F7"/>
      </w:pPr>
      <w:r>
        <w:rPr>
          <w:rStyle w:val="VerbatimChar"/>
        </w:rPr>
        <w:t xml:space="preserve">POST   /v1/tasks                         Idempotency-Key 必填</w:t>
      </w:r>
      <w:r>
        <w:br/>
      </w:r>
      <w:r>
        <w:rPr>
          <w:rStyle w:val="VerbatimChar"/>
        </w:rPr>
        <w:t xml:space="preserve">GET    /v1/tasks/{task_id}</w:t>
      </w:r>
      <w:r>
        <w:br/>
      </w:r>
      <w:r>
        <w:rPr>
          <w:rStyle w:val="VerbatimChar"/>
        </w:rPr>
        <w:t xml:space="preserve">GET    /v1/tasks/{task_id}/events        SSE + Last-Event-ID</w:t>
      </w:r>
      <w:r>
        <w:br/>
      </w:r>
      <w:r>
        <w:rPr>
          <w:rStyle w:val="VerbatimChar"/>
        </w:rPr>
        <w:t xml:space="preserve">POST   /v1/tasks/{task_id}/steering      signal_id 必填</w:t>
      </w:r>
      <w:r>
        <w:br/>
      </w:r>
      <w:r>
        <w:rPr>
          <w:rStyle w:val="VerbatimChar"/>
        </w:rPr>
        <w:t xml:space="preserve">POST   /v1/tasks/{task_id}/cancel        request_id 必填</w:t>
      </w:r>
      <w:r>
        <w:br/>
      </w:r>
      <w:r>
        <w:rPr>
          <w:rStyle w:val="VerbatimChar"/>
        </w:rPr>
        <w:t xml:space="preserve">GET    /v1/tasks/{task_id}/approvals</w:t>
      </w:r>
      <w:r>
        <w:br/>
      </w:r>
      <w:r>
        <w:rPr>
          <w:rStyle w:val="VerbatimChar"/>
        </w:rPr>
        <w:t xml:space="preserve">POST   /v1/approvals/{approval_id}        intent digest 和 MFA claim 校验</w:t>
      </w:r>
      <w:r>
        <w:br/>
      </w:r>
      <w:r>
        <w:rPr>
          <w:rStyle w:val="VerbatimChar"/>
        </w:rPr>
        <w:t xml:space="preserve">GET    /v1/sessions/{session_id}</w:t>
      </w:r>
      <w:r>
        <w:br/>
      </w:r>
      <w:r>
        <w:rPr>
          <w:rStyle w:val="VerbatimChar"/>
        </w:rPr>
        <w:t xml:space="preserve">POST   /v1/sessions/{session_id}/fork</w:t>
      </w:r>
      <w:r>
        <w:br/>
      </w:r>
      <w:r>
        <w:rPr>
          <w:rStyle w:val="VerbatimChar"/>
        </w:rPr>
        <w:t xml:space="preserve">POST   /v1/sessions/{session_id}/share</w:t>
      </w:r>
      <w:r>
        <w:br/>
      </w:r>
      <w:r>
        <w:rPr>
          <w:rStyle w:val="VerbatimChar"/>
        </w:rPr>
        <w:t xml:space="preserve">GET    /v1/models                         仅返回 tenant allowlist + certificate 状态</w:t>
      </w:r>
      <w:r>
        <w:br/>
      </w:r>
      <w:r>
        <w:rPr>
          <w:rStyle w:val="VerbatimChar"/>
        </w:rPr>
        <w:t xml:space="preserve">GET    /v1/health/live</w:t>
      </w:r>
      <w:r>
        <w:br/>
      </w:r>
      <w:r>
        <w:rPr>
          <w:rStyle w:val="VerbatimChar"/>
        </w:rPr>
        <w:t xml:space="preserve">GET    /v1/health/ready</w:t>
      </w:r>
      <w:r>
        <w:br/>
      </w:r>
      <w:r>
        <w:rPr>
          <w:rStyle w:val="VerbatimChar"/>
        </w:rPr>
        <w:t xml:space="preserve">GET    /v1/version                        API/contract/min-client versions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响应使用稳定 error code、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request_id/trace_id/retryable/retry_after_ms</w:t>
      </w:r>
      <w:r>
        <w:rPr>
          <w:rFonts w:ascii="Calibri" w:hAnsi="Calibri" w:eastAsia="Noto Sans SC"/>
          <w:color w:val="1C2733"/>
          <w:sz w:val="21"/>
        </w:rPr>
        <w:t xml:space="preserve">。不能把数据库、Provider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正文或内部堆栈返回给用户。</w:t>
      </w:r>
    </w:p>
    <w:bookmarkEnd w:id="60"/>
    <w:bookmarkStart w:id="61" w:name="X041c5d75af76c78f5f19415b8f8814efb6823a4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9.2 CLI</w:t>
      </w:r>
    </w:p>
    <w:p>
      <w:pPr>
        <w:pStyle w:val="SourceCode"/>
        <w:spacing w:before="60" w:after="140" w:line="252" w:lineRule="auto"/>
        <w:ind w:left="173" w:right="173"/>
        <w:shd w:fill="F2F4F7"/>
      </w:pPr>
      <w:r>
        <w:rPr>
          <w:rStyle w:val="ExtensionTok"/>
        </w:rPr>
        <w:t xml:space="preserve">focuscode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--endpoint</w:t>
      </w:r>
      <w:r>
        <w:rPr>
          <w:rStyle w:val="NormalTok"/>
        </w:rPr>
        <w:t xml:space="preserve"> https://focuscode.example.com</w:t>
      </w:r>
      <w:r>
        <w:br/>
      </w:r>
      <w:r>
        <w:rPr>
          <w:rStyle w:val="ExtensionTok"/>
        </w:rPr>
        <w:t xml:space="preserve">focuscode</w:t>
      </w:r>
      <w:r>
        <w:rPr>
          <w:rStyle w:val="NormalTok"/>
        </w:rPr>
        <w:t xml:space="preserve"> remote doctor</w:t>
      </w:r>
      <w:r>
        <w:br/>
      </w:r>
      <w:r>
        <w:rPr>
          <w:rStyle w:val="ExtensionTok"/>
        </w:rPr>
        <w:t xml:space="preserve">focuscode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org/repo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"修复测试"</w:t>
      </w:r>
      <w:r>
        <w:br/>
      </w:r>
      <w:r>
        <w:rPr>
          <w:rStyle w:val="ExtensionTok"/>
        </w:rPr>
        <w:t xml:space="preserve">focuscode</w:t>
      </w:r>
      <w:r>
        <w:rPr>
          <w:rStyle w:val="NormalTok"/>
        </w:rPr>
        <w:t xml:space="preserve"> attach TASK_ID</w:t>
      </w:r>
      <w:r>
        <w:br/>
      </w:r>
      <w:r>
        <w:rPr>
          <w:rStyle w:val="ExtensionTok"/>
        </w:rPr>
        <w:t xml:space="preserve">focuscode</w:t>
      </w:r>
      <w:r>
        <w:rPr>
          <w:rStyle w:val="NormalTok"/>
        </w:rPr>
        <w:t xml:space="preserve"> approve APPROVAL_ID</w:t>
      </w:r>
      <w:r>
        <w:br/>
      </w:r>
      <w:r>
        <w:rPr>
          <w:rStyle w:val="ExtensionTok"/>
        </w:rPr>
        <w:t xml:space="preserve">focuscode</w:t>
      </w:r>
      <w:r>
        <w:rPr>
          <w:rStyle w:val="NormalTok"/>
        </w:rPr>
        <w:t xml:space="preserve"> task events TASK_ID </w:t>
      </w:r>
      <w:r>
        <w:rPr>
          <w:rStyle w:val="AttributeTok"/>
        </w:rPr>
        <w:t xml:space="preserve">--after</w:t>
      </w:r>
      <w:r>
        <w:rPr>
          <w:rStyle w:val="NormalTok"/>
        </w:rPr>
        <w:t xml:space="preserve"> EVENT_ID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CLI 保存 endpoint、account 和非敏感 cursor；Token 进入 OS keychain/加密 store。远程断线后按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event cursor 重连，不重新提交 Prompt。客户端和服务端做最低/最高协议版本协商。</w:t>
      </w:r>
    </w:p>
    <w:bookmarkEnd w:id="61"/>
    <w:bookmarkEnd w:id="62"/>
    <w:bookmarkStart w:id="68" w:name="X4caa1fa2591d7d14a9b2ed4fe2313637490008b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10. 测试战略</w:t>
      </w:r>
    </w:p>
    <w:bookmarkStart w:id="63" w:name="X4855fa4b0cb7167a4b2f6617f608cd023af02de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10.1 测试层级与频率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300"/>
        <w:gridCol w:w="2750"/>
        <w:gridCol w:w="3600"/>
        <w:gridCol w:w="1710"/>
      </w:tblGrid>
      <w:tr>
        <w:trPr>
          <w:tblHeader w:val="true"/>
          <w:tblHeader w:val="true"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层级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内容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频率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目标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Unit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state、policy、parser、redaction、routing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 PR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&lt;8 分钟，critical package ≥90% lines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Property/Fuzz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transition、idempotency、SSE、Provider stream、path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 PR/夜间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无未处理输入和非法状态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Contract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PostgreSQL、Temporal、KMS、object store、Provider fixtures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 PR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adapter 行为固定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Integration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API→workflow→worker→broker→sandbox→verify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 PR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真实依赖容器环境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Live Provider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五系批准 revision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每日/发布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脱敏、低成本、限流保护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Chaos/Kill-point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worker/db/bus/object/provider/sandbox 故障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每晚/每周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恢复和 UNKNOWN 语义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Security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tenant/IDOR/prompt/tool/extension/egress/supply chain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每晚/RC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P0/P1 为零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Load/Soak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并发、长 Session、流式 fanout、compaction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每周/RC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满足容量和 SLO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Eval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30 Repo、同模型 Pi A/B、回归任务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nightly/RC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质量不退化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DR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主库/区域/密钥/对象恢复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每月/RC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RPO/RTO 实测通过</w:t>
            </w:r>
          </w:p>
        </w:tc>
      </w:tr>
    </w:tbl>
    <w:bookmarkEnd w:id="63"/>
    <w:bookmarkStart w:id="64" w:name="X1296b034235b0c838f37c7ebbd0b9bffb176b1b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10.2 Kill-point 矩阵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每个副作用至少在以下位置强制 kill 100 次：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intent 已写入、policy 未完成；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grant 已写入、未 dispatch；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STARTED 已提交、Sandbox 未收到；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Sandbox 已执行、receipt 未返回；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receipt 已返回、数据库未提交；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effect 已提交、session/checkpoint 未提交；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checkpoint 已提交、outbox 未 publish；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event 已发送、客户端未 ack。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断言：event sequence 连续、terminal state 不复活、过期 fence 被拒绝、已知幂等 effect 不重复、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未知高风险 effect 不盲重试、恢复后的 workspace digest 与预期一致。</w:t>
      </w:r>
    </w:p>
    <w:bookmarkEnd w:id="64"/>
    <w:bookmarkStart w:id="65" w:name="X522d1bd88a925af47960233cc6b3d97b8196b10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10.3 Provider contract matrix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每个允许模型 revision 必测：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text JSON/stream、Unicode 和超长 chunk；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reasoning on/off/effort 与 continuation replay；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zero/one/parallel Tool call、畸形 arguments、Tool error；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image input（若声明）、MIME/size/count；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usage/cache/context limit；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400/401/403/408/409/425/429/5xx、Retry-After；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DNS/TLS/connect/read timeout、首 Token 前后断流；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cancel/abort、服务端仍继续计费的观测；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model alias 变更和字段兼容性；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数据区域与 endpoint certificate。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Profile 只有通过 recorded fixture、live smoke、安全审查和成本上限后才生成 certificate。证书有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过期时间，不能永久信任 alias。</w:t>
      </w:r>
    </w:p>
    <w:bookmarkEnd w:id="65"/>
    <w:bookmarkStart w:id="66" w:name="Xc6c95584158de095a0ec9025dec9aec48523f3f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10.4 安全测试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映射 OWASP Agentic Top 10 与 NIST AI RMF：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goal/prompt hijack：仓库 README、测试输出、图片和 Tool output 中注入指令；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tool misuse：参数偷换、未声明 effect、approval 后修改；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identity/privilege abuse：跨 tenant IDOR、group 变更、过期 JWT、confused deputy；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memory/context poisoning：恶意 Session/share/compaction/provider state；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extension/A2A：IPC spoof、capability escalation、递归 delegation；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secret exfiltration：Prompt、日志、trace、DNS、HTTP redirect、crash dump；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Sandbox：symlink、procfs、Host HOME、Docker socket、metadata service、fork bomb、OOM；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supply chain：恶意 npm lifecycle、dependency confusion、unsigned image、SBOM mismatch；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audit：删行、插行、重排、key rotation、WORM retention bypass。</w:t>
      </w:r>
    </w:p>
    <w:bookmarkEnd w:id="66"/>
    <w:bookmarkStart w:id="67" w:name="X201ffabd0fb3900ec503b7881f38b8e831dc50b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10.5 性能与容量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建立三种负载：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Small：50k 文件以下、10 rounds、2 Tool calls；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Medium：250k 文件、30 rounds、10 Tool calls、2 images；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Long：100 rounds、3 次 compaction、5 次 steering、worker/sandbox 各 kill 一次。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至少验证 10/100/500/1,000 并发 task；分别测 API ack、queue wait、first event、model wait、effect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latency、checkpoint size、DB write IOPS、object throughput、worker memory、stream fanout 和单任务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总成本。容量结论必须包含安全余量和 scale-up 时间。</w:t>
      </w:r>
    </w:p>
    <w:bookmarkEnd w:id="67"/>
    <w:bookmarkEnd w:id="68"/>
    <w:bookmarkStart w:id="74" w:name="X4bcffab2e3002018de426c8294ea1ef8190a9c1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11. CI/CD 与发布计划</w:t>
      </w:r>
    </w:p>
    <w:bookmarkStart w:id="69" w:name="X7b5b78e435c84081476bdc88ae2e71afdf4464a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11.1 Pipeline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PR Gate：</w:t>
      </w:r>
    </w:p>
    <w:p>
      <w:pPr>
        <w:pStyle w:val="SourceCode"/>
        <w:spacing w:before="60" w:after="140" w:line="252" w:lineRule="auto"/>
        <w:ind w:left="173" w:right="173"/>
        <w:shd w:fill="F2F4F7"/>
      </w:pPr>
      <w:r>
        <w:rPr>
          <w:rStyle w:val="VerbatimChar"/>
        </w:rPr>
        <w:t xml:space="preserve">format → architecture → typecheck → unit/property → contract → integration</w:t>
      </w:r>
      <w:r>
        <w:br/>
      </w:r>
      <w:r>
        <w:rPr>
          <w:rStyle w:val="VerbatimChar"/>
        </w:rPr>
        <w:t xml:space="preserve">       → dependency/license/secret scan → migration lint → package clean install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Nightly：live Provider、kill-point、fuzz、30 Repo eval、multi-node kind。</w:t>
      </w:r>
      <w:r>
        <w:rPr>
          <w:rFonts w:ascii="Calibri" w:hAnsi="Calibri" w:eastAsia="Noto Sans SC"/>
          <w:color w:val="1C2733"/>
          <w:sz w:val="21"/>
        </w:rPr>
        <w:br/>
      </w:r>
      <w:r>
        <w:rPr>
          <w:rFonts w:ascii="Calibri" w:hAnsi="Calibri" w:eastAsia="Noto Sans SC"/>
          <w:color w:val="1C2733"/>
          <w:sz w:val="21"/>
        </w:rPr>
        <w:t xml:space="preserve">Weekly：load/soak、Sandbox adversarial、dependency update、restore drill。</w:t>
      </w:r>
      <w:r>
        <w:rPr>
          <w:rFonts w:ascii="Calibri" w:hAnsi="Calibri" w:eastAsia="Noto Sans SC"/>
          <w:color w:val="1C2733"/>
          <w:sz w:val="21"/>
        </w:rPr>
        <w:br/>
      </w:r>
      <w:r>
        <w:rPr>
          <w:rFonts w:ascii="Calibri" w:hAnsi="Calibri" w:eastAsia="Noto Sans SC"/>
          <w:color w:val="1C2733"/>
          <w:sz w:val="21"/>
        </w:rPr>
        <w:t xml:space="preserve">RC：全部 Gate + 24h/7d soak + migration rehearsal + security review + DR game day。</w:t>
      </w:r>
    </w:p>
    <w:bookmarkEnd w:id="69"/>
    <w:bookmarkStart w:id="70" w:name="Xd3001346cff2370006bb0248ec65bd1c6430dbc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11.2 发布制品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rFonts w:ascii="Calibri" w:hAnsi="Calibri" w:eastAsia="Noto Sans SC"/>
          <w:color w:val="1C2733"/>
          <w:sz w:val="21"/>
        </w:rPr>
        <w:t xml:space="preserve">@focuscode/cli</w:t>
      </w:r>
      <w:r>
        <w:rPr>
          <w:rFonts w:ascii="Calibri" w:hAnsi="Calibri" w:eastAsia="Noto Sans SC"/>
          <w:color w:val="1C2733"/>
          <w:sz w:val="21"/>
        </w:rPr>
        <w:t xml:space="preserve">、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@focuscode/sdk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npm packages；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control-api、worker、scheduler、sandbox-controller、egress-proxy OCI images；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Helm chart、CRD/values schema、NetworkPolicy、PodSecurity、PDB；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PostgreSQL migration bundle；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SPDX/CycloneDX SBOM；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SLSA provenance 和 Cosign signature/attestation；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model profile/certificate bundle；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compatibility matrix、release notes、known issues、rollback/runbook；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source manifest 和 reproducible build evidence。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SLSA provenance 用于证明 artifact 从何处、何时、如何构建；Cosign 负责 OCI/blob 签名与验证。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生产 admission 必须验证 builder identity、source repository、tag/commit 和签名策略。</w:t>
      </w:r>
    </w:p>
    <w:bookmarkEnd w:id="70"/>
    <w:bookmarkStart w:id="71" w:name="X0c28ee84bc48f446076ffd1f831d6844c3b60b4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11.3 版本与兼容策略</w:t>
      </w:r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对外 npm/HTTP/Session/Event 使用 SemVer；</w:t>
      </w:r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public packages 采用 fixed release train，内部 package 可独立但必须锁精确版本；</w:t>
      </w:r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API path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v1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内只做兼容追加；</w:t>
      </w:r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event/schema 使用显式版本和 upcaster；</w:t>
      </w:r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CLI 支持服务端当前 minor 及前两个 minor；</w:t>
      </w:r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model profiles 独立版本，可紧急回滚而不重发整个 CLI；</w:t>
      </w:r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feature flag 使用 vendor-neutral adapter；关键安全行为不能由普通租户 flag 关闭。</w:t>
      </w:r>
    </w:p>
    <w:bookmarkEnd w:id="71"/>
    <w:bookmarkStart w:id="72" w:name="Xc9e5f4ac1847417791168f9cb3d0bd98ec379c9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11.4 金丝雀顺序</w:t>
      </w:r>
    </w:p>
    <w:p>
      <w:pPr>
        <w:numPr>
          <w:ilvl w:val="0"/>
          <w:numId w:val="101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CI synthetic + ephemeral environment；</w:t>
      </w:r>
    </w:p>
    <w:p>
      <w:pPr>
        <w:numPr>
          <w:ilvl w:val="0"/>
          <w:numId w:val="101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staging 100% synthetic；</w:t>
      </w:r>
    </w:p>
    <w:p>
      <w:pPr>
        <w:numPr>
          <w:ilvl w:val="0"/>
          <w:numId w:val="101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internal dogfood、只读任务；</w:t>
      </w:r>
    </w:p>
    <w:p>
      <w:pPr>
        <w:numPr>
          <w:ilvl w:val="0"/>
          <w:numId w:val="101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1% tenant、低风险写；</w:t>
      </w:r>
    </w:p>
    <w:p>
      <w:pPr>
        <w:numPr>
          <w:ilvl w:val="0"/>
          <w:numId w:val="101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5% 单 AZ；</w:t>
      </w:r>
    </w:p>
    <w:p>
      <w:pPr>
        <w:numPr>
          <w:ilvl w:val="0"/>
          <w:numId w:val="101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25% → 50% → 100%，每级观察至少一个业务峰值周期；</w:t>
      </w:r>
    </w:p>
    <w:p>
      <w:pPr>
        <w:numPr>
          <w:ilvl w:val="0"/>
          <w:numId w:val="1013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高风险 effect 和新 Provider 分别独立放量。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自动停止/回滚条件：API error budget burn、task loss、UNKNOWN effect 超阈、审计 gap、跨 tenant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denial、Sandbox attestation failure、Provider contract error、成本异常或 migration lag。</w:t>
      </w:r>
    </w:p>
    <w:bookmarkEnd w:id="72"/>
    <w:bookmarkStart w:id="73" w:name="X8f83d1cae369050316af73aed714140ec798fce"/>
    <w:p>
      <w:pPr>
        <w:pStyle w:val="Heading2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11.5 数据库发布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Release N：expand，新旧代码均可工作；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后台 backfill 有 checkpoint/rate limit；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Release N+1：切换读路径并验证；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Release N+2：contract，只有确认旧版本完全退出才删除；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发生问题优先回滚应用或 forward-fix，不回滚已经产生新业务事实的 migration。</w:t>
      </w:r>
    </w:p>
    <w:bookmarkEnd w:id="73"/>
    <w:bookmarkEnd w:id="74"/>
    <w:bookmarkStart w:id="75" w:name="X49b1c44dd0fffbd4e34ecc843f626415d125fdb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12. 版本里程碑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300"/>
        <w:gridCol w:w="2750"/>
        <w:gridCol w:w="3600"/>
        <w:gridCol w:w="1710"/>
      </w:tblGrid>
      <w:tr>
        <w:trPr>
          <w:tblHeader w:val="true"/>
          <w:tblHeader w:val="true"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版本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周期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可承诺能力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不可承诺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v0.5 alpha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W1–W6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唯一 effect chain、Postgres、durable workflow、crash recovery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多 AZ、完整企业身份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v0.6 alpha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W7–W10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单区域多 AZ、remote API/CLI、backpressure、PITR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安全生产认证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v0.7 alpha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W11–W14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Sandbox lifecycle、workload identity、Secret/Egress、extension isolation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 全证书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v0.8 beta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W15–W17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五系 conformance、熔断/fallback、Session migration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GA SLO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v0.9 beta/RC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W18–W22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OTel/SLO、质量基准、供应链、canary、DR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未完成 soak 的正式 SLA</w:t>
            </w:r>
          </w:p>
        </w:tc>
      </w:tr>
      <w:t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v1.0 GA</w:t>
            </w:r>
          </w:p>
        </w:tc>
        <w:tc>
          <w:tcPr>
            <w:tcW w:w="2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W23–W24+</w:t>
            </w:r>
          </w:p>
        </w:tc>
        <w:tc>
          <w:tcPr>
            <w:tcW w:w="3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30 天 soak 后的企业单区域多 AZ + 跨区域 DR</w:t>
            </w:r>
          </w:p>
        </w:tc>
        <w:tc>
          <w:tcPr>
            <w:tcW w:w="17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active-active 多区域写</w:t>
            </w:r>
          </w:p>
        </w:tc>
      </w:tr>
    </w:tbl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如果 P0 安全或 durability Gate 未过，只能顺延，不能通过降低门槛按日期发布。</w:t>
      </w:r>
    </w:p>
    <w:bookmarkEnd w:id="75"/>
    <w:bookmarkStart w:id="76" w:name="X472359c183e7042563a9295bd5c7bfec12ddf0b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13. 运营与组织准备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必须明确 Owner：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领域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Owner 职责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Runtime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Task/Effect 语义、兼容和恢复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SRE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SLO、容量、部署、on-call、DR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Security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Identity、Policy、Sandbox、Secret、供应链、红队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Model Ops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 certificate、成本、quota、fallback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Data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schema、retention、backup、restore、privacy</w:t>
            </w:r>
          </w:p>
        </w:tc>
      </w:tr>
      <w:tr>
        <w:tc>
          <w:tcPr>
            <w:tcW w:w="2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Product</w:t>
            </w:r>
          </w:p>
        </w:tc>
        <w:tc>
          <w:tcPr>
            <w:tcW w:w="68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风险等级、approval UX、GA 接受标准</w:t>
            </w:r>
          </w:p>
        </w:tc>
      </w:tr>
    </w:tbl>
    <w:p>
      <w:pPr>
        <w:pStyle w:val="BodyText"/>
      </w:pPr>
      <w:r>
        <w:rPr>
          <w:rFonts w:ascii="Calibri" w:hAnsi="Calibri" w:eastAsia="Noto Sans SC"/>
          <w:color w:val="1C2733"/>
          <w:sz w:val="21"/>
        </w:rPr>
        <w:t xml:space="preserve">上线前需要：服务目录、on-call rotation、严重级别、升级路径、状态页、客户通知模板、事故回顾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机制、Provider outage runbook、数据导出/删除流程、密钥轮换和 break-glass 双人审批。</w:t>
      </w:r>
    </w:p>
    <w:bookmarkEnd w:id="76"/>
    <w:bookmarkStart w:id="77" w:name="Xd3cd2a840610cd92b023163cb24093a90dabcb7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14. 风险登记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3730"/>
        <w:gridCol w:w="3930"/>
      </w:tblGrid>
      <w:tr>
        <w:trPr>
          <w:tblHeader w:val="true"/>
          <w:tblHeader w:val="true"/>
        </w:trP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风险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影响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b/>
                <w:color w:val="1C2733"/>
                <w:sz w:val="16"/>
              </w:rPr>
              <w:t xml:space="preserve">缓解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两条执行链长期并存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安全策略绕过、审计不完整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HA-003 是所有远程写前置 Gate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过早微服务化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运维复杂度超过收益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控制面保持模块化单体，只拆 Worker/Sandbox/egress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自研 workflow engine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大量隐蔽恢复 bug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使用 durable engine adapter，不把领域绑定厂商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Provider alias 漂移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线上协议突然失败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revision certificate、TTL、canary、紧急 profile rollback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Sandbox warm pool 污染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跨任务数据泄漏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immutable base、每任务 overlay、销毁验证、随机抽检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审计保存过多正文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新的敏感数据仓库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digest/metadata 优先，正文单独分类、加密和 retention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自动 fallback 改变质量/区域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合规或行为不一致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tenant policy、capability/region/cost 硬约束、显式事件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exactly-once 营销承诺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无法满足、隐藏重复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UNKNOWN/reconcile 和幂等语义写入产品契约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多区域双写过早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split-brain、Repo 冲突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1.0 home-region + warm standby</w:t>
            </w:r>
          </w:p>
        </w:tc>
      </w:tr>
      <w:tr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TUI/宠物抢占 P0</w:t>
            </w:r>
          </w:p>
        </w:tc>
        <w:tc>
          <w:tcPr>
            <w:tcW w:w="37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left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核心可靠性延期</w:t>
            </w:r>
          </w:p>
        </w:tc>
        <w:tc>
          <w:tcPr>
            <w:tcW w:w="393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mpact"/>
              <w:spacing w:before="20" w:after="40" w:line="264" w:lineRule="auto"/>
              <w:jc w:val="center"/>
            </w:pPr>
            <w:r>
              <w:rPr>
                <w:rFonts w:ascii="Calibri" w:hAnsi="Calibri" w:eastAsia="Noto Sans SC"/>
                <w:color w:val="1C2733"/>
                <w:sz w:val="16"/>
              </w:rPr>
              <w:t xml:space="preserve">UI 只保留远程重连/审批/可观测必需项</w:t>
            </w:r>
          </w:p>
        </w:tc>
      </w:tr>
    </w:tbl>
    <w:bookmarkEnd w:id="77"/>
    <w:bookmarkStart w:id="78" w:name="Xedea20515f17c9827cc926cfe4526996aeb00c4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15. 企业 GA Definition of Done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以下全部满足才可标记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1.0 GA</w:t>
      </w:r>
      <w:r>
        <w:rPr>
          <w:rFonts w:ascii="Calibri" w:hAnsi="Calibri" w:eastAsia="Noto Sans SC"/>
          <w:color w:val="1C2733"/>
          <w:sz w:val="21"/>
        </w:rPr>
        <w:t xml:space="preserve">：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Agent Runtime 中不存在绕过 Effect Broker 的写/Shell/Git/Network 执行路径；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accepted task 在 Worker/Pod/节点故障后按 SLO 恢复；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kill-point 矩阵没有丢事件、未检测重复或过期 fence 执行；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企业任务 100% 在 attested Docker/gVisor/VM，Host fallback 不可配置；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Provider allowlist 中每个 model revision 有未过期 certificate；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OIDC、RBAC/ABAC、tenant RLS、workload identity 和 short-lived secret 通过红队；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Extension 在独立 capability runtime；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audit 100% 完整，KMS rotation/WORM/verify 演练通过；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PostgreSQL PITR、对象存储恢复和跨区域 DR 达到 RPO/RTO；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OTel dashboard/alert/runbook 和 24×7 on-call 准备完成；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npm/OCI/Helm/migration clean install、升级和回滚通过；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SBOM、provenance、signature 和 admission policy 可离线验证；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30 天 production-like soak 未耗尽 error budget；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30 Repo 同模型 Pi A/B 无阻断级质量回归；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Security、SRE、Data、Model Ops、Product Owner 完成风险签字。</w:t>
      </w:r>
    </w:p>
    <w:bookmarkEnd w:id="78"/>
    <w:bookmarkStart w:id="79" w:name="X979e82e83385ce1b576abf6773f8942959c39c8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16. 建议立即开始的前 10 个 PR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Calibri" w:hAnsi="Calibri" w:eastAsia="Noto Sans SC"/>
          <w:color w:val="1C2733"/>
          <w:sz w:val="21"/>
        </w:rPr>
        <w:t xml:space="preserve">workflow-domain</w:t>
      </w:r>
      <w:r>
        <w:rPr>
          <w:rFonts w:ascii="Calibri" w:hAnsi="Calibri" w:eastAsia="Noto Sans SC"/>
          <w:color w:val="1C2733"/>
          <w:sz w:val="21"/>
        </w:rPr>
        <w:t xml:space="preserve">：Task/Effect 状态、error taxonomy、property tests；</w:t>
      </w:r>
    </w:p>
    <w:p>
      <w:pPr>
        <w:numPr>
          <w:ilvl w:val="0"/>
          <w:numId w:val="101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contracts：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ToolIntentV2</w:t>
      </w:r>
      <w:r>
        <w:rPr>
          <w:rFonts w:ascii="Calibri" w:hAnsi="Calibri" w:eastAsia="Noto Sans SC"/>
          <w:color w:val="1C2733"/>
          <w:sz w:val="21"/>
        </w:rPr>
        <w:t xml:space="preserve">、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CapabilityGrantV2</w:t>
      </w:r>
      <w:r>
        <w:rPr>
          <w:rFonts w:ascii="Calibri" w:hAnsi="Calibri" w:eastAsia="Noto Sans SC"/>
          <w:color w:val="1C2733"/>
          <w:sz w:val="21"/>
        </w:rPr>
        <w:t xml:space="preserve">、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EffectReceiptV2</w:t>
      </w:r>
      <w:r>
        <w:rPr>
          <w:rFonts w:ascii="Calibri" w:hAnsi="Calibri" w:eastAsia="Noto Sans SC"/>
          <w:color w:val="1C2733"/>
          <w:sz w:val="21"/>
        </w:rPr>
        <w:t xml:space="preserve">、fence/unknown；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Calibri" w:hAnsi="Calibri" w:eastAsia="Noto Sans SC"/>
          <w:color w:val="1C2733"/>
          <w:sz w:val="21"/>
        </w:rPr>
        <w:t xml:space="preserve">EffectBrokerPort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注入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CodingAgent</w:t>
      </w:r>
      <w:r>
        <w:rPr>
          <w:rFonts w:ascii="Calibri" w:hAnsi="Calibri" w:eastAsia="Noto Sans SC"/>
          <w:color w:val="1C2733"/>
          <w:sz w:val="21"/>
        </w:rPr>
        <w:t xml:space="preserve">，现有 local Tool 通过 adapter；</w:t>
      </w:r>
    </w:p>
    <w:p>
      <w:pPr>
        <w:numPr>
          <w:ilvl w:val="0"/>
          <w:numId w:val="101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删除/阻断 Agent 内直接 Tool execution 的旁路测试；</w:t>
      </w:r>
    </w:p>
    <w:p>
      <w:pPr>
        <w:numPr>
          <w:ilvl w:val="0"/>
          <w:numId w:val="101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PostgreSQL migration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001_tenant_task_event_outbox</w:t>
      </w:r>
      <w:r>
        <w:rPr>
          <w:rFonts w:ascii="Calibri" w:hAnsi="Calibri" w:eastAsia="Noto Sans SC"/>
          <w:color w:val="1C2733"/>
          <w:sz w:val="21"/>
        </w:rPr>
        <w:t xml:space="preserve">；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Calibri" w:hAnsi="Calibri" w:eastAsia="Noto Sans SC"/>
          <w:color w:val="1C2733"/>
          <w:sz w:val="21"/>
        </w:rPr>
        <w:t xml:space="preserve">TaskStorePostgres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CAS append + RLS integration tests；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Calibri" w:hAnsi="Calibri" w:eastAsia="Noto Sans SC"/>
          <w:color w:val="1C2733"/>
          <w:sz w:val="21"/>
        </w:rPr>
        <w:t xml:space="preserve">workspace-checkpoint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content-addressed delta + restore tests；</w:t>
      </w:r>
    </w:p>
    <w:p>
      <w:pPr>
        <w:numPr>
          <w:ilvl w:val="0"/>
          <w:numId w:val="101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Temporal spike：一个模型 round、steering signal、worker kill/replay；</w:t>
      </w:r>
    </w:p>
    <w:p>
      <w:pPr>
        <w:numPr>
          <w:ilvl w:val="0"/>
          <w:numId w:val="101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OTel trace/metric/redaction primitives；</w:t>
      </w:r>
    </w:p>
    <w:p>
      <w:pPr>
        <w:numPr>
          <w:ilvl w:val="0"/>
          <w:numId w:val="1016"/>
        </w:numPr>
        <w:pStyle w:val="Compact"/>
      </w:pPr>
      <w:r>
        <w:rPr>
          <w:rFonts w:ascii="Calibri" w:hAnsi="Calibri" w:eastAsia="Noto Sans SC"/>
          <w:color w:val="1C2733"/>
          <w:sz w:val="21"/>
        </w:rPr>
        <w:t xml:space="preserve">kind 三节点测试环境和第一个 worker-kill Gate。</w:t>
      </w:r>
    </w:p>
    <w:p>
      <w:pPr>
        <w:pStyle w:val="FirstParagraph"/>
      </w:pPr>
      <w:r>
        <w:rPr>
          <w:rFonts w:ascii="Calibri" w:hAnsi="Calibri" w:eastAsia="Noto Sans SC"/>
          <w:color w:val="1C2733"/>
          <w:sz w:val="21"/>
        </w:rPr>
        <w:t xml:space="preserve">前 10 个 PR 完成后再决定 Temporal adapter 的最终生产化细节。若 spike 不能满足 Session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signal、history size、部署和团队运维要求，应在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Style w:val="VerbatimChar"/>
          <w:rFonts w:ascii="Calibri" w:hAnsi="Calibri" w:eastAsia="Noto Sans SC"/>
          <w:color w:val="1C2733"/>
          <w:sz w:val="21"/>
        </w:rPr>
        <w:t xml:space="preserve">WorkflowEnginePort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后替换方案，而不是修改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Agent/Effect 领域契约。</w:t>
      </w:r>
    </w:p>
    <w:bookmarkEnd w:id="79"/>
    <w:bookmarkStart w:id="90" w:name="Xc6424b0e2b677efe1d48e655e25450b4d657b93"/>
    <w:p>
      <w:pPr>
        <w:pStyle w:val="Heading1"/>
        <w:keepNext/>
        <w:keepLines/>
      </w:pPr>
      <w:r>
        <w:rPr>
          <w:rFonts w:ascii="Calibri" w:hAnsi="Calibri" w:eastAsia="Noto Sans SC"/>
          <w:color w:val="1C2733"/>
          <w:sz w:val="21"/>
        </w:rPr>
        <w:t xml:space="preserve">17. 参考标准与工程依据</w:t>
      </w:r>
    </w:p>
    <w:p>
      <w:pPr>
        <w:numPr>
          <w:ilvl w:val="0"/>
          <w:numId w:val="1017"/>
        </w:numPr>
        <w:pStyle w:val="Compact"/>
      </w:pPr>
      <w:hyperlink r:id="rId80">
        <w:r>
          <w:rPr>
            <w:rStyle w:val="Hyperlink"/>
          </w:rPr>
          <w:t xml:space="preserve">Temporal Workflow replay</w:t>
        </w:r>
      </w:hyperlink>
      <w:r>
        <w:rPr>
          <w:rFonts w:ascii="Calibri" w:hAnsi="Calibri" w:eastAsia="Noto Sans SC"/>
          <w:color w:val="1C2733"/>
          <w:sz w:val="21"/>
        </w:rPr>
        <w:t xml:space="preserve">：durable history、deterministic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replay，以及将 LLM/文件/网络调用置于 Activity；</w:t>
      </w:r>
    </w:p>
    <w:p>
      <w:pPr>
        <w:numPr>
          <w:ilvl w:val="0"/>
          <w:numId w:val="1017"/>
        </w:numPr>
        <w:pStyle w:val="Compact"/>
      </w:pPr>
      <w:hyperlink r:id="rId81">
        <w:r>
          <w:rPr>
            <w:rStyle w:val="Hyperlink"/>
          </w:rPr>
          <w:t xml:space="preserve">Kubernetes Leases</w:t>
        </w:r>
      </w:hyperlink>
      <w:r>
        <w:rPr>
          <w:rFonts w:ascii="Calibri" w:hAnsi="Calibri" w:eastAsia="Noto Sans SC"/>
          <w:color w:val="1C2733"/>
          <w:sz w:val="21"/>
        </w:rPr>
        <w:t xml:space="preserve">：controller leader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election 和 heartbeat；</w:t>
      </w:r>
    </w:p>
    <w:p>
      <w:pPr>
        <w:numPr>
          <w:ilvl w:val="0"/>
          <w:numId w:val="1017"/>
        </w:numPr>
        <w:pStyle w:val="Compact"/>
      </w:pPr>
      <w:hyperlink r:id="rId82">
        <w:r>
          <w:rPr>
            <w:rStyle w:val="Hyperlink"/>
          </w:rPr>
          <w:t xml:space="preserve">PostgreSQL locking</w:t>
        </w:r>
      </w:hyperlink>
      <w:r>
        <w:rPr>
          <w:rFonts w:ascii="Calibri" w:hAnsi="Calibri" w:eastAsia="Noto Sans SC"/>
          <w:color w:val="1C2733"/>
          <w:sz w:val="21"/>
        </w:rPr>
        <w:t xml:space="preserve">：事务锁和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advisory lock 的语义与限制；</w:t>
      </w:r>
    </w:p>
    <w:p>
      <w:pPr>
        <w:numPr>
          <w:ilvl w:val="0"/>
          <w:numId w:val="1017"/>
        </w:numPr>
        <w:pStyle w:val="Compact"/>
      </w:pPr>
      <w:hyperlink r:id="rId83">
        <w:r>
          <w:rPr>
            <w:rStyle w:val="Hyperlink"/>
          </w:rPr>
          <w:t xml:space="preserve">OpenTelemetry JavaScript</w:t>
        </w:r>
      </w:hyperlink>
      <w:r>
        <w:rPr>
          <w:rFonts w:ascii="Calibri" w:hAnsi="Calibri" w:eastAsia="Noto Sans SC"/>
          <w:color w:val="1C2733"/>
          <w:sz w:val="21"/>
        </w:rPr>
        <w:t xml:space="preserve">：Node.js trace/metric/log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状态和 OTLP 生态；</w:t>
      </w:r>
    </w:p>
    <w:p>
      <w:pPr>
        <w:numPr>
          <w:ilvl w:val="0"/>
          <w:numId w:val="1017"/>
        </w:numPr>
        <w:pStyle w:val="Compact"/>
      </w:pPr>
      <w:hyperlink r:id="rId84">
        <w:r>
          <w:rPr>
            <w:rStyle w:val="Hyperlink"/>
          </w:rPr>
          <w:t xml:space="preserve">SPIFFE/SPIRE</w:t>
        </w:r>
      </w:hyperlink>
      <w:r>
        <w:rPr>
          <w:rFonts w:ascii="Calibri" w:hAnsi="Calibri" w:eastAsia="Noto Sans SC"/>
          <w:color w:val="1C2733"/>
          <w:sz w:val="21"/>
        </w:rPr>
        <w:t xml:space="preserve">：短期、可证明的 workload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identity；</w:t>
      </w:r>
    </w:p>
    <w:p>
      <w:pPr>
        <w:numPr>
          <w:ilvl w:val="0"/>
          <w:numId w:val="1017"/>
        </w:numPr>
        <w:pStyle w:val="Compact"/>
      </w:pPr>
      <w:hyperlink r:id="rId85">
        <w:r>
          <w:rPr>
            <w:rStyle w:val="Hyperlink"/>
          </w:rPr>
          <w:t xml:space="preserve">SLSA Provenance</w:t>
        </w:r>
      </w:hyperlink>
      <w:r>
        <w:rPr>
          <w:rFonts w:ascii="Calibri" w:hAnsi="Calibri" w:eastAsia="Noto Sans SC"/>
          <w:color w:val="1C2733"/>
          <w:sz w:val="21"/>
        </w:rPr>
        <w:t xml:space="preserve">：构建来源和过程证明；</w:t>
      </w:r>
    </w:p>
    <w:p>
      <w:pPr>
        <w:numPr>
          <w:ilvl w:val="0"/>
          <w:numId w:val="1017"/>
        </w:numPr>
        <w:pStyle w:val="Compact"/>
      </w:pPr>
      <w:hyperlink r:id="rId86">
        <w:r>
          <w:rPr>
            <w:rStyle w:val="Hyperlink"/>
          </w:rPr>
          <w:t xml:space="preserve">Sigstore Cosign</w:t>
        </w:r>
      </w:hyperlink>
      <w:r>
        <w:rPr>
          <w:rFonts w:ascii="Calibri" w:hAnsi="Calibri" w:eastAsia="Noto Sans SC"/>
          <w:color w:val="1C2733"/>
          <w:sz w:val="21"/>
        </w:rPr>
        <w:t xml:space="preserve">：OCI artifact</w:t>
      </w:r>
      <w:r>
        <w:rPr>
          <w:rFonts w:ascii="Calibri" w:hAnsi="Calibri" w:eastAsia="Noto Sans SC"/>
          <w:color w:val="1C2733"/>
          <w:sz w:val="21"/>
        </w:rPr>
        <w:t xml:space="preserve"> </w:t>
      </w:r>
      <w:r>
        <w:rPr>
          <w:rFonts w:ascii="Calibri" w:hAnsi="Calibri" w:eastAsia="Noto Sans SC"/>
          <w:color w:val="1C2733"/>
          <w:sz w:val="21"/>
        </w:rPr>
        <w:t xml:space="preserve">签名与 OIDC identity；</w:t>
      </w:r>
    </w:p>
    <w:p>
      <w:pPr>
        <w:numPr>
          <w:ilvl w:val="0"/>
          <w:numId w:val="1017"/>
        </w:numPr>
        <w:pStyle w:val="Compact"/>
      </w:pPr>
      <w:hyperlink r:id="rId87">
        <w:r>
          <w:rPr>
            <w:rStyle w:val="Hyperlink"/>
          </w:rPr>
          <w:t xml:space="preserve">OWASP Agentic Top 10 2026</w:t>
        </w:r>
      </w:hyperlink>
      <w:r>
        <w:rPr>
          <w:rFonts w:ascii="Calibri" w:hAnsi="Calibri" w:eastAsia="Noto Sans SC"/>
          <w:color w:val="1C2733"/>
          <w:sz w:val="21"/>
        </w:rPr>
        <w:t xml:space="preserve">：Agent goal、Tool、Identity、Memory、A2A 等风险；</w:t>
      </w:r>
    </w:p>
    <w:p>
      <w:pPr>
        <w:numPr>
          <w:ilvl w:val="0"/>
          <w:numId w:val="1017"/>
        </w:numPr>
        <w:pStyle w:val="Compact"/>
      </w:pPr>
      <w:hyperlink r:id="rId88">
        <w:r>
          <w:rPr>
            <w:rStyle w:val="Hyperlink"/>
          </w:rPr>
          <w:t xml:space="preserve">NIST Generative AI Profile</w:t>
        </w:r>
      </w:hyperlink>
      <w:r>
        <w:rPr>
          <w:rFonts w:ascii="Calibri" w:hAnsi="Calibri" w:eastAsia="Noto Sans SC"/>
          <w:color w:val="1C2733"/>
          <w:sz w:val="21"/>
        </w:rPr>
        <w:t xml:space="preserve">：Govern、Map、Measure、Manage 风险治理；</w:t>
      </w:r>
    </w:p>
    <w:p>
      <w:pPr>
        <w:numPr>
          <w:ilvl w:val="0"/>
          <w:numId w:val="1017"/>
        </w:numPr>
        <w:pStyle w:val="Compact"/>
      </w:pPr>
      <w:hyperlink r:id="rId89">
        <w:r>
          <w:rPr>
            <w:rStyle w:val="Hyperlink"/>
          </w:rPr>
          <w:t xml:space="preserve">OpenFeature</w:t>
        </w:r>
      </w:hyperlink>
      <w:r>
        <w:rPr>
          <w:rFonts w:ascii="Calibri" w:hAnsi="Calibri" w:eastAsia="Noto Sans SC"/>
          <w:color w:val="1C2733"/>
          <w:sz w:val="21"/>
        </w:rPr>
        <w:t xml:space="preserve">：vendor-neutral feature flag boundary。</w:t>
      </w:r>
    </w:p>
    <w:bookmarkEnd w:id="90"/>
    <w:sectPr>
      <w:headerReference w:type="default" r:id="rId9"/>
      <w:footerReference w:type="default" r:id="rId10"/>
      <w:pgSz w:w="12240" w:h="15840"/>
      <w:pgMar w:top="1224" w:bottom="1152" w:left="1440" w:right="1440" w:header="518" w:footer="5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Noto Sans SC"/>
        <w:color w:val="637381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Noto Sans SC"/>
        <w:b/>
        <w:color w:val="637381"/>
        <w:sz w:val="17"/>
      </w:rPr>
      <w:t>FOCUSCODE  ·  ENTERPRISE HA ENGINEERING PLAN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88" w:lineRule="auto"/>
    </w:pPr>
    <w:rPr>
      <w:rFonts w:ascii="Calibri" w:hAnsi="Calibri" w:eastAsia="Noto Sans SC"/>
      <w:color w:val="1C27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 w:eastAsia="Noto Sans SC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DejaVu Sans Mono" w:hAnsi="DejaVu Sans Mono" w:eastAsia="Noto Sans SC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5" Type="http://schemas.openxmlformats.org/officeDocument/2006/relationships/image" Target="media/rId35.png"/><Relationship Id="rId25" Type="http://schemas.openxmlformats.org/officeDocument/2006/relationships/image" Target="media/rId25.png"/><Relationship Id="rId31" Type="http://schemas.openxmlformats.org/officeDocument/2006/relationships/image" Target="media/rId31.png"/><Relationship Id="rId86" Type="http://schemas.openxmlformats.org/officeDocument/2006/relationships/hyperlink" Target="https://docs.sigstore.dev/cosign/signing/signing_with_containers/" TargetMode="External"/><Relationship Id="rId80" Type="http://schemas.openxmlformats.org/officeDocument/2006/relationships/hyperlink" Target="https://docs.temporal.io/workflows" TargetMode="External"/><Relationship Id="rId87" Type="http://schemas.openxmlformats.org/officeDocument/2006/relationships/hyperlink" Target="https://genai.owasp.org/resource/owasp-top-10-for-agentic-applications-for-2026/" TargetMode="External"/><Relationship Id="rId81" Type="http://schemas.openxmlformats.org/officeDocument/2006/relationships/hyperlink" Target="https://kubernetes.io/docs/concepts/architecture/leases/" TargetMode="External"/><Relationship Id="rId89" Type="http://schemas.openxmlformats.org/officeDocument/2006/relationships/hyperlink" Target="https://openfeature.dev/" TargetMode="External"/><Relationship Id="rId83" Type="http://schemas.openxmlformats.org/officeDocument/2006/relationships/hyperlink" Target="https://opentelemetry.io/docs/languages/js/" TargetMode="External"/><Relationship Id="rId85" Type="http://schemas.openxmlformats.org/officeDocument/2006/relationships/hyperlink" Target="https://slsa.dev/provenance" TargetMode="External"/><Relationship Id="rId84" Type="http://schemas.openxmlformats.org/officeDocument/2006/relationships/hyperlink" Target="https://spiffe.io/docs/latest/spiffe-about/overview/" TargetMode="External"/><Relationship Id="rId88" Type="http://schemas.openxmlformats.org/officeDocument/2006/relationships/hyperlink" Target="https://www.nist.gov/publications/artificial-intelligence-risk-management-framework-generative-artificial-intelligence" TargetMode="External"/><Relationship Id="rId82" Type="http://schemas.openxmlformats.org/officeDocument/2006/relationships/hyperlink" Target="https://www.postgresql.org/docs/current/explicit-locking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https://docs.sigstore.dev/cosign/signing/signing_with_containers/" TargetMode="External"/><Relationship Id="rId80" Type="http://schemas.openxmlformats.org/officeDocument/2006/relationships/hyperlink" Target="https://docs.temporal.io/workflows" TargetMode="External"/><Relationship Id="rId87" Type="http://schemas.openxmlformats.org/officeDocument/2006/relationships/hyperlink" Target="https://genai.owasp.org/resource/owasp-top-10-for-agentic-applications-for-2026/" TargetMode="External"/><Relationship Id="rId81" Type="http://schemas.openxmlformats.org/officeDocument/2006/relationships/hyperlink" Target="https://kubernetes.io/docs/concepts/architecture/leases/" TargetMode="External"/><Relationship Id="rId89" Type="http://schemas.openxmlformats.org/officeDocument/2006/relationships/hyperlink" Target="https://openfeature.dev/" TargetMode="External"/><Relationship Id="rId83" Type="http://schemas.openxmlformats.org/officeDocument/2006/relationships/hyperlink" Target="https://opentelemetry.io/docs/languages/js/" TargetMode="External"/><Relationship Id="rId85" Type="http://schemas.openxmlformats.org/officeDocument/2006/relationships/hyperlink" Target="https://slsa.dev/provenance" TargetMode="External"/><Relationship Id="rId84" Type="http://schemas.openxmlformats.org/officeDocument/2006/relationships/hyperlink" Target="https://spiffe.io/docs/latest/spiffe-about/overview/" TargetMode="External"/><Relationship Id="rId88" Type="http://schemas.openxmlformats.org/officeDocument/2006/relationships/hyperlink" Target="https://www.nist.gov/publications/artificial-intelligence-risk-management-framework-generative-artificial-intelligence" TargetMode="External"/><Relationship Id="rId82" Type="http://schemas.openxmlformats.org/officeDocument/2006/relationships/hyperlink" Target="https://www.postgresql.org/docs/current/explicit-lock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FocusCode 企业级高可用 Coding Agent 实现、测试与发布计划 v1.0</dc:title>
  <dc:creator>FocusCode Engineering</dc:creator>
  <cp:keywords>FocusCode, coding agent, harness, high availability, enterprise</cp:keywords>
  <dcterms:created xsi:type="dcterms:W3CDTF">2026-07-19T14:26:41Z</dcterms:created>
  <dcterms:modified xsi:type="dcterms:W3CDTF">2026-07-19T14:26:41Z</dcterms:modified>
  <dc:subject>FocusCode 0.4 Beta1 到 1.0 Enterprise GA 工程路线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