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widowControl w:val="0"/>
        <w:spacing w:before="0" w:after="360" w:line="288" w:lineRule="auto"/>
        <w:jc w:val="center"/>
      </w:pPr>
      <w:r>
        <w:rPr>
          <w:rFonts w:ascii="Songti SC" w:hAnsi="Songti SC" w:eastAsia="Songti SC" w:cs="Songti SC"/>
          <w:b/>
          <w:sz w:val="36"/>
        </w:rPr>
        <w:t>中国农业大学</w:t>
      </w:r>
    </w:p>
    <w:p>
      <w:pPr>
        <w:keepNext w:val="0"/>
        <w:keepLines w:val="0"/>
        <w:widowControl w:val="0"/>
        <w:spacing w:before="0" w:after="240" w:line="288" w:lineRule="auto"/>
        <w:jc w:val="center"/>
      </w:pPr>
      <w:r>
        <w:rPr>
          <w:rFonts w:ascii="Songti SC" w:hAnsi="Songti SC" w:eastAsia="Songti SC" w:cs="Songti SC"/>
          <w:b/>
          <w:sz w:val="40"/>
        </w:rPr>
        <w:t>环境工程课程设计</w:t>
      </w:r>
    </w:p>
    <w:p>
      <w:pPr>
        <w:pStyle w:val="Title"/>
        <w:spacing w:before="1100" w:after="900"/>
        <w:jc w:val="center"/>
      </w:pPr>
      <w:r>
        <w:rPr>
          <w:rFonts w:ascii="Songti SC" w:hAnsi="Songti SC" w:eastAsia="Songti SC" w:cs="Songti SC"/>
          <w:b/>
          <w:color w:val="000000"/>
          <w:sz w:val="48"/>
        </w:rPr>
        <w:t>某污水处理厂设计计算说明书</w:t>
      </w:r>
    </w:p>
    <w:tbl>
      <w:tblPr>
        <w:tblW w:type="auto" w:w="0"/>
        <w:jc w:val="center"/>
        <w:tblLook w:firstColumn="1" w:firstRow="1" w:lastColumn="0" w:lastRow="0" w:noHBand="0" w:noVBand="1" w:val="04A0"/>
      </w:tblPr>
      <w:tblGrid>
        <w:gridCol w:w="4621"/>
        <w:gridCol w:w="4621"/>
      </w:tblGrid>
      <w:tr>
        <w:trPr>
          <w:cantSplit/>
        </w:trPr>
        <w:tc>
          <w:tcPr>
            <w:tcW w:type="dxa" w:w="1814"/>
            <w:tcBorders>
              <w:top w:val="single" w:sz="0" w:color="FFFFFF"/>
              <w:left w:val="single" w:sz="0" w:color="FFFFFF"/>
              <w:bottom w:val="single" w:sz="0" w:color="FFFFFF"/>
              <w:right w:val="single" w:sz="0" w:color="FFFFFF"/>
              <w:insideH w:val="single" w:sz="0" w:color="FFFFFF"/>
              <w:insideV w:val="single" w:sz="0" w:color="FFFFFF"/>
            </w:tcBorders>
          </w:tcPr>
          <w:p>
            <w:pPr>
              <w:keepNext w:val="0"/>
              <w:keepLines w:val="0"/>
              <w:widowControl w:val="0"/>
              <w:spacing w:before="0" w:after="120" w:line="288" w:lineRule="auto"/>
              <w:jc w:val="right"/>
            </w:pPr>
            <w:r>
              <w:rPr>
                <w:rFonts w:ascii="Songti SC" w:hAnsi="Songti SC" w:eastAsia="Songti SC" w:cs="Songti SC"/>
                <w:b/>
                <w:sz w:val="26"/>
              </w:rPr>
              <w:t>学年学期</w:t>
            </w:r>
          </w:p>
        </w:tc>
        <w:tc>
          <w:tcPr>
            <w:tcW w:type="dxa" w:w="5556"/>
            <w:tcBorders>
              <w:top w:val="single" w:sz="0" w:color="FFFFFF"/>
              <w:left w:val="single" w:sz="0" w:color="FFFFFF"/>
              <w:bottom w:val="single" w:sz="0" w:color="FFFFFF"/>
              <w:right w:val="single" w:sz="0" w:color="FFFFFF"/>
              <w:insideH w:val="single" w:sz="0" w:color="FFFFFF"/>
              <w:insideV w:val="single" w:sz="0" w:color="FFFFFF"/>
            </w:tcBorders>
          </w:tcPr>
          <w:p>
            <w:pPr>
              <w:keepNext w:val="0"/>
              <w:keepLines w:val="0"/>
              <w:widowControl w:val="0"/>
              <w:spacing w:before="0" w:after="120" w:line="288" w:lineRule="auto"/>
              <w:jc w:val="left"/>
            </w:pPr>
            <w:r>
              <w:rPr>
                <w:rFonts w:ascii="Songti SC" w:hAnsi="Songti SC" w:eastAsia="Songti SC" w:cs="Songti SC"/>
                <w:b w:val="0"/>
                <w:sz w:val="26"/>
              </w:rPr>
              <w:t>2026—2027学年夏季学期</w:t>
            </w:r>
          </w:p>
        </w:tc>
      </w:tr>
      <w:tr>
        <w:trPr>
          <w:cantSplit/>
        </w:trPr>
        <w:tc>
          <w:tcPr>
            <w:tcW w:type="dxa" w:w="1814"/>
            <w:tcBorders>
              <w:top w:val="single" w:sz="0" w:color="FFFFFF"/>
              <w:left w:val="single" w:sz="0" w:color="FFFFFF"/>
              <w:bottom w:val="single" w:sz="0" w:color="FFFFFF"/>
              <w:right w:val="single" w:sz="0" w:color="FFFFFF"/>
              <w:insideH w:val="single" w:sz="0" w:color="FFFFFF"/>
              <w:insideV w:val="single" w:sz="0" w:color="FFFFFF"/>
            </w:tcBorders>
          </w:tcPr>
          <w:p>
            <w:pPr>
              <w:keepNext w:val="0"/>
              <w:keepLines w:val="0"/>
              <w:widowControl w:val="0"/>
              <w:spacing w:before="0" w:after="120" w:line="288" w:lineRule="auto"/>
              <w:jc w:val="right"/>
            </w:pPr>
            <w:r>
              <w:rPr>
                <w:rFonts w:ascii="Songti SC" w:hAnsi="Songti SC" w:eastAsia="Songti SC" w:cs="Songti SC"/>
                <w:b/>
                <w:sz w:val="26"/>
              </w:rPr>
              <w:t>学院</w:t>
            </w:r>
          </w:p>
        </w:tc>
        <w:tc>
          <w:tcPr>
            <w:tcW w:type="dxa" w:w="5556"/>
            <w:tcBorders>
              <w:top w:val="single" w:sz="0" w:color="FFFFFF"/>
              <w:left w:val="single" w:sz="0" w:color="FFFFFF"/>
              <w:bottom w:val="single" w:sz="0" w:color="FFFFFF"/>
              <w:right w:val="single" w:sz="0" w:color="FFFFFF"/>
              <w:insideH w:val="single" w:sz="0" w:color="FFFFFF"/>
              <w:insideV w:val="single" w:sz="0" w:color="FFFFFF"/>
            </w:tcBorders>
          </w:tcPr>
          <w:p>
            <w:pPr>
              <w:keepNext w:val="0"/>
              <w:keepLines w:val="0"/>
              <w:widowControl w:val="0"/>
              <w:spacing w:before="0" w:after="120" w:line="288" w:lineRule="auto"/>
              <w:jc w:val="left"/>
            </w:pPr>
            <w:r>
              <w:rPr>
                <w:rFonts w:ascii="Songti SC" w:hAnsi="Songti SC" w:eastAsia="Songti SC" w:cs="Songti SC"/>
                <w:b w:val="0"/>
                <w:sz w:val="26"/>
              </w:rPr>
              <w:t>资源与环境学院</w:t>
            </w:r>
          </w:p>
        </w:tc>
      </w:tr>
      <w:tr>
        <w:trPr>
          <w:cantSplit/>
        </w:trPr>
        <w:tc>
          <w:tcPr>
            <w:tcW w:type="dxa" w:w="1814"/>
            <w:tcBorders>
              <w:top w:val="single" w:sz="0" w:color="FFFFFF"/>
              <w:left w:val="single" w:sz="0" w:color="FFFFFF"/>
              <w:bottom w:val="single" w:sz="0" w:color="FFFFFF"/>
              <w:right w:val="single" w:sz="0" w:color="FFFFFF"/>
              <w:insideH w:val="single" w:sz="0" w:color="FFFFFF"/>
              <w:insideV w:val="single" w:sz="0" w:color="FFFFFF"/>
            </w:tcBorders>
          </w:tcPr>
          <w:p>
            <w:pPr>
              <w:keepNext w:val="0"/>
              <w:keepLines w:val="0"/>
              <w:widowControl w:val="0"/>
              <w:spacing w:before="0" w:after="120" w:line="288" w:lineRule="auto"/>
              <w:jc w:val="right"/>
            </w:pPr>
            <w:r>
              <w:rPr>
                <w:rFonts w:ascii="Songti SC" w:hAnsi="Songti SC" w:eastAsia="Songti SC" w:cs="Songti SC"/>
                <w:b/>
                <w:sz w:val="26"/>
              </w:rPr>
              <w:t>专业</w:t>
            </w:r>
          </w:p>
        </w:tc>
        <w:tc>
          <w:tcPr>
            <w:tcW w:type="dxa" w:w="5556"/>
            <w:tcBorders>
              <w:top w:val="single" w:sz="0" w:color="FFFFFF"/>
              <w:left w:val="single" w:sz="0" w:color="FFFFFF"/>
              <w:bottom w:val="single" w:sz="0" w:color="FFFFFF"/>
              <w:right w:val="single" w:sz="0" w:color="FFFFFF"/>
              <w:insideH w:val="single" w:sz="0" w:color="FFFFFF"/>
              <w:insideV w:val="single" w:sz="0" w:color="FFFFFF"/>
            </w:tcBorders>
          </w:tcPr>
          <w:p>
            <w:pPr>
              <w:keepNext w:val="0"/>
              <w:keepLines w:val="0"/>
              <w:widowControl w:val="0"/>
              <w:spacing w:before="0" w:after="120" w:line="288" w:lineRule="auto"/>
              <w:jc w:val="left"/>
            </w:pPr>
            <w:r>
              <w:rPr>
                <w:rFonts w:ascii="Songti SC" w:hAnsi="Songti SC" w:eastAsia="Songti SC" w:cs="Songti SC"/>
                <w:b w:val="0"/>
                <w:sz w:val="26"/>
              </w:rPr>
              <w:t>环境工程</w:t>
            </w:r>
          </w:p>
        </w:tc>
      </w:tr>
      <w:tr>
        <w:trPr>
          <w:cantSplit/>
        </w:trPr>
        <w:tc>
          <w:tcPr>
            <w:tcW w:type="dxa" w:w="1814"/>
            <w:tcBorders>
              <w:top w:val="single" w:sz="0" w:color="FFFFFF"/>
              <w:left w:val="single" w:sz="0" w:color="FFFFFF"/>
              <w:bottom w:val="single" w:sz="0" w:color="FFFFFF"/>
              <w:right w:val="single" w:sz="0" w:color="FFFFFF"/>
              <w:insideH w:val="single" w:sz="0" w:color="FFFFFF"/>
              <w:insideV w:val="single" w:sz="0" w:color="FFFFFF"/>
            </w:tcBorders>
          </w:tcPr>
          <w:p>
            <w:pPr>
              <w:keepNext w:val="0"/>
              <w:keepLines w:val="0"/>
              <w:widowControl w:val="0"/>
              <w:spacing w:before="0" w:after="120" w:line="288" w:lineRule="auto"/>
              <w:jc w:val="right"/>
            </w:pPr>
            <w:r>
              <w:rPr>
                <w:rFonts w:ascii="Songti SC" w:hAnsi="Songti SC" w:eastAsia="Songti SC" w:cs="Songti SC"/>
                <w:b/>
                <w:sz w:val="26"/>
              </w:rPr>
              <w:t>班级</w:t>
            </w:r>
          </w:p>
        </w:tc>
        <w:tc>
          <w:tcPr>
            <w:tcW w:type="dxa" w:w="5556"/>
            <w:tcBorders>
              <w:top w:val="single" w:sz="0" w:color="FFFFFF"/>
              <w:left w:val="single" w:sz="0" w:color="FFFFFF"/>
              <w:bottom w:val="single" w:sz="0" w:color="FFFFFF"/>
              <w:right w:val="single" w:sz="0" w:color="FFFFFF"/>
              <w:insideH w:val="single" w:sz="0" w:color="FFFFFF"/>
              <w:insideV w:val="single" w:sz="0" w:color="FFFFFF"/>
            </w:tcBorders>
          </w:tcPr>
          <w:p>
            <w:pPr>
              <w:keepNext w:val="0"/>
              <w:keepLines w:val="0"/>
              <w:widowControl w:val="0"/>
              <w:spacing w:before="0" w:after="120" w:line="288" w:lineRule="auto"/>
              <w:jc w:val="left"/>
            </w:pPr>
            <w:r>
              <w:rPr>
                <w:rFonts w:ascii="Songti SC" w:hAnsi="Songti SC" w:eastAsia="Songti SC" w:cs="Songti SC"/>
                <w:b w:val="0"/>
                <w:sz w:val="26"/>
              </w:rPr>
              <w:t>________________</w:t>
            </w:r>
          </w:p>
        </w:tc>
      </w:tr>
      <w:tr>
        <w:trPr>
          <w:cantSplit/>
        </w:trPr>
        <w:tc>
          <w:tcPr>
            <w:tcW w:type="dxa" w:w="1814"/>
            <w:tcBorders>
              <w:top w:val="single" w:sz="0" w:color="FFFFFF"/>
              <w:left w:val="single" w:sz="0" w:color="FFFFFF"/>
              <w:bottom w:val="single" w:sz="0" w:color="FFFFFF"/>
              <w:right w:val="single" w:sz="0" w:color="FFFFFF"/>
              <w:insideH w:val="single" w:sz="0" w:color="FFFFFF"/>
              <w:insideV w:val="single" w:sz="0" w:color="FFFFFF"/>
            </w:tcBorders>
          </w:tcPr>
          <w:p>
            <w:pPr>
              <w:keepNext w:val="0"/>
              <w:keepLines w:val="0"/>
              <w:widowControl w:val="0"/>
              <w:spacing w:before="0" w:after="120" w:line="288" w:lineRule="auto"/>
              <w:jc w:val="right"/>
            </w:pPr>
            <w:r>
              <w:rPr>
                <w:rFonts w:ascii="Songti SC" w:hAnsi="Songti SC" w:eastAsia="Songti SC" w:cs="Songti SC"/>
                <w:b/>
                <w:sz w:val="26"/>
              </w:rPr>
              <w:t>组号</w:t>
            </w:r>
          </w:p>
        </w:tc>
        <w:tc>
          <w:tcPr>
            <w:tcW w:type="dxa" w:w="5556"/>
            <w:tcBorders>
              <w:top w:val="single" w:sz="0" w:color="FFFFFF"/>
              <w:left w:val="single" w:sz="0" w:color="FFFFFF"/>
              <w:bottom w:val="single" w:sz="0" w:color="FFFFFF"/>
              <w:right w:val="single" w:sz="0" w:color="FFFFFF"/>
              <w:insideH w:val="single" w:sz="0" w:color="FFFFFF"/>
              <w:insideV w:val="single" w:sz="0" w:color="FFFFFF"/>
            </w:tcBorders>
          </w:tcPr>
          <w:p>
            <w:pPr>
              <w:keepNext w:val="0"/>
              <w:keepLines w:val="0"/>
              <w:widowControl w:val="0"/>
              <w:spacing w:before="0" w:after="120" w:line="288" w:lineRule="auto"/>
              <w:jc w:val="left"/>
            </w:pPr>
            <w:r>
              <w:rPr>
                <w:rFonts w:ascii="Songti SC" w:hAnsi="Songti SC" w:eastAsia="Songti SC" w:cs="Songti SC"/>
                <w:b w:val="0"/>
                <w:sz w:val="26"/>
              </w:rPr>
              <w:t>________________</w:t>
            </w:r>
          </w:p>
        </w:tc>
      </w:tr>
      <w:tr>
        <w:trPr>
          <w:cantSplit/>
        </w:trPr>
        <w:tc>
          <w:tcPr>
            <w:tcW w:type="dxa" w:w="1814"/>
            <w:tcBorders>
              <w:top w:val="single" w:sz="0" w:color="FFFFFF"/>
              <w:left w:val="single" w:sz="0" w:color="FFFFFF"/>
              <w:bottom w:val="single" w:sz="0" w:color="FFFFFF"/>
              <w:right w:val="single" w:sz="0" w:color="FFFFFF"/>
              <w:insideH w:val="single" w:sz="0" w:color="FFFFFF"/>
              <w:insideV w:val="single" w:sz="0" w:color="FFFFFF"/>
            </w:tcBorders>
          </w:tcPr>
          <w:p>
            <w:pPr>
              <w:keepNext w:val="0"/>
              <w:keepLines w:val="0"/>
              <w:widowControl w:val="0"/>
              <w:spacing w:before="0" w:after="120" w:line="288" w:lineRule="auto"/>
              <w:jc w:val="right"/>
            </w:pPr>
            <w:r>
              <w:rPr>
                <w:rFonts w:ascii="Songti SC" w:hAnsi="Songti SC" w:eastAsia="Songti SC" w:cs="Songti SC"/>
                <w:b/>
                <w:sz w:val="26"/>
              </w:rPr>
              <w:t>成员</w:t>
            </w:r>
          </w:p>
        </w:tc>
        <w:tc>
          <w:tcPr>
            <w:tcW w:type="dxa" w:w="5556"/>
            <w:tcBorders>
              <w:top w:val="single" w:sz="0" w:color="FFFFFF"/>
              <w:left w:val="single" w:sz="0" w:color="FFFFFF"/>
              <w:bottom w:val="single" w:sz="0" w:color="FFFFFF"/>
              <w:right w:val="single" w:sz="0" w:color="FFFFFF"/>
              <w:insideH w:val="single" w:sz="0" w:color="FFFFFF"/>
              <w:insideV w:val="single" w:sz="0" w:color="FFFFFF"/>
            </w:tcBorders>
          </w:tcPr>
          <w:p>
            <w:pPr>
              <w:keepNext w:val="0"/>
              <w:keepLines w:val="0"/>
              <w:widowControl w:val="0"/>
              <w:spacing w:before="0" w:after="120" w:line="288" w:lineRule="auto"/>
              <w:jc w:val="left"/>
            </w:pPr>
            <w:r>
              <w:rPr>
                <w:rFonts w:ascii="Songti SC" w:hAnsi="Songti SC" w:eastAsia="Songti SC" w:cs="Songti SC"/>
                <w:b w:val="0"/>
                <w:sz w:val="26"/>
              </w:rPr>
              <w:t>________________</w:t>
            </w:r>
          </w:p>
        </w:tc>
      </w:tr>
      <w:tr>
        <w:trPr>
          <w:cantSplit/>
        </w:trPr>
        <w:tc>
          <w:tcPr>
            <w:tcW w:type="dxa" w:w="1814"/>
            <w:tcBorders>
              <w:top w:val="single" w:sz="0" w:color="FFFFFF"/>
              <w:left w:val="single" w:sz="0" w:color="FFFFFF"/>
              <w:bottom w:val="single" w:sz="0" w:color="FFFFFF"/>
              <w:right w:val="single" w:sz="0" w:color="FFFFFF"/>
              <w:insideH w:val="single" w:sz="0" w:color="FFFFFF"/>
              <w:insideV w:val="single" w:sz="0" w:color="FFFFFF"/>
            </w:tcBorders>
          </w:tcPr>
          <w:p>
            <w:pPr>
              <w:keepNext w:val="0"/>
              <w:keepLines w:val="0"/>
              <w:widowControl w:val="0"/>
              <w:spacing w:before="0" w:after="120" w:line="288" w:lineRule="auto"/>
              <w:jc w:val="right"/>
            </w:pPr>
            <w:r>
              <w:rPr>
                <w:rFonts w:ascii="Songti SC" w:hAnsi="Songti SC" w:eastAsia="Songti SC" w:cs="Songti SC"/>
                <w:b/>
                <w:sz w:val="26"/>
              </w:rPr>
              <w:t>组内分工</w:t>
            </w:r>
          </w:p>
        </w:tc>
        <w:tc>
          <w:tcPr>
            <w:tcW w:type="dxa" w:w="5556"/>
            <w:tcBorders>
              <w:top w:val="single" w:sz="0" w:color="FFFFFF"/>
              <w:left w:val="single" w:sz="0" w:color="FFFFFF"/>
              <w:bottom w:val="single" w:sz="0" w:color="FFFFFF"/>
              <w:right w:val="single" w:sz="0" w:color="FFFFFF"/>
              <w:insideH w:val="single" w:sz="0" w:color="FFFFFF"/>
              <w:insideV w:val="single" w:sz="0" w:color="FFFFFF"/>
            </w:tcBorders>
          </w:tcPr>
          <w:p>
            <w:pPr>
              <w:keepNext w:val="0"/>
              <w:keepLines w:val="0"/>
              <w:widowControl w:val="0"/>
              <w:spacing w:before="0" w:after="120" w:line="288" w:lineRule="auto"/>
              <w:jc w:val="left"/>
            </w:pPr>
            <w:r>
              <w:rPr>
                <w:rFonts w:ascii="Songti SC" w:hAnsi="Songti SC" w:eastAsia="Songti SC" w:cs="Songti SC"/>
                <w:b w:val="0"/>
                <w:sz w:val="26"/>
              </w:rPr>
              <w:t>________________</w:t>
            </w:r>
          </w:p>
        </w:tc>
      </w:tr>
      <w:tr>
        <w:trPr>
          <w:cantSplit/>
        </w:trPr>
        <w:tc>
          <w:tcPr>
            <w:tcW w:type="dxa" w:w="1814"/>
            <w:tcBorders>
              <w:top w:val="single" w:sz="0" w:color="FFFFFF"/>
              <w:left w:val="single" w:sz="0" w:color="FFFFFF"/>
              <w:bottom w:val="single" w:sz="0" w:color="FFFFFF"/>
              <w:right w:val="single" w:sz="0" w:color="FFFFFF"/>
              <w:insideH w:val="single" w:sz="0" w:color="FFFFFF"/>
              <w:insideV w:val="single" w:sz="0" w:color="FFFFFF"/>
            </w:tcBorders>
          </w:tcPr>
          <w:p>
            <w:pPr>
              <w:keepNext w:val="0"/>
              <w:keepLines w:val="0"/>
              <w:widowControl w:val="0"/>
              <w:spacing w:before="0" w:after="120" w:line="288" w:lineRule="auto"/>
              <w:jc w:val="right"/>
            </w:pPr>
            <w:r>
              <w:rPr>
                <w:rFonts w:ascii="Songti SC" w:hAnsi="Songti SC" w:eastAsia="Songti SC" w:cs="Songti SC"/>
                <w:b/>
                <w:sz w:val="26"/>
              </w:rPr>
              <w:t>指导教师</w:t>
            </w:r>
          </w:p>
        </w:tc>
        <w:tc>
          <w:tcPr>
            <w:tcW w:type="dxa" w:w="5556"/>
            <w:tcBorders>
              <w:top w:val="single" w:sz="0" w:color="FFFFFF"/>
              <w:left w:val="single" w:sz="0" w:color="FFFFFF"/>
              <w:bottom w:val="single" w:sz="0" w:color="FFFFFF"/>
              <w:right w:val="single" w:sz="0" w:color="FFFFFF"/>
              <w:insideH w:val="single" w:sz="0" w:color="FFFFFF"/>
              <w:insideV w:val="single" w:sz="0" w:color="FFFFFF"/>
            </w:tcBorders>
          </w:tcPr>
          <w:p>
            <w:pPr>
              <w:keepNext w:val="0"/>
              <w:keepLines w:val="0"/>
              <w:widowControl w:val="0"/>
              <w:spacing w:before="0" w:after="120" w:line="288" w:lineRule="auto"/>
              <w:jc w:val="left"/>
            </w:pPr>
            <w:r>
              <w:rPr>
                <w:rFonts w:ascii="Songti SC" w:hAnsi="Songti SC" w:eastAsia="Songti SC" w:cs="Songti SC"/>
                <w:b w:val="0"/>
                <w:sz w:val="26"/>
              </w:rPr>
              <w:t>________________</w:t>
            </w:r>
          </w:p>
        </w:tc>
      </w:tr>
      <w:tr>
        <w:trPr>
          <w:cantSplit/>
        </w:trPr>
        <w:tc>
          <w:tcPr>
            <w:tcW w:type="dxa" w:w="1814"/>
            <w:tcBorders>
              <w:top w:val="single" w:sz="0" w:color="FFFFFF"/>
              <w:left w:val="single" w:sz="0" w:color="FFFFFF"/>
              <w:bottom w:val="single" w:sz="0" w:color="FFFFFF"/>
              <w:right w:val="single" w:sz="0" w:color="FFFFFF"/>
              <w:insideH w:val="single" w:sz="0" w:color="FFFFFF"/>
              <w:insideV w:val="single" w:sz="0" w:color="FFFFFF"/>
            </w:tcBorders>
          </w:tcPr>
          <w:p>
            <w:pPr>
              <w:keepNext w:val="0"/>
              <w:keepLines w:val="0"/>
              <w:widowControl w:val="0"/>
              <w:spacing w:before="0" w:after="120" w:line="288" w:lineRule="auto"/>
              <w:jc w:val="right"/>
            </w:pPr>
            <w:r>
              <w:rPr>
                <w:rFonts w:ascii="Songti SC" w:hAnsi="Songti SC" w:eastAsia="Songti SC" w:cs="Songti SC"/>
                <w:b/>
                <w:sz w:val="26"/>
              </w:rPr>
              <w:t>完成日期</w:t>
            </w:r>
          </w:p>
        </w:tc>
        <w:tc>
          <w:tcPr>
            <w:tcW w:type="dxa" w:w="5556"/>
            <w:tcBorders>
              <w:top w:val="single" w:sz="0" w:color="FFFFFF"/>
              <w:left w:val="single" w:sz="0" w:color="FFFFFF"/>
              <w:bottom w:val="single" w:sz="0" w:color="FFFFFF"/>
              <w:right w:val="single" w:sz="0" w:color="FFFFFF"/>
              <w:insideH w:val="single" w:sz="0" w:color="FFFFFF"/>
              <w:insideV w:val="single" w:sz="0" w:color="FFFFFF"/>
            </w:tcBorders>
          </w:tcPr>
          <w:p>
            <w:pPr>
              <w:keepNext w:val="0"/>
              <w:keepLines w:val="0"/>
              <w:widowControl w:val="0"/>
              <w:spacing w:before="0" w:after="120" w:line="288" w:lineRule="auto"/>
              <w:jc w:val="left"/>
            </w:pPr>
            <w:r>
              <w:rPr>
                <w:rFonts w:ascii="Songti SC" w:hAnsi="Songti SC" w:eastAsia="Songti SC" w:cs="Songti SC"/>
                <w:b w:val="0"/>
                <w:sz w:val="26"/>
              </w:rPr>
              <w:t>2026年9月</w:t>
            </w:r>
          </w:p>
        </w:tc>
      </w:tr>
    </w:tbl>
    <w:p>
      <w:pPr>
        <w:keepNext w:val="0"/>
        <w:keepLines w:val="0"/>
        <w:widowControl w:val="0"/>
        <w:spacing w:before="0" w:after="0" w:line="288" w:lineRule="auto"/>
        <w:jc w:val="center"/>
      </w:pPr>
      <w:r>
        <w:rPr>
          <w:rFonts w:ascii="Songti SC" w:hAnsi="Songti SC" w:eastAsia="Songti SC" w:cs="Songti SC"/>
          <w:b w:val="0"/>
          <w:sz w:val="20"/>
        </w:rPr>
        <w:t>本说明书为课程设计水线成果；封面空栏由提交人核实后填写。</w:t>
      </w:r>
    </w:p>
    <w:p>
      <w:r>
        <w:br w:type="page"/>
      </w:r>
    </w:p>
    <w:p>
      <w:pPr>
        <w:pStyle w:val="Heading1"/>
        <w:keepNext w:val="0"/>
        <w:keepLines w:val="0"/>
      </w:pPr>
      <w:r>
        <w:t>摘要</w:t>
      </w:r>
    </w:p>
    <w:p>
      <w:pPr>
        <w:pStyle w:val="BodyText"/>
        <w:keepNext w:val="0"/>
        <w:keepLines w:val="0"/>
        <w:widowControl w:val="0"/>
        <w:spacing w:before="0" w:after="120" w:line="288" w:lineRule="auto"/>
        <w:ind w:firstLine="420"/>
      </w:pPr>
      <w:r>
        <w:rPr>
          <w:rFonts w:ascii="Songti SC" w:hAnsi="Songti SC" w:eastAsia="Songti SC" w:cs="Songti SC"/>
          <w:b w:val="0"/>
          <w:sz w:val="24"/>
        </w:rPr>
        <w:t>本设计面向江苏省西南部某60万人城市污水处理厂，按人均排水量180 L/(人·d)确定平均设计水量108000 m³/d。工艺主算沿用前期课程设计总变化系数Kz=1.30，峰值5850 m³/h；同时依GB 50014—2021第7.1.5条，以3台工作泵最大组合6750 m³/h校核提升后相连管渠和配水系统。处理目标按任务书所列GB 18918—2002一级B日均限值：BOD₅、SS、TN、NH₄⁺-N、TP分别为20、20、20、8、1 mg/L。</w:t>
      </w:r>
    </w:p>
    <w:p>
      <w:pPr>
        <w:pStyle w:val="BodyText"/>
        <w:keepNext w:val="0"/>
        <w:keepLines w:val="0"/>
        <w:widowControl w:val="0"/>
        <w:spacing w:before="0" w:after="120" w:line="288" w:lineRule="auto"/>
        <w:ind w:firstLine="420"/>
      </w:pPr>
      <w:r>
        <w:rPr>
          <w:rFonts w:ascii="Songti SC" w:hAnsi="Songti SC" w:eastAsia="Songti SC" w:cs="Songti SC"/>
          <w:b w:val="0"/>
          <w:sz w:val="24"/>
        </w:rPr>
        <w:t>水线采用粗格栅—双格进水井—提升泵—细格栅—曝气沉砂—初沉—A²/O—二沉—接触消毒与计量。A²/O池4系列、每系列净水面70 m×45 m、净水深5 m，总有效容积63000 m³，总HRT 14 h、系统SRT 20 d。15℃甲醇反硝化能力2483 kgN/d，高于保守容量工况2297 kgN/d。计入2.5Q内回流携氧后，80%甲醇运行物料平衡值9315 kg/d，计算容量10323 kg/d并取12000 kg/d。40% FeCl₃容量7.47 m³/d。化学固体建立20 d库存后，二沉进泥总MLSS为4.379 kg/m³，采用8座净径35 m池，课程峰值固体负荷144.39 kg/(m²·d)。</w:t>
      </w:r>
    </w:p>
    <w:p>
      <w:pPr>
        <w:pStyle w:val="BodyText"/>
        <w:keepNext w:val="0"/>
        <w:keepLines w:val="0"/>
        <w:widowControl w:val="0"/>
        <w:spacing w:before="0" w:after="120" w:line="288" w:lineRule="auto"/>
        <w:ind w:firstLine="420"/>
      </w:pPr>
      <w:r>
        <w:rPr>
          <w:rFonts w:ascii="Songti SC" w:hAnsi="Songti SC" w:eastAsia="Songti SC" w:cs="Songti SC"/>
          <w:b w:val="0"/>
          <w:sz w:val="24"/>
        </w:rPr>
        <w:t>需氧量按“原水反硝化碳贡献为零”的外加碳最不利边界重算，不再从原水BOD氧需求中扣除2.86倍反硝化氧当量；设计标准空气量42300 Nm³/h，取48000 Nm³/h，配置9600只229 mm盘式微孔曝气器和9台鼓风机（8用1备）。全部核心数值已完成氮、磷、固体和水力平衡。本文所称处理目标是设计限值，不是实测出水结果；甲醇、铁盐、消毒剂和设备工作点仍须以现场试验及厂家曲线校准。</w:t>
      </w:r>
    </w:p>
    <w:p>
      <w:pPr>
        <w:keepNext w:val="0"/>
        <w:keepLines w:val="0"/>
        <w:widowControl w:val="0"/>
        <w:spacing w:before="0" w:after="200" w:line="288" w:lineRule="auto"/>
        <w:jc w:val="left"/>
      </w:pPr>
      <w:r>
        <w:rPr>
          <w:rFonts w:ascii="Songti SC" w:hAnsi="Songti SC" w:eastAsia="Songti SC" w:cs="Songti SC"/>
          <w:b w:val="0"/>
          <w:sz w:val="22"/>
        </w:rPr>
        <w:t>关键词：城市污水；A²/O；反硝化碳源；化学除磷；固体平衡；水力高程</w:t>
      </w:r>
    </w:p>
    <w:p>
      <w:r>
        <w:br w:type="page"/>
      </w:r>
    </w:p>
    <w:p>
      <w:pPr>
        <w:keepNext w:val="0"/>
        <w:keepLines w:val="0"/>
        <w:widowControl w:val="0"/>
        <w:spacing w:before="0" w:after="120" w:line="288" w:lineRule="auto"/>
        <w:jc w:val="center"/>
      </w:pPr>
      <w:r>
        <w:rPr>
          <w:rFonts w:ascii="Songti SC" w:hAnsi="Songti SC" w:eastAsia="Songti SC" w:cs="Songti SC"/>
          <w:b/>
          <w:sz w:val="32"/>
        </w:rPr>
        <w:t>目录</w:t>
      </w:r>
    </w:p>
    <w:p>
      <w:pPr>
        <w:keepNext w:val="0"/>
        <w:keepLines w:val="0"/>
        <w:tabs>
          <w:tab w:pos="8561" w:val="right" w:leader="dot"/>
        </w:tabs>
        <w:spacing w:before="20" w:after="40" w:line="240" w:lineRule="auto"/>
        <w:ind w:left="0" w:right="113"/>
      </w:pPr>
      <w:r>
        <w:rPr>
          <w:rFonts w:ascii="Songti SC" w:hAnsi="Songti SC" w:eastAsia="Songti SC" w:cs="Songti SC"/>
          <w:b/>
          <w:sz w:val="22"/>
        </w:rPr>
        <w:t>摘要</w:t>
      </w:r>
      <w:r>
        <w:rPr>
          <w:rFonts w:ascii="Songti SC" w:hAnsi="Songti SC" w:eastAsia="Songti SC" w:cs="Songti SC"/>
          <w:b/>
          <w:sz w:val="22"/>
        </w:rPr>
        <w:tab/>
        <w:t>2</w:t>
      </w:r>
    </w:p>
    <w:p>
      <w:pPr>
        <w:keepNext w:val="0"/>
        <w:keepLines w:val="0"/>
        <w:tabs>
          <w:tab w:pos="8561" w:val="right" w:leader="dot"/>
        </w:tabs>
        <w:spacing w:before="20" w:after="40" w:line="240" w:lineRule="auto"/>
        <w:ind w:left="0" w:right="113"/>
      </w:pPr>
      <w:r>
        <w:rPr>
          <w:rFonts w:ascii="Songti SC" w:hAnsi="Songti SC" w:eastAsia="Songti SC" w:cs="Songti SC"/>
          <w:b/>
          <w:sz w:val="22"/>
        </w:rPr>
        <w:t>1 前言</w:t>
      </w:r>
      <w:r>
        <w:rPr>
          <w:rFonts w:ascii="Songti SC" w:hAnsi="Songti SC" w:eastAsia="Songti SC" w:cs="Songti SC"/>
          <w:b/>
          <w:sz w:val="22"/>
        </w:rPr>
        <w:tab/>
        <w:t>5</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1.1 设计任务与成果边界</w:t>
      </w:r>
      <w:r>
        <w:rPr>
          <w:rFonts w:ascii="Songti SC" w:hAnsi="Songti SC" w:eastAsia="Songti SC" w:cs="Songti SC"/>
          <w:b w:val="0"/>
          <w:sz w:val="21"/>
        </w:rPr>
        <w:tab/>
        <w:t>5</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1.2 依据层级与适用范围</w:t>
      </w:r>
      <w:r>
        <w:rPr>
          <w:rFonts w:ascii="Songti SC" w:hAnsi="Songti SC" w:eastAsia="Songti SC" w:cs="Songti SC"/>
          <w:b w:val="0"/>
          <w:sz w:val="21"/>
        </w:rPr>
        <w:tab/>
        <w:t>5</w:t>
      </w:r>
    </w:p>
    <w:p>
      <w:pPr>
        <w:keepNext w:val="0"/>
        <w:keepLines w:val="0"/>
        <w:tabs>
          <w:tab w:pos="8561" w:val="right" w:leader="dot"/>
        </w:tabs>
        <w:spacing w:before="20" w:after="40" w:line="240" w:lineRule="auto"/>
        <w:ind w:left="0" w:right="113"/>
      </w:pPr>
      <w:r>
        <w:rPr>
          <w:rFonts w:ascii="Songti SC" w:hAnsi="Songti SC" w:eastAsia="Songti SC" w:cs="Songti SC"/>
          <w:b/>
          <w:sz w:val="22"/>
        </w:rPr>
        <w:t>2 设计水量、水质与处理程度</w:t>
      </w:r>
      <w:r>
        <w:rPr>
          <w:rFonts w:ascii="Songti SC" w:hAnsi="Songti SC" w:eastAsia="Songti SC" w:cs="Songti SC"/>
          <w:b/>
          <w:sz w:val="22"/>
        </w:rPr>
        <w:tab/>
        <w:t>6</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2.1 设计流量</w:t>
      </w:r>
      <w:r>
        <w:rPr>
          <w:rFonts w:ascii="Songti SC" w:hAnsi="Songti SC" w:eastAsia="Songti SC" w:cs="Songti SC"/>
          <w:b w:val="0"/>
          <w:sz w:val="21"/>
        </w:rPr>
        <w:tab/>
        <w:t>6</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2.2 设计水质</w:t>
      </w:r>
      <w:r>
        <w:rPr>
          <w:rFonts w:ascii="Songti SC" w:hAnsi="Songti SC" w:eastAsia="Songti SC" w:cs="Songti SC"/>
          <w:b w:val="0"/>
          <w:sz w:val="21"/>
        </w:rPr>
        <w:tab/>
        <w:t>6</w:t>
      </w:r>
    </w:p>
    <w:p>
      <w:pPr>
        <w:keepNext w:val="0"/>
        <w:keepLines w:val="0"/>
        <w:tabs>
          <w:tab w:pos="8561" w:val="right" w:leader="dot"/>
        </w:tabs>
        <w:spacing w:before="20" w:after="40" w:line="240" w:lineRule="auto"/>
        <w:ind w:left="0" w:right="113"/>
      </w:pPr>
      <w:r>
        <w:rPr>
          <w:rFonts w:ascii="Songti SC" w:hAnsi="Songti SC" w:eastAsia="Songti SC" w:cs="Songti SC"/>
          <w:b/>
          <w:sz w:val="22"/>
        </w:rPr>
        <w:t>3 工艺方案与总体流程</w:t>
      </w:r>
      <w:r>
        <w:rPr>
          <w:rFonts w:ascii="Songti SC" w:hAnsi="Songti SC" w:eastAsia="Songti SC" w:cs="Songti SC"/>
          <w:b/>
          <w:sz w:val="22"/>
        </w:rPr>
        <w:tab/>
        <w:t>7</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3.1 方案确定</w:t>
      </w:r>
      <w:r>
        <w:rPr>
          <w:rFonts w:ascii="Songti SC" w:hAnsi="Songti SC" w:eastAsia="Songti SC" w:cs="Songti SC"/>
          <w:b w:val="0"/>
          <w:sz w:val="21"/>
        </w:rPr>
        <w:tab/>
        <w:t>7</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3.2 主要设计假设</w:t>
      </w:r>
      <w:r>
        <w:rPr>
          <w:rFonts w:ascii="Songti SC" w:hAnsi="Songti SC" w:eastAsia="Songti SC" w:cs="Songti SC"/>
          <w:b w:val="0"/>
          <w:sz w:val="21"/>
        </w:rPr>
        <w:tab/>
        <w:t>8</w:t>
      </w:r>
    </w:p>
    <w:p>
      <w:pPr>
        <w:keepNext w:val="0"/>
        <w:keepLines w:val="0"/>
        <w:tabs>
          <w:tab w:pos="8561" w:val="right" w:leader="dot"/>
        </w:tabs>
        <w:spacing w:before="20" w:after="40" w:line="240" w:lineRule="auto"/>
        <w:ind w:left="0" w:right="113"/>
      </w:pPr>
      <w:r>
        <w:rPr>
          <w:rFonts w:ascii="Songti SC" w:hAnsi="Songti SC" w:eastAsia="Songti SC" w:cs="Songti SC"/>
          <w:b/>
          <w:sz w:val="22"/>
        </w:rPr>
        <w:t>4 格栅</w:t>
      </w:r>
      <w:r>
        <w:rPr>
          <w:rFonts w:ascii="Songti SC" w:hAnsi="Songti SC" w:eastAsia="Songti SC" w:cs="Songti SC"/>
          <w:b/>
          <w:sz w:val="22"/>
        </w:rPr>
        <w:tab/>
        <w:t>8</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4.1 布置与流量</w:t>
      </w:r>
      <w:r>
        <w:rPr>
          <w:rFonts w:ascii="Songti SC" w:hAnsi="Songti SC" w:eastAsia="Songti SC" w:cs="Songti SC"/>
          <w:b w:val="0"/>
          <w:sz w:val="21"/>
        </w:rPr>
        <w:tab/>
        <w:t>8</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4.2 过栅流速和堵塞工况</w:t>
      </w:r>
      <w:r>
        <w:rPr>
          <w:rFonts w:ascii="Songti SC" w:hAnsi="Songti SC" w:eastAsia="Songti SC" w:cs="Songti SC"/>
          <w:b w:val="0"/>
          <w:sz w:val="21"/>
        </w:rPr>
        <w:tab/>
        <w:t>9</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4.3 栅条组合、槽长与水头损失</w:t>
      </w:r>
      <w:r>
        <w:rPr>
          <w:rFonts w:ascii="Songti SC" w:hAnsi="Songti SC" w:eastAsia="Songti SC" w:cs="Songti SC"/>
          <w:b w:val="0"/>
          <w:sz w:val="21"/>
        </w:rPr>
        <w:tab/>
        <w:t>10</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4.4 栅渣量与设备接口</w:t>
      </w:r>
      <w:r>
        <w:rPr>
          <w:rFonts w:ascii="Songti SC" w:hAnsi="Songti SC" w:eastAsia="Songti SC" w:cs="Songti SC"/>
          <w:b w:val="0"/>
          <w:sz w:val="21"/>
        </w:rPr>
        <w:tab/>
        <w:t>10</w:t>
      </w:r>
    </w:p>
    <w:p>
      <w:pPr>
        <w:keepNext w:val="0"/>
        <w:keepLines w:val="0"/>
        <w:tabs>
          <w:tab w:pos="8561" w:val="right" w:leader="dot"/>
        </w:tabs>
        <w:spacing w:before="20" w:after="40" w:line="240" w:lineRule="auto"/>
        <w:ind w:left="0" w:right="113"/>
      </w:pPr>
      <w:r>
        <w:rPr>
          <w:rFonts w:ascii="Songti SC" w:hAnsi="Songti SC" w:eastAsia="Songti SC" w:cs="Songti SC"/>
          <w:b/>
          <w:sz w:val="22"/>
        </w:rPr>
        <w:t>5 进水井与提升泵</w:t>
      </w:r>
      <w:r>
        <w:rPr>
          <w:rFonts w:ascii="Songti SC" w:hAnsi="Songti SC" w:eastAsia="Songti SC" w:cs="Songti SC"/>
          <w:b/>
          <w:sz w:val="22"/>
        </w:rPr>
        <w:tab/>
        <w:t>11</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5.1 双格容积和检修运行</w:t>
      </w:r>
      <w:r>
        <w:rPr>
          <w:rFonts w:ascii="Songti SC" w:hAnsi="Songti SC" w:eastAsia="Songti SC" w:cs="Songti SC"/>
          <w:b w:val="0"/>
          <w:sz w:val="21"/>
        </w:rPr>
        <w:tab/>
        <w:t>11</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5.2 扬程和功率</w:t>
      </w:r>
      <w:r>
        <w:rPr>
          <w:rFonts w:ascii="Songti SC" w:hAnsi="Songti SC" w:eastAsia="Songti SC" w:cs="Songti SC"/>
          <w:b w:val="0"/>
          <w:sz w:val="21"/>
        </w:rPr>
        <w:tab/>
        <w:t>11</w:t>
      </w:r>
    </w:p>
    <w:p>
      <w:pPr>
        <w:keepNext w:val="0"/>
        <w:keepLines w:val="0"/>
        <w:tabs>
          <w:tab w:pos="8561" w:val="right" w:leader="dot"/>
        </w:tabs>
        <w:spacing w:before="20" w:after="40" w:line="240" w:lineRule="auto"/>
        <w:ind w:left="0" w:right="113"/>
      </w:pPr>
      <w:r>
        <w:rPr>
          <w:rFonts w:ascii="Songti SC" w:hAnsi="Songti SC" w:eastAsia="Songti SC" w:cs="Songti SC"/>
          <w:b/>
          <w:sz w:val="22"/>
        </w:rPr>
        <w:t>6 曝气沉砂池</w:t>
      </w:r>
      <w:r>
        <w:rPr>
          <w:rFonts w:ascii="Songti SC" w:hAnsi="Songti SC" w:eastAsia="Songti SC" w:cs="Songti SC"/>
          <w:b/>
          <w:sz w:val="22"/>
        </w:rPr>
        <w:tab/>
        <w:t>12</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6.1 池体尺寸</w:t>
      </w:r>
      <w:r>
        <w:rPr>
          <w:rFonts w:ascii="Songti SC" w:hAnsi="Songti SC" w:eastAsia="Songti SC" w:cs="Songti SC"/>
          <w:b w:val="0"/>
          <w:sz w:val="21"/>
        </w:rPr>
        <w:tab/>
        <w:t>12</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6.2 供气与储砂</w:t>
      </w:r>
      <w:r>
        <w:rPr>
          <w:rFonts w:ascii="Songti SC" w:hAnsi="Songti SC" w:eastAsia="Songti SC" w:cs="Songti SC"/>
          <w:b w:val="0"/>
          <w:sz w:val="21"/>
        </w:rPr>
        <w:tab/>
        <w:t>13</w:t>
      </w:r>
    </w:p>
    <w:p>
      <w:pPr>
        <w:keepNext w:val="0"/>
        <w:keepLines w:val="0"/>
        <w:tabs>
          <w:tab w:pos="8561" w:val="right" w:leader="dot"/>
        </w:tabs>
        <w:spacing w:before="20" w:after="40" w:line="240" w:lineRule="auto"/>
        <w:ind w:left="0" w:right="113"/>
      </w:pPr>
      <w:r>
        <w:rPr>
          <w:rFonts w:ascii="Songti SC" w:hAnsi="Songti SC" w:eastAsia="Songti SC" w:cs="Songti SC"/>
          <w:b/>
          <w:sz w:val="22"/>
        </w:rPr>
        <w:t>7 初次沉淀池</w:t>
      </w:r>
      <w:r>
        <w:rPr>
          <w:rFonts w:ascii="Songti SC" w:hAnsi="Songti SC" w:eastAsia="Songti SC" w:cs="Songti SC"/>
          <w:b/>
          <w:sz w:val="22"/>
        </w:rPr>
        <w:tab/>
        <w:t>13</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7.1 池数、面积与沉淀时间</w:t>
      </w:r>
      <w:r>
        <w:rPr>
          <w:rFonts w:ascii="Songti SC" w:hAnsi="Songti SC" w:eastAsia="Songti SC" w:cs="Songti SC"/>
          <w:b w:val="0"/>
          <w:sz w:val="21"/>
        </w:rPr>
        <w:tab/>
        <w:t>13</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7.2 出水堰和污泥</w:t>
      </w:r>
      <w:r>
        <w:rPr>
          <w:rFonts w:ascii="Songti SC" w:hAnsi="Songti SC" w:eastAsia="Songti SC" w:cs="Songti SC"/>
          <w:b w:val="0"/>
          <w:sz w:val="21"/>
        </w:rPr>
        <w:tab/>
        <w:t>14</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7.3 初沉出水负荷</w:t>
      </w:r>
      <w:r>
        <w:rPr>
          <w:rFonts w:ascii="Songti SC" w:hAnsi="Songti SC" w:eastAsia="Songti SC" w:cs="Songti SC"/>
          <w:b w:val="0"/>
          <w:sz w:val="21"/>
        </w:rPr>
        <w:tab/>
        <w:t>15</w:t>
      </w:r>
    </w:p>
    <w:p>
      <w:pPr>
        <w:keepNext w:val="0"/>
        <w:keepLines w:val="0"/>
        <w:tabs>
          <w:tab w:pos="8561" w:val="right" w:leader="dot"/>
        </w:tabs>
        <w:spacing w:before="20" w:after="40" w:line="240" w:lineRule="auto"/>
        <w:ind w:left="0" w:right="113"/>
      </w:pPr>
      <w:r>
        <w:rPr>
          <w:rFonts w:ascii="Songti SC" w:hAnsi="Songti SC" w:eastAsia="Songti SC" w:cs="Songti SC"/>
          <w:b/>
          <w:sz w:val="22"/>
        </w:rPr>
        <w:t>8 A²/O生物反应池与回流</w:t>
      </w:r>
      <w:r>
        <w:rPr>
          <w:rFonts w:ascii="Songti SC" w:hAnsi="Songti SC" w:eastAsia="Songti SC" w:cs="Songti SC"/>
          <w:b/>
          <w:sz w:val="22"/>
        </w:rPr>
        <w:tab/>
        <w:t>15</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8.1 容积与分区</w:t>
      </w:r>
      <w:r>
        <w:rPr>
          <w:rFonts w:ascii="Songti SC" w:hAnsi="Songti SC" w:eastAsia="Songti SC" w:cs="Songti SC"/>
          <w:b w:val="0"/>
          <w:sz w:val="21"/>
        </w:rPr>
        <w:tab/>
        <w:t>15</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8.2 MLSS、负荷和SRT</w:t>
      </w:r>
      <w:r>
        <w:rPr>
          <w:rFonts w:ascii="Songti SC" w:hAnsi="Songti SC" w:eastAsia="Songti SC" w:cs="Songti SC"/>
          <w:b w:val="0"/>
          <w:sz w:val="21"/>
        </w:rPr>
        <w:tab/>
        <w:t>16</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8.3 回流系统</w:t>
      </w:r>
      <w:r>
        <w:rPr>
          <w:rFonts w:ascii="Songti SC" w:hAnsi="Songti SC" w:eastAsia="Songti SC" w:cs="Songti SC"/>
          <w:b w:val="0"/>
          <w:sz w:val="21"/>
        </w:rPr>
        <w:tab/>
        <w:t>16</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8.4 15℃硝化动力学校核</w:t>
      </w:r>
      <w:r>
        <w:rPr>
          <w:rFonts w:ascii="Songti SC" w:hAnsi="Songti SC" w:eastAsia="Songti SC" w:cs="Songti SC"/>
          <w:b w:val="0"/>
          <w:sz w:val="21"/>
        </w:rPr>
        <w:tab/>
        <w:t>17</w:t>
      </w:r>
    </w:p>
    <w:p>
      <w:pPr>
        <w:keepNext w:val="0"/>
        <w:keepLines w:val="0"/>
        <w:tabs>
          <w:tab w:pos="8561" w:val="right" w:leader="dot"/>
        </w:tabs>
        <w:spacing w:before="20" w:after="40" w:line="240" w:lineRule="auto"/>
        <w:ind w:left="0" w:right="113"/>
      </w:pPr>
      <w:r>
        <w:rPr>
          <w:rFonts w:ascii="Songti SC" w:hAnsi="Songti SC" w:eastAsia="Songti SC" w:cs="Songti SC"/>
          <w:b/>
          <w:sz w:val="22"/>
        </w:rPr>
        <w:t>9 脱氮碳源、除磷与碱度</w:t>
      </w:r>
      <w:r>
        <w:rPr>
          <w:rFonts w:ascii="Songti SC" w:hAnsi="Songti SC" w:eastAsia="Songti SC" w:cs="Songti SC"/>
          <w:b/>
          <w:sz w:val="22"/>
        </w:rPr>
        <w:tab/>
        <w:t>18</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9.1 反硝化容量工况</w:t>
      </w:r>
      <w:r>
        <w:rPr>
          <w:rFonts w:ascii="Songti SC" w:hAnsi="Songti SC" w:eastAsia="Songti SC" w:cs="Songti SC"/>
          <w:b w:val="0"/>
          <w:sz w:val="21"/>
        </w:rPr>
        <w:tab/>
        <w:t>18</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9.2 运行氮平衡</w:t>
      </w:r>
      <w:r>
        <w:rPr>
          <w:rFonts w:ascii="Songti SC" w:hAnsi="Songti SC" w:eastAsia="Songti SC" w:cs="Songti SC"/>
          <w:b w:val="0"/>
          <w:sz w:val="21"/>
        </w:rPr>
        <w:tab/>
        <w:t>18</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9.3 15℃反硝化能力</w:t>
      </w:r>
      <w:r>
        <w:rPr>
          <w:rFonts w:ascii="Songti SC" w:hAnsi="Songti SC" w:eastAsia="Songti SC" w:cs="Songti SC"/>
          <w:b w:val="0"/>
          <w:sz w:val="21"/>
        </w:rPr>
        <w:tab/>
        <w:t>19</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9.4 铁盐除磷</w:t>
      </w:r>
      <w:r>
        <w:rPr>
          <w:rFonts w:ascii="Songti SC" w:hAnsi="Songti SC" w:eastAsia="Songti SC" w:cs="Songti SC"/>
          <w:b w:val="0"/>
          <w:sz w:val="21"/>
        </w:rPr>
        <w:tab/>
        <w:t>19</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9.5 化学固体与碱度</w:t>
      </w:r>
      <w:r>
        <w:rPr>
          <w:rFonts w:ascii="Songti SC" w:hAnsi="Songti SC" w:eastAsia="Songti SC" w:cs="Songti SC"/>
          <w:b w:val="0"/>
          <w:sz w:val="21"/>
        </w:rPr>
        <w:tab/>
        <w:t>20</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9.6 总固体库存与排泥</w:t>
      </w:r>
      <w:r>
        <w:rPr>
          <w:rFonts w:ascii="Songti SC" w:hAnsi="Songti SC" w:eastAsia="Songti SC" w:cs="Songti SC"/>
          <w:b w:val="0"/>
          <w:sz w:val="21"/>
        </w:rPr>
        <w:tab/>
        <w:t>21</w:t>
      </w:r>
    </w:p>
    <w:p>
      <w:pPr>
        <w:keepNext w:val="0"/>
        <w:keepLines w:val="0"/>
        <w:tabs>
          <w:tab w:pos="8561" w:val="right" w:leader="dot"/>
        </w:tabs>
        <w:spacing w:before="20" w:after="40" w:line="240" w:lineRule="auto"/>
        <w:ind w:left="0" w:right="113"/>
      </w:pPr>
      <w:r>
        <w:rPr>
          <w:rFonts w:ascii="Songti SC" w:hAnsi="Songti SC" w:eastAsia="Songti SC" w:cs="Songti SC"/>
          <w:b/>
          <w:sz w:val="22"/>
        </w:rPr>
        <w:t>10 需氧量、曝气器与鼓风机</w:t>
      </w:r>
      <w:r>
        <w:rPr>
          <w:rFonts w:ascii="Songti SC" w:hAnsi="Songti SC" w:eastAsia="Songti SC" w:cs="Songti SC"/>
          <w:b/>
          <w:sz w:val="22"/>
        </w:rPr>
        <w:tab/>
        <w:t>22</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10.1 最不利需氧情景</w:t>
      </w:r>
      <w:r>
        <w:rPr>
          <w:rFonts w:ascii="Songti SC" w:hAnsi="Songti SC" w:eastAsia="Songti SC" w:cs="Songti SC"/>
          <w:b w:val="0"/>
          <w:sz w:val="21"/>
        </w:rPr>
        <w:tab/>
        <w:t>22</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10.2 标准供气量</w:t>
      </w:r>
      <w:r>
        <w:rPr>
          <w:rFonts w:ascii="Songti SC" w:hAnsi="Songti SC" w:eastAsia="Songti SC" w:cs="Songti SC"/>
          <w:b w:val="0"/>
          <w:sz w:val="21"/>
        </w:rPr>
        <w:tab/>
        <w:t>22</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10.3 鼓风机和压力</w:t>
      </w:r>
      <w:r>
        <w:rPr>
          <w:rFonts w:ascii="Songti SC" w:hAnsi="Songti SC" w:eastAsia="Songti SC" w:cs="Songti SC"/>
          <w:b w:val="0"/>
          <w:sz w:val="21"/>
        </w:rPr>
        <w:tab/>
        <w:t>23</w:t>
      </w:r>
    </w:p>
    <w:p>
      <w:pPr>
        <w:keepNext w:val="0"/>
        <w:keepLines w:val="0"/>
        <w:tabs>
          <w:tab w:pos="8561" w:val="right" w:leader="dot"/>
        </w:tabs>
        <w:spacing w:before="20" w:after="40" w:line="240" w:lineRule="auto"/>
        <w:ind w:left="0" w:right="113"/>
      </w:pPr>
      <w:r>
        <w:rPr>
          <w:rFonts w:ascii="Songti SC" w:hAnsi="Songti SC" w:eastAsia="Songti SC" w:cs="Songti SC"/>
          <w:b/>
          <w:sz w:val="22"/>
        </w:rPr>
        <w:t>11 二次沉淀池与固体平衡</w:t>
      </w:r>
      <w:r>
        <w:rPr>
          <w:rFonts w:ascii="Songti SC" w:hAnsi="Songti SC" w:eastAsia="Songti SC" w:cs="Songti SC"/>
          <w:b/>
          <w:sz w:val="22"/>
        </w:rPr>
        <w:tab/>
        <w:t>25</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11.1 几何与水力负荷</w:t>
      </w:r>
      <w:r>
        <w:rPr>
          <w:rFonts w:ascii="Songti SC" w:hAnsi="Songti SC" w:eastAsia="Songti SC" w:cs="Songti SC"/>
          <w:b w:val="0"/>
          <w:sz w:val="21"/>
        </w:rPr>
        <w:tab/>
        <w:t>25</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11.2 固体负荷与二沉控制体</w:t>
      </w:r>
      <w:r>
        <w:rPr>
          <w:rFonts w:ascii="Songti SC" w:hAnsi="Songti SC" w:eastAsia="Songti SC" w:cs="Songti SC"/>
          <w:b w:val="0"/>
          <w:sz w:val="21"/>
        </w:rPr>
        <w:tab/>
        <w:t>26</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11.3 进出水与堰</w:t>
      </w:r>
      <w:r>
        <w:rPr>
          <w:rFonts w:ascii="Songti SC" w:hAnsi="Songti SC" w:eastAsia="Songti SC" w:cs="Songti SC"/>
          <w:b w:val="0"/>
          <w:sz w:val="21"/>
        </w:rPr>
        <w:tab/>
        <w:t>27</w:t>
      </w:r>
    </w:p>
    <w:p>
      <w:pPr>
        <w:keepNext w:val="0"/>
        <w:keepLines w:val="0"/>
        <w:tabs>
          <w:tab w:pos="8561" w:val="right" w:leader="dot"/>
        </w:tabs>
        <w:spacing w:before="20" w:after="40" w:line="240" w:lineRule="auto"/>
        <w:ind w:left="0" w:right="113"/>
      </w:pPr>
      <w:r>
        <w:rPr>
          <w:rFonts w:ascii="Songti SC" w:hAnsi="Songti SC" w:eastAsia="Songti SC" w:cs="Songti SC"/>
          <w:b/>
          <w:sz w:val="22"/>
        </w:rPr>
        <w:t>12 连接管渠和配水设施</w:t>
      </w:r>
      <w:r>
        <w:rPr>
          <w:rFonts w:ascii="Songti SC" w:hAnsi="Songti SC" w:eastAsia="Songti SC" w:cs="Songti SC"/>
          <w:b/>
          <w:sz w:val="22"/>
        </w:rPr>
        <w:tab/>
        <w:t>28</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12.1 计算方法与流量口径</w:t>
      </w:r>
      <w:r>
        <w:rPr>
          <w:rFonts w:ascii="Songti SC" w:hAnsi="Songti SC" w:eastAsia="Songti SC" w:cs="Songti SC"/>
          <w:b w:val="0"/>
          <w:sz w:val="21"/>
        </w:rPr>
        <w:tab/>
        <w:t>28</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12.2 配水、分流和运行控制</w:t>
      </w:r>
      <w:r>
        <w:rPr>
          <w:rFonts w:ascii="Songti SC" w:hAnsi="Songti SC" w:eastAsia="Songti SC" w:cs="Songti SC"/>
          <w:b w:val="0"/>
          <w:sz w:val="21"/>
        </w:rPr>
        <w:tab/>
        <w:t>30</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12.3 进厂管边界</w:t>
      </w:r>
      <w:r>
        <w:rPr>
          <w:rFonts w:ascii="Songti SC" w:hAnsi="Songti SC" w:eastAsia="Songti SC" w:cs="Songti SC"/>
          <w:b w:val="0"/>
          <w:sz w:val="21"/>
        </w:rPr>
        <w:tab/>
        <w:t>30</w:t>
      </w:r>
    </w:p>
    <w:p>
      <w:pPr>
        <w:keepNext w:val="0"/>
        <w:keepLines w:val="0"/>
        <w:tabs>
          <w:tab w:pos="8561" w:val="right" w:leader="dot"/>
        </w:tabs>
        <w:spacing w:before="20" w:after="40" w:line="240" w:lineRule="auto"/>
        <w:ind w:left="0" w:right="113"/>
      </w:pPr>
      <w:r>
        <w:rPr>
          <w:rFonts w:ascii="Songti SC" w:hAnsi="Songti SC" w:eastAsia="Songti SC" w:cs="Songti SC"/>
          <w:b/>
          <w:sz w:val="22"/>
        </w:rPr>
        <w:t>13 总平面布置</w:t>
      </w:r>
      <w:r>
        <w:rPr>
          <w:rFonts w:ascii="Songti SC" w:hAnsi="Songti SC" w:eastAsia="Songti SC" w:cs="Songti SC"/>
          <w:b/>
          <w:sz w:val="22"/>
        </w:rPr>
        <w:tab/>
        <w:t>31</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13.1 布置原则</w:t>
      </w:r>
      <w:r>
        <w:rPr>
          <w:rFonts w:ascii="Songti SC" w:hAnsi="Songti SC" w:eastAsia="Songti SC" w:cs="Songti SC"/>
          <w:b w:val="0"/>
          <w:sz w:val="21"/>
        </w:rPr>
        <w:tab/>
        <w:t>31</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13.2 检修与扩建</w:t>
      </w:r>
      <w:r>
        <w:rPr>
          <w:rFonts w:ascii="Songti SC" w:hAnsi="Songti SC" w:eastAsia="Songti SC" w:cs="Songti SC"/>
          <w:b w:val="0"/>
          <w:sz w:val="21"/>
        </w:rPr>
        <w:tab/>
        <w:t>31</w:t>
      </w:r>
    </w:p>
    <w:p>
      <w:pPr>
        <w:keepNext w:val="0"/>
        <w:keepLines w:val="0"/>
        <w:tabs>
          <w:tab w:pos="8561" w:val="right" w:leader="dot"/>
        </w:tabs>
        <w:spacing w:before="20" w:after="40" w:line="240" w:lineRule="auto"/>
        <w:ind w:left="0" w:right="113"/>
      </w:pPr>
      <w:r>
        <w:rPr>
          <w:rFonts w:ascii="Songti SC" w:hAnsi="Songti SC" w:eastAsia="Songti SC" w:cs="Songti SC"/>
          <w:b/>
          <w:sz w:val="22"/>
        </w:rPr>
        <w:t>14 水力高程与出厂方式</w:t>
      </w:r>
      <w:r>
        <w:rPr>
          <w:rFonts w:ascii="Songti SC" w:hAnsi="Songti SC" w:eastAsia="Songti SC" w:cs="Songti SC"/>
          <w:b/>
          <w:sz w:val="22"/>
        </w:rPr>
        <w:tab/>
        <w:t>32</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14.1 高程控制</w:t>
      </w:r>
      <w:r>
        <w:rPr>
          <w:rFonts w:ascii="Songti SC" w:hAnsi="Songti SC" w:eastAsia="Songti SC" w:cs="Songti SC"/>
          <w:b w:val="0"/>
          <w:sz w:val="21"/>
        </w:rPr>
        <w:tab/>
        <w:t>32</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14.2 泵扬程与重力损失的边界</w:t>
      </w:r>
      <w:r>
        <w:rPr>
          <w:rFonts w:ascii="Songti SC" w:hAnsi="Songti SC" w:eastAsia="Songti SC" w:cs="Songti SC"/>
          <w:b w:val="0"/>
          <w:sz w:val="21"/>
        </w:rPr>
        <w:tab/>
        <w:t>33</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14.3 出厂和洪水边界</w:t>
      </w:r>
      <w:r>
        <w:rPr>
          <w:rFonts w:ascii="Songti SC" w:hAnsi="Songti SC" w:eastAsia="Songti SC" w:cs="Songti SC"/>
          <w:b w:val="0"/>
          <w:sz w:val="21"/>
        </w:rPr>
        <w:tab/>
        <w:t>33</w:t>
      </w:r>
    </w:p>
    <w:p>
      <w:pPr>
        <w:keepNext w:val="0"/>
        <w:keepLines w:val="0"/>
        <w:tabs>
          <w:tab w:pos="8561" w:val="right" w:leader="dot"/>
        </w:tabs>
        <w:spacing w:before="20" w:after="40" w:line="240" w:lineRule="auto"/>
        <w:ind w:left="0" w:right="113"/>
      </w:pPr>
      <w:r>
        <w:rPr>
          <w:rFonts w:ascii="Songti SC" w:hAnsi="Songti SC" w:eastAsia="Songti SC" w:cs="Songti SC"/>
          <w:b/>
          <w:sz w:val="22"/>
        </w:rPr>
        <w:t>15 接触消毒与计量</w:t>
      </w:r>
      <w:r>
        <w:rPr>
          <w:rFonts w:ascii="Songti SC" w:hAnsi="Songti SC" w:eastAsia="Songti SC" w:cs="Songti SC"/>
          <w:b/>
          <w:sz w:val="22"/>
        </w:rPr>
        <w:tab/>
        <w:t>34</w:t>
      </w:r>
    </w:p>
    <w:p>
      <w:pPr>
        <w:keepNext w:val="0"/>
        <w:keepLines w:val="0"/>
        <w:tabs>
          <w:tab w:pos="8561" w:val="right" w:leader="dot"/>
        </w:tabs>
        <w:spacing w:before="20" w:after="40" w:line="240" w:lineRule="auto"/>
        <w:ind w:left="0" w:right="113"/>
      </w:pPr>
      <w:r>
        <w:rPr>
          <w:rFonts w:ascii="Songti SC" w:hAnsi="Songti SC" w:eastAsia="Songti SC" w:cs="Songti SC"/>
          <w:b/>
          <w:sz w:val="22"/>
        </w:rPr>
        <w:t>16 主要构筑物和设备汇总</w:t>
      </w:r>
      <w:r>
        <w:rPr>
          <w:rFonts w:ascii="Songti SC" w:hAnsi="Songti SC" w:eastAsia="Songti SC" w:cs="Songti SC"/>
          <w:b/>
          <w:sz w:val="22"/>
        </w:rPr>
        <w:tab/>
        <w:t>35</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16.1 主要核验结论</w:t>
      </w:r>
      <w:r>
        <w:rPr>
          <w:rFonts w:ascii="Songti SC" w:hAnsi="Songti SC" w:eastAsia="Songti SC" w:cs="Songti SC"/>
          <w:b w:val="0"/>
          <w:sz w:val="21"/>
        </w:rPr>
        <w:tab/>
        <w:t>35</w:t>
      </w:r>
    </w:p>
    <w:p>
      <w:pPr>
        <w:keepNext w:val="0"/>
        <w:keepLines w:val="0"/>
        <w:tabs>
          <w:tab w:pos="8561" w:val="right" w:leader="dot"/>
        </w:tabs>
        <w:spacing w:before="20" w:after="40" w:line="240" w:lineRule="auto"/>
        <w:ind w:left="420" w:right="113"/>
      </w:pPr>
      <w:r>
        <w:rPr>
          <w:rFonts w:ascii="Songti SC" w:hAnsi="Songti SC" w:eastAsia="Songti SC" w:cs="Songti SC"/>
          <w:b w:val="0"/>
          <w:sz w:val="21"/>
        </w:rPr>
        <w:t>16.2 待实测或外部确认事项</w:t>
      </w:r>
      <w:r>
        <w:rPr>
          <w:rFonts w:ascii="Songti SC" w:hAnsi="Songti SC" w:eastAsia="Songti SC" w:cs="Songti SC"/>
          <w:b w:val="0"/>
          <w:sz w:val="21"/>
        </w:rPr>
        <w:tab/>
        <w:t>36</w:t>
      </w:r>
    </w:p>
    <w:p>
      <w:pPr>
        <w:keepNext w:val="0"/>
        <w:keepLines w:val="0"/>
        <w:tabs>
          <w:tab w:pos="8561" w:val="right" w:leader="dot"/>
        </w:tabs>
        <w:spacing w:before="20" w:after="40" w:line="240" w:lineRule="auto"/>
        <w:ind w:left="0" w:right="113"/>
      </w:pPr>
      <w:r>
        <w:rPr>
          <w:rFonts w:ascii="Songti SC" w:hAnsi="Songti SC" w:eastAsia="Songti SC" w:cs="Songti SC"/>
          <w:b/>
          <w:sz w:val="22"/>
        </w:rPr>
        <w:t>参考文献</w:t>
      </w:r>
      <w:r>
        <w:rPr>
          <w:rFonts w:ascii="Songti SC" w:hAnsi="Songti SC" w:eastAsia="Songti SC" w:cs="Songti SC"/>
          <w:b/>
          <w:sz w:val="22"/>
        </w:rPr>
        <w:tab/>
        <w:t>37</w:t>
      </w:r>
    </w:p>
    <w:p>
      <w:pPr>
        <w:pStyle w:val="Heading1"/>
        <w:keepNext w:val="0"/>
        <w:keepLines w:val="0"/>
        <w:pageBreakBefore/>
      </w:pPr>
      <w:r>
        <w:t>1 前言</w:t>
      </w:r>
    </w:p>
    <w:p>
      <w:pPr>
        <w:pStyle w:val="Heading2"/>
        <w:keepNext w:val="0"/>
        <w:keepLines w:val="0"/>
      </w:pPr>
      <w:r>
        <w:t>1.1 设计任务与成果边界</w:t>
      </w:r>
    </w:p>
    <w:p>
      <w:pPr>
        <w:pStyle w:val="BodyText"/>
        <w:keepNext w:val="0"/>
        <w:keepLines w:val="0"/>
        <w:widowControl w:val="0"/>
        <w:spacing w:before="0" w:after="120" w:line="288" w:lineRule="auto"/>
        <w:ind w:firstLine="420"/>
      </w:pPr>
      <w:r>
        <w:rPr>
          <w:rFonts w:ascii="Songti SC" w:hAnsi="Songti SC" w:eastAsia="Songti SC" w:cs="Songti SC"/>
          <w:b w:val="0"/>
          <w:sz w:val="24"/>
        </w:rPr>
        <w:t>任务书要求完成城市二级污水处理厂水线工艺设计，含主要构筑物计算、必要草图、平面和高程关系。厂址面积12 ha，厂坪标高EL 27.30 m，进水位于北侧，进厂管D1200、管底埋深4.0 m。本说明书按水线先后顺序给出设计输入、公式、代入、结果和校核。</w:t>
      </w:r>
    </w:p>
    <w:p>
      <w:pPr>
        <w:pStyle w:val="BodyText"/>
        <w:keepNext w:val="0"/>
        <w:keepLines w:val="0"/>
        <w:widowControl w:val="0"/>
        <w:spacing w:before="0" w:after="120" w:line="288" w:lineRule="auto"/>
        <w:ind w:firstLine="420"/>
      </w:pPr>
      <w:r>
        <w:rPr>
          <w:rFonts w:ascii="Songti SC" w:hAnsi="Songti SC" w:eastAsia="Songti SC" w:cs="Songti SC"/>
          <w:b w:val="0"/>
          <w:sz w:val="24"/>
        </w:rPr>
        <w:t>任务书明确不含完整污泥路线和辅助构筑物设计。因水线计算必须闭合，本文仍计算初沉污泥、剩余污泥、补碳生物固体、化学固体、回流与排泥接口；这些结果止于排泥边界，不代表已完成浓缩、消化、脱水或外运系统设计。说明书内图为计算草图，不替代任务书另列的CAD/BIM图纸成果。</w:t>
      </w:r>
    </w:p>
    <w:p>
      <w:pPr>
        <w:pStyle w:val="Heading2"/>
        <w:keepNext w:val="0"/>
        <w:keepLines w:val="0"/>
      </w:pPr>
      <w:r>
        <w:t>1.2 依据层级与适用范围</w:t>
      </w:r>
    </w:p>
    <w:p>
      <w:pPr>
        <w:keepNext/>
        <w:keepLines w:val="0"/>
        <w:widowControl w:val="0"/>
        <w:spacing w:before="0" w:after="120" w:line="288" w:lineRule="auto"/>
        <w:jc w:val="center"/>
      </w:pPr>
      <w:r>
        <w:rPr>
          <w:rFonts w:ascii="Songti SC" w:hAnsi="Songti SC" w:eastAsia="Songti SC" w:cs="Songti SC"/>
          <w:b w:val="0"/>
          <w:sz w:val="21"/>
        </w:rPr>
        <w:t>表1-1 类别、采用依据汇总</w:t>
      </w:r>
    </w:p>
    <w:tbl>
      <w:tblPr>
        <w:tblW w:type="auto" w:w="0"/>
        <w:jc w:val="center"/>
        <w:tblLayout w:type="fixed"/>
        <w:tblLook w:firstColumn="1" w:firstRow="1" w:lastColumn="0" w:lastRow="0" w:noHBand="0" w:noVBand="1" w:val="04A0"/>
      </w:tblPr>
      <w:tblGrid>
        <w:gridCol w:w="3081"/>
        <w:gridCol w:w="3081"/>
        <w:gridCol w:w="3081"/>
      </w:tblGrid>
      <w:tr>
        <w:trPr>
          <w:tblHeader w:val="true"/>
          <w:cantSplit/>
        </w:trPr>
        <w:tc>
          <w:tcPr>
            <w:tcW w:type="dxa" w:w="1304"/>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9"/>
              </w:rPr>
              <w:t>类别</w:t>
            </w:r>
          </w:p>
        </w:tc>
        <w:tc>
          <w:tcPr>
            <w:tcW w:type="dxa" w:w="3231"/>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9"/>
              </w:rPr>
              <w:t>采用依据</w:t>
            </w:r>
          </w:p>
        </w:tc>
        <w:tc>
          <w:tcPr>
            <w:tcW w:type="dxa" w:w="4082"/>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9"/>
              </w:rPr>
              <w:t>用途</w:t>
            </w:r>
          </w:p>
        </w:tc>
      </w:tr>
      <w:tr>
        <w:trPr>
          <w:cantSplit/>
        </w:trPr>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9"/>
              </w:rPr>
              <w:t>原始资料</w:t>
            </w:r>
          </w:p>
        </w:tc>
        <w:tc>
          <w:tcPr>
            <w:tcW w:type="dxa" w:w="323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课程设计任务书6(2)</w:t>
            </w:r>
          </w:p>
        </w:tc>
        <w:tc>
          <w:tcPr>
            <w:tcW w:type="dxa" w:w="408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人口、水量负荷、气象、水文、厂址与排放目标</w:t>
            </w:r>
          </w:p>
        </w:tc>
      </w:tr>
      <w:tr>
        <w:trPr>
          <w:cantSplit/>
        </w:trPr>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9"/>
              </w:rPr>
              <w:t>国家标准</w:t>
            </w:r>
          </w:p>
        </w:tc>
        <w:tc>
          <w:tcPr>
            <w:tcW w:type="dxa" w:w="323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GB 50014—2021《室外排水设计标准》</w:t>
            </w:r>
          </w:p>
        </w:tc>
        <w:tc>
          <w:tcPr>
            <w:tcW w:type="dxa" w:w="408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泵站、沉砂、沉淀、生物处理及配水校核</w:t>
            </w:r>
          </w:p>
        </w:tc>
      </w:tr>
      <w:tr>
        <w:trPr>
          <w:cantSplit/>
        </w:trPr>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9"/>
              </w:rPr>
              <w:t>国家标准</w:t>
            </w:r>
          </w:p>
        </w:tc>
        <w:tc>
          <w:tcPr>
            <w:tcW w:type="dxa" w:w="323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GB 18918—2002及2025修改单</w:t>
            </w:r>
          </w:p>
        </w:tc>
        <w:tc>
          <w:tcPr>
            <w:tcW w:type="dxa" w:w="408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日均与瞬时排放限值边界</w:t>
            </w:r>
          </w:p>
        </w:tc>
      </w:tr>
      <w:tr>
        <w:trPr>
          <w:cantSplit/>
        </w:trPr>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9"/>
              </w:rPr>
              <w:t>行业标准</w:t>
            </w:r>
          </w:p>
        </w:tc>
        <w:tc>
          <w:tcPr>
            <w:tcW w:type="dxa" w:w="323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HJ 576—2010《厌氧-缺氧-好氧活性污泥法污水处理工程技术规范》</w:t>
            </w:r>
          </w:p>
        </w:tc>
        <w:tc>
          <w:tcPr>
            <w:tcW w:type="dxa" w:w="408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A²/O工程参数对照</w:t>
            </w:r>
          </w:p>
        </w:tc>
      </w:tr>
      <w:tr>
        <w:trPr>
          <w:cantSplit/>
        </w:trPr>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9"/>
              </w:rPr>
              <w:t>技术手册</w:t>
            </w:r>
          </w:p>
        </w:tc>
        <w:tc>
          <w:tcPr>
            <w:tcW w:type="dxa" w:w="323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US EPA/600/R-10/100</w:t>
            </w:r>
          </w:p>
        </w:tc>
        <w:tc>
          <w:tcPr>
            <w:tcW w:type="dxa" w:w="408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甲醇反硝化、AOB动力学、氧与碱度</w:t>
            </w:r>
          </w:p>
        </w:tc>
      </w:tr>
      <w:tr>
        <w:trPr>
          <w:cantSplit/>
        </w:trPr>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9"/>
              </w:rPr>
              <w:t>产品样本</w:t>
            </w:r>
          </w:p>
        </w:tc>
        <w:tc>
          <w:tcPr>
            <w:tcW w:type="dxa" w:w="323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Xylem、AERZEN官方数据表</w:t>
            </w:r>
          </w:p>
        </w:tc>
        <w:tc>
          <w:tcPr>
            <w:tcW w:type="dxa" w:w="408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曝气器和鼓风机能力包络</w:t>
            </w:r>
          </w:p>
        </w:tc>
      </w:tr>
    </w:tbl>
    <w:p>
      <w:pPr>
        <w:spacing w:after="20"/>
      </w:pPr>
    </w:p>
    <w:p>
      <w:pPr>
        <w:pStyle w:val="BodyText"/>
        <w:keepNext w:val="0"/>
        <w:keepLines w:val="0"/>
        <w:widowControl w:val="0"/>
        <w:spacing w:before="0" w:after="120" w:line="288" w:lineRule="auto"/>
        <w:ind w:firstLine="420"/>
      </w:pPr>
      <w:r>
        <w:rPr>
          <w:rFonts w:ascii="Songti SC" w:hAnsi="Songti SC" w:eastAsia="Songti SC" w:cs="Songti SC"/>
          <w:b w:val="0"/>
          <w:sz w:val="24"/>
        </w:rPr>
        <w:t>进水TKN组分、可生化COD分级、碱度、挥发性比例、消毒需量和厂外实测线路尚缺实测资料。本文用有来源的课程假设建立保守容量边界，并逐项注明。硝化容量以TN负荷为上界计算；处理目标均为设计限值，尚不构成试运行或实测达标结论。</w:t>
      </w:r>
    </w:p>
    <w:p>
      <w:pPr>
        <w:pStyle w:val="Heading1"/>
        <w:keepNext w:val="0"/>
        <w:keepLines w:val="0"/>
        <w:pageBreakBefore/>
      </w:pPr>
      <w:r>
        <w:t>2 设计水量、水质与处理程度</w:t>
      </w:r>
    </w:p>
    <w:p>
      <w:pPr>
        <w:pStyle w:val="Heading2"/>
        <w:keepNext w:val="0"/>
        <w:keepLines w:val="0"/>
      </w:pPr>
      <w:r>
        <w:t>2.1 设计流量</w:t>
      </w:r>
    </w:p>
    <w:p>
      <w:pPr>
        <w:pStyle w:val="BodyText"/>
        <w:keepNext w:val="0"/>
        <w:keepLines w:val="0"/>
        <w:widowControl w:val="0"/>
        <w:spacing w:before="0" w:after="120" w:line="288" w:lineRule="auto"/>
        <w:ind w:firstLine="420"/>
      </w:pPr>
      <w:r>
        <w:rPr>
          <w:rFonts w:ascii="Songti SC" w:hAnsi="Songti SC" w:eastAsia="Songti SC" w:cs="Songti SC"/>
          <w:b w:val="0"/>
          <w:sz w:val="24"/>
        </w:rPr>
        <w:t>设计人口N=600000人，人均排水量q=180 L/(人·d)。平均水量为：</w:t>
      </w:r>
    </w:p>
    <w:p>
      <w:pPr>
        <w:keepNext w:val="0"/>
        <w:keepLines w:val="0"/>
        <w:widowControl w:val="0"/>
        <w:spacing w:before="0" w:after="100" w:line="288" w:lineRule="auto"/>
        <w:jc w:val="center"/>
      </w:pPr>
      <m:oMathPara>
        <m:oMath>
          <m:r>
            <m:t>Qavg=Nq/1000=600000×180/1000=108000 m³/d=1.250 m³/s</m:t>
          </m:r>
        </m:oMath>
      </m:oMathPara>
    </w:p>
    <w:p>
      <w:pPr>
        <w:pStyle w:val="BodyText"/>
        <w:keepNext w:val="0"/>
        <w:keepLines w:val="0"/>
        <w:widowControl w:val="0"/>
        <w:spacing w:before="0" w:after="120" w:line="288" w:lineRule="auto"/>
        <w:ind w:firstLine="420"/>
      </w:pPr>
      <w:r>
        <w:rPr>
          <w:rFonts w:ascii="Songti SC" w:hAnsi="Songti SC" w:eastAsia="Songti SC" w:cs="Songti SC"/>
          <w:b w:val="0"/>
          <w:sz w:val="24"/>
        </w:rPr>
        <w:t>课程主算沿用前期课程设计取值Kz=1.30，因此峰值流量Qmax=1.625 m³/s=5850 m³/h。GB 50014—2021表4.1.15在该规模下的标准对照系数为1.5；两种口径分别列示。提升泵3台额定组合为1.875 m³/s=6750 m³/h，该值用于相连管渠和配水能力校核。</w:t>
      </w:r>
    </w:p>
    <w:p>
      <w:pPr>
        <w:keepNext/>
        <w:keepLines w:val="0"/>
        <w:widowControl w:val="0"/>
        <w:spacing w:before="0" w:after="120" w:line="288" w:lineRule="auto"/>
        <w:jc w:val="center"/>
      </w:pPr>
      <w:r>
        <w:rPr>
          <w:rFonts w:ascii="Songti SC" w:hAnsi="Songti SC" w:eastAsia="Songti SC" w:cs="Songti SC"/>
          <w:b w:val="0"/>
          <w:sz w:val="21"/>
        </w:rPr>
        <w:t>表2-1 流量口径、全厂汇总</w:t>
      </w:r>
    </w:p>
    <w:tbl>
      <w:tblPr>
        <w:tblW w:type="auto" w:w="0"/>
        <w:jc w:val="center"/>
        <w:tblLayout w:type="fixed"/>
        <w:tblLook w:firstColumn="1" w:firstRow="1" w:lastColumn="0" w:lastRow="0" w:noHBand="0" w:noVBand="1" w:val="04A0"/>
      </w:tblPr>
      <w:tblGrid>
        <w:gridCol w:w="2310"/>
        <w:gridCol w:w="2310"/>
        <w:gridCol w:w="2310"/>
        <w:gridCol w:w="2310"/>
      </w:tblGrid>
      <w:tr>
        <w:trPr>
          <w:tblHeader w:val="true"/>
          <w:cantSplit/>
        </w:trPr>
        <w:tc>
          <w:tcPr>
            <w:tcW w:type="dxa" w:w="1814"/>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流量口径</w:t>
            </w:r>
          </w:p>
        </w:tc>
        <w:tc>
          <w:tcPr>
            <w:tcW w:type="dxa" w:w="2381"/>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全厂</w:t>
            </w:r>
          </w:p>
        </w:tc>
        <w:tc>
          <w:tcPr>
            <w:tcW w:type="dxa" w:w="2041"/>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单水线</w:t>
            </w:r>
          </w:p>
        </w:tc>
        <w:tc>
          <w:tcPr>
            <w:tcW w:type="dxa" w:w="2381"/>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用途</w:t>
            </w:r>
          </w:p>
        </w:tc>
      </w:tr>
      <w:tr>
        <w:trPr>
          <w:cantSplit/>
        </w:trPr>
        <w:tc>
          <w:tcPr>
            <w:tcW w:type="dxa" w:w="181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平均</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108000 m³/d；1.250 m³/s</w:t>
            </w:r>
          </w:p>
        </w:tc>
        <w:tc>
          <w:tcPr>
            <w:tcW w:type="dxa" w:w="204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0.6250 m³/s</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日负荷、HRT和物料平衡</w:t>
            </w:r>
          </w:p>
        </w:tc>
      </w:tr>
      <w:tr>
        <w:trPr>
          <w:cantSplit/>
        </w:trPr>
        <w:tc>
          <w:tcPr>
            <w:tcW w:type="dxa" w:w="181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课程峰值 Kz=1.30</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5850 m³/h；1.625 m³/s</w:t>
            </w:r>
          </w:p>
        </w:tc>
        <w:tc>
          <w:tcPr>
            <w:tcW w:type="dxa" w:w="204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0.8125 m³/s</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构筑物工艺负荷主算</w:t>
            </w:r>
          </w:p>
        </w:tc>
      </w:tr>
      <w:tr>
        <w:trPr>
          <w:cantSplit/>
        </w:trPr>
        <w:tc>
          <w:tcPr>
            <w:tcW w:type="dxa" w:w="181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3泵最大组合</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6750 m³/h；1.875 m³/s</w:t>
            </w:r>
          </w:p>
        </w:tc>
        <w:tc>
          <w:tcPr>
            <w:tcW w:type="dxa" w:w="204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0.9375 m³/s</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提升后管渠与配水系统水力能力</w:t>
            </w:r>
          </w:p>
        </w:tc>
      </w:tr>
      <w:tr>
        <w:trPr>
          <w:cantSplit/>
        </w:trPr>
        <w:tc>
          <w:tcPr>
            <w:tcW w:type="dxa" w:w="181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标准对照 K=1.50</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6750 m³/h</w:t>
            </w:r>
          </w:p>
        </w:tc>
        <w:tc>
          <w:tcPr>
            <w:tcW w:type="dxa" w:w="204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仅说明与课程口径差异</w:t>
            </w:r>
          </w:p>
        </w:tc>
      </w:tr>
    </w:tbl>
    <w:p>
      <w:pPr>
        <w:spacing w:after="20"/>
      </w:pPr>
    </w:p>
    <w:p>
      <w:pPr>
        <w:pStyle w:val="Heading2"/>
        <w:keepNext w:val="0"/>
        <w:keepLines w:val="0"/>
      </w:pPr>
      <w:r>
        <w:t>2.2 设计水质</w:t>
      </w:r>
    </w:p>
    <w:p>
      <w:pPr>
        <w:keepNext/>
        <w:keepLines w:val="0"/>
        <w:widowControl w:val="0"/>
        <w:spacing w:before="0" w:after="120" w:line="288" w:lineRule="auto"/>
        <w:jc w:val="center"/>
      </w:pPr>
      <w:r>
        <w:rPr>
          <w:rFonts w:ascii="Songti SC" w:hAnsi="Songti SC" w:eastAsia="Songti SC" w:cs="Songti SC"/>
          <w:b w:val="0"/>
          <w:sz w:val="21"/>
        </w:rPr>
        <w:t>表2-2 指标、进水负荷 kg/d汇总</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tblHeader w:val="true"/>
          <w:cantSplit/>
        </w:trPr>
        <w:tc>
          <w:tcPr>
            <w:tcW w:type="dxa" w:w="1247"/>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指标</w:t>
            </w:r>
          </w:p>
        </w:tc>
        <w:tc>
          <w:tcPr>
            <w:tcW w:type="dxa" w:w="1814"/>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进水负荷 kg/d</w:t>
            </w:r>
          </w:p>
        </w:tc>
        <w:tc>
          <w:tcPr>
            <w:tcW w:type="dxa" w:w="1757"/>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计算浓度 mg/L</w:t>
            </w:r>
          </w:p>
        </w:tc>
        <w:tc>
          <w:tcPr>
            <w:tcW w:type="dxa" w:w="1701"/>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日均目标 mg/L</w:t>
            </w:r>
          </w:p>
        </w:tc>
        <w:tc>
          <w:tcPr>
            <w:tcW w:type="dxa" w:w="2268"/>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最低去除率 %</w:t>
            </w:r>
          </w:p>
        </w:tc>
      </w:tr>
      <w:tr>
        <w:trPr>
          <w:cantSplit/>
        </w:trPr>
        <w:tc>
          <w:tcPr>
            <w:tcW w:type="dxa" w:w="124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BOD5</w:t>
            </w:r>
          </w:p>
        </w:tc>
        <w:tc>
          <w:tcPr>
            <w:tcW w:type="dxa" w:w="181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18,000</w:t>
            </w:r>
          </w:p>
        </w:tc>
        <w:tc>
          <w:tcPr>
            <w:tcW w:type="dxa" w:w="175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166.67</w:t>
            </w:r>
          </w:p>
        </w:tc>
        <w:tc>
          <w:tcPr>
            <w:tcW w:type="dxa" w:w="170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20.0</w:t>
            </w:r>
          </w:p>
        </w:tc>
        <w:tc>
          <w:tcPr>
            <w:tcW w:type="dxa" w:w="226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88.0</w:t>
            </w:r>
          </w:p>
        </w:tc>
      </w:tr>
      <w:tr>
        <w:trPr>
          <w:cantSplit/>
        </w:trPr>
        <w:tc>
          <w:tcPr>
            <w:tcW w:type="dxa" w:w="124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SS</w:t>
            </w:r>
          </w:p>
        </w:tc>
        <w:tc>
          <w:tcPr>
            <w:tcW w:type="dxa" w:w="181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30,000</w:t>
            </w:r>
          </w:p>
        </w:tc>
        <w:tc>
          <w:tcPr>
            <w:tcW w:type="dxa" w:w="175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277.78</w:t>
            </w:r>
          </w:p>
        </w:tc>
        <w:tc>
          <w:tcPr>
            <w:tcW w:type="dxa" w:w="170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20.0</w:t>
            </w:r>
          </w:p>
        </w:tc>
        <w:tc>
          <w:tcPr>
            <w:tcW w:type="dxa" w:w="226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92.8</w:t>
            </w:r>
          </w:p>
        </w:tc>
      </w:tr>
      <w:tr>
        <w:trPr>
          <w:cantSplit/>
        </w:trPr>
        <w:tc>
          <w:tcPr>
            <w:tcW w:type="dxa" w:w="124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TN</w:t>
            </w:r>
          </w:p>
        </w:tc>
        <w:tc>
          <w:tcPr>
            <w:tcW w:type="dxa" w:w="181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4,800</w:t>
            </w:r>
          </w:p>
        </w:tc>
        <w:tc>
          <w:tcPr>
            <w:tcW w:type="dxa" w:w="175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44.44</w:t>
            </w:r>
          </w:p>
        </w:tc>
        <w:tc>
          <w:tcPr>
            <w:tcW w:type="dxa" w:w="170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20.0</w:t>
            </w:r>
          </w:p>
        </w:tc>
        <w:tc>
          <w:tcPr>
            <w:tcW w:type="dxa" w:w="226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55.0</w:t>
            </w:r>
          </w:p>
        </w:tc>
      </w:tr>
      <w:tr>
        <w:trPr>
          <w:cantSplit/>
        </w:trPr>
        <w:tc>
          <w:tcPr>
            <w:tcW w:type="dxa" w:w="124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TP</w:t>
            </w:r>
          </w:p>
        </w:tc>
        <w:tc>
          <w:tcPr>
            <w:tcW w:type="dxa" w:w="181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600</w:t>
            </w:r>
          </w:p>
        </w:tc>
        <w:tc>
          <w:tcPr>
            <w:tcW w:type="dxa" w:w="175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5.56</w:t>
            </w:r>
          </w:p>
        </w:tc>
        <w:tc>
          <w:tcPr>
            <w:tcW w:type="dxa" w:w="170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1.0</w:t>
            </w:r>
          </w:p>
        </w:tc>
        <w:tc>
          <w:tcPr>
            <w:tcW w:type="dxa" w:w="226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82.0</w:t>
            </w:r>
          </w:p>
        </w:tc>
      </w:tr>
      <w:tr>
        <w:trPr>
          <w:cantSplit/>
        </w:trPr>
        <w:tc>
          <w:tcPr>
            <w:tcW w:type="dxa" w:w="124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NH₄⁺-N</w:t>
            </w:r>
          </w:p>
        </w:tc>
        <w:tc>
          <w:tcPr>
            <w:tcW w:type="dxa" w:w="181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未给定</w:t>
            </w:r>
          </w:p>
        </w:tc>
        <w:tc>
          <w:tcPr>
            <w:tcW w:type="dxa" w:w="175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未给定</w:t>
            </w:r>
          </w:p>
        </w:tc>
        <w:tc>
          <w:tcPr>
            <w:tcW w:type="dxa" w:w="170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8.0</w:t>
            </w:r>
          </w:p>
        </w:tc>
        <w:tc>
          <w:tcPr>
            <w:tcW w:type="dxa" w:w="226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以TN负荷作硝化容量上界</w:t>
            </w:r>
          </w:p>
        </w:tc>
      </w:tr>
    </w:tbl>
    <w:p>
      <w:pPr>
        <w:spacing w:after="20"/>
      </w:pPr>
    </w:p>
    <w:p>
      <w:pPr>
        <w:pStyle w:val="BodyText"/>
        <w:keepNext w:val="0"/>
        <w:keepLines w:val="0"/>
        <w:widowControl w:val="0"/>
        <w:spacing w:before="0" w:after="120" w:line="288" w:lineRule="auto"/>
        <w:ind w:firstLine="420"/>
      </w:pPr>
      <w:r>
        <w:rPr>
          <w:rFonts w:ascii="Songti SC" w:hAnsi="Songti SC" w:eastAsia="Songti SC" w:cs="Songti SC"/>
          <w:b w:val="0"/>
          <w:sz w:val="24"/>
        </w:rPr>
        <w:t>浓度由当量人口负荷除以平均水量得到：BOD₅=166.67 mg/L，SS=277.78 mg/L，TN=44.44 mg/L，TP=5.56 mg/L。2025修改单表1仍给出一级B日均限值；其表4另列瞬时限值，一级B TN、NH₄-N、TP分别为25、15(20)、1.5 mg/L，pH 6～9、粪大肠菌群10⁴ MPN/L。消毒与监测应同时识别瞬时控制，但本文日负荷主算保持任务书日均目标。</w:t>
      </w:r>
    </w:p>
    <w:p>
      <w:pPr>
        <w:pStyle w:val="BodyText"/>
        <w:keepNext w:val="0"/>
        <w:keepLines w:val="0"/>
        <w:widowControl w:val="0"/>
        <w:spacing w:before="40" w:after="120" w:line="288" w:lineRule="auto"/>
      </w:pPr>
      <w:r>
        <w:rPr>
          <w:rFonts w:ascii="Songti SC" w:hAnsi="Songti SC" w:eastAsia="Songti SC" w:cs="Songti SC"/>
          <w:b/>
          <w:sz w:val="22"/>
        </w:rPr>
        <w:t>说明：</w:t>
      </w:r>
      <w:r>
        <w:rPr>
          <w:rFonts w:ascii="Songti SC" w:hAnsi="Songti SC" w:eastAsia="Songti SC" w:cs="Songti SC"/>
          <w:b w:val="0"/>
          <w:sz w:val="22"/>
        </w:rPr>
        <w:t>N/P日负荷按Qavg计算，忽略约1%的排泥减水，为课程级近似；NH₄-N进水组分、碱度和温度连续分布缺失，硝化按上界容量校核。</w:t>
      </w:r>
    </w:p>
    <w:p>
      <w:pPr>
        <w:pStyle w:val="Heading1"/>
        <w:keepNext w:val="0"/>
        <w:keepLines w:val="0"/>
      </w:pPr>
      <w:r>
        <w:t>3 工艺方案与总体流程</w:t>
      </w:r>
    </w:p>
    <w:p>
      <w:pPr>
        <w:pStyle w:val="Heading2"/>
        <w:keepNext w:val="0"/>
        <w:keepLines w:val="0"/>
      </w:pPr>
      <w:r>
        <w:t>3.1 方案确定</w:t>
      </w:r>
    </w:p>
    <w:p>
      <w:pPr>
        <w:pStyle w:val="BodyText"/>
        <w:keepNext w:val="0"/>
        <w:keepLines w:val="0"/>
        <w:widowControl w:val="0"/>
        <w:spacing w:before="0" w:after="120" w:line="288" w:lineRule="auto"/>
        <w:ind w:firstLine="420"/>
      </w:pPr>
      <w:r>
        <w:rPr>
          <w:rFonts w:ascii="Songti SC" w:hAnsi="Songti SC" w:eastAsia="Songti SC" w:cs="Songti SC"/>
          <w:b w:val="0"/>
          <w:sz w:val="24"/>
        </w:rPr>
        <w:t>进水BOD₅/TN约3.75，若用全部BOD作为反硝化碳会高估可利用碳。工艺采用A²/O，并预留外加甲醇，以厌氧段释放磷、缺氧段反硝化、好氧段去除有机物和硝化。初沉降低悬浮物和部分BOD；为满足TP=1 mg/L的稳定容量，生物除磷后设FeCl₃强化除磷。</w:t>
      </w:r>
    </w:p>
    <w:p>
      <w:pPr>
        <w:pStyle w:val="BodyText"/>
        <w:keepNext w:val="0"/>
        <w:keepLines w:val="0"/>
        <w:widowControl w:val="0"/>
        <w:spacing w:before="0" w:after="120" w:line="288" w:lineRule="auto"/>
        <w:ind w:firstLine="420"/>
      </w:pPr>
      <w:r>
        <w:rPr>
          <w:rFonts w:ascii="Songti SC" w:hAnsi="Songti SC" w:eastAsia="Songti SC" w:cs="Songti SC"/>
          <w:b w:val="0"/>
          <w:sz w:val="24"/>
        </w:rPr>
        <w:t>水线设两条前处理线、4座初沉池、4个A²/O系列和8座二沉池。泵站四个泵位共用配水，全厂按3用1备运行。接触消毒和计量构成出水终点，药剂剂量由实际消毒需求试验确定。</w:t>
      </w:r>
    </w:p>
    <w:p>
      <w:pPr>
        <w:keepNext/>
        <w:keepLines w:val="0"/>
        <w:jc w:val="center"/>
      </w:pPr>
      <w:r>
        <w:drawing>
          <wp:inline xmlns:a="http://schemas.openxmlformats.org/drawingml/2006/main" xmlns:pic="http://schemas.openxmlformats.org/drawingml/2006/picture">
            <wp:extent cx="5715000" cy="2857500"/>
            <wp:docPr id="1" name="Picture 1"/>
            <wp:cNvGraphicFramePr>
              <a:graphicFrameLocks noChangeAspect="1"/>
            </wp:cNvGraphicFramePr>
            <a:graphic>
              <a:graphicData uri="http://schemas.openxmlformats.org/drawingml/2006/picture">
                <pic:pic>
                  <pic:nvPicPr>
                    <pic:cNvPr id="0" name="01_process_flow.png"/>
                    <pic:cNvPicPr/>
                  </pic:nvPicPr>
                  <pic:blipFill>
                    <a:blip r:embed="rId10"/>
                    <a:stretch>
                      <a:fillRect/>
                    </a:stretch>
                  </pic:blipFill>
                  <pic:spPr>
                    <a:xfrm>
                      <a:off x="0" y="0"/>
                      <a:ext cx="5715000" cy="2857500"/>
                    </a:xfrm>
                    <a:prstGeom prst="rect"/>
                  </pic:spPr>
                </pic:pic>
              </a:graphicData>
            </a:graphic>
          </wp:inline>
        </w:drawing>
      </w:r>
    </w:p>
    <w:p>
      <w:pPr>
        <w:keepNext w:val="0"/>
        <w:keepLines w:val="0"/>
        <w:widowControl w:val="0"/>
        <w:spacing w:before="0" w:after="120" w:line="288" w:lineRule="auto"/>
        <w:jc w:val="center"/>
      </w:pPr>
      <w:r>
        <w:rPr>
          <w:rFonts w:ascii="Songti SC" w:hAnsi="Songti SC" w:eastAsia="Songti SC" w:cs="Songti SC"/>
          <w:b w:val="0"/>
          <w:sz w:val="21"/>
        </w:rPr>
        <w:t>图3-1 水线工艺流程及污泥接口</w:t>
      </w:r>
    </w:p>
    <w:p>
      <w:pPr>
        <w:pStyle w:val="Heading2"/>
        <w:keepNext w:val="0"/>
        <w:keepLines w:val="0"/>
      </w:pPr>
      <w:r>
        <w:t>3.2 主要设计假设</w:t>
      </w:r>
    </w:p>
    <w:p>
      <w:pPr>
        <w:keepNext/>
        <w:keepLines w:val="0"/>
        <w:widowControl w:val="0"/>
        <w:spacing w:before="0" w:after="120" w:line="288" w:lineRule="auto"/>
        <w:jc w:val="center"/>
      </w:pPr>
      <w:r>
        <w:rPr>
          <w:rFonts w:ascii="Songti SC" w:hAnsi="Songti SC" w:eastAsia="Songti SC" w:cs="Songti SC"/>
          <w:b w:val="0"/>
          <w:sz w:val="21"/>
        </w:rPr>
        <w:t>表3-1 项目、采用值汇总</w:t>
      </w:r>
    </w:p>
    <w:tbl>
      <w:tblPr>
        <w:tblW w:type="auto" w:w="0"/>
        <w:jc w:val="center"/>
        <w:tblLayout w:type="fixed"/>
        <w:tblLook w:firstColumn="1" w:firstRow="1" w:lastColumn="0" w:lastRow="0" w:noHBand="0" w:noVBand="1" w:val="04A0"/>
      </w:tblPr>
      <w:tblGrid>
        <w:gridCol w:w="3081"/>
        <w:gridCol w:w="3081"/>
        <w:gridCol w:w="3081"/>
      </w:tblGrid>
      <w:tr>
        <w:trPr>
          <w:tblHeader w:val="true"/>
          <w:cantSplit/>
        </w:trPr>
        <w:tc>
          <w:tcPr>
            <w:tcW w:type="dxa" w:w="1701"/>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项目</w:t>
            </w:r>
          </w:p>
        </w:tc>
        <w:tc>
          <w:tcPr>
            <w:tcW w:type="dxa" w:w="2381"/>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采用值</w:t>
            </w:r>
          </w:p>
        </w:tc>
        <w:tc>
          <w:tcPr>
            <w:tcW w:type="dxa" w:w="4082"/>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说明</w:t>
            </w:r>
          </w:p>
        </w:tc>
      </w:tr>
      <w:tr>
        <w:trPr>
          <w:cantSplit/>
        </w:trPr>
        <w:tc>
          <w:tcPr>
            <w:tcW w:type="dxa" w:w="170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冬季计算温度</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15℃</w:t>
            </w:r>
          </w:p>
        </w:tc>
        <w:tc>
          <w:tcPr>
            <w:tcW w:type="dxa" w:w="408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任务书冬季平均温度；不代替极端低温连续记录</w:t>
            </w:r>
          </w:p>
        </w:tc>
      </w:tr>
      <w:tr>
        <w:trPr>
          <w:cantSplit/>
        </w:trPr>
        <w:tc>
          <w:tcPr>
            <w:tcW w:type="dxa" w:w="170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初沉去除</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BOD₅ 25%；SS 50%；TP 7.5%</w:t>
            </w:r>
          </w:p>
        </w:tc>
        <w:tc>
          <w:tcPr>
            <w:tcW w:type="dxa" w:w="408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课程选值；TN不扣除，形成脱氮容量上界</w:t>
            </w:r>
          </w:p>
        </w:tc>
      </w:tr>
      <w:tr>
        <w:trPr>
          <w:cantSplit/>
        </w:trPr>
        <w:tc>
          <w:tcPr>
            <w:tcW w:type="dxa" w:w="170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基准MLSS/MLVSS</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3.5 kg/m³；0.75</w:t>
            </w:r>
          </w:p>
        </w:tc>
        <w:tc>
          <w:tcPr>
            <w:tcW w:type="dxa" w:w="408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不含铁盐固体的生物与普通惰性基准库存</w:t>
            </w:r>
          </w:p>
        </w:tc>
      </w:tr>
      <w:tr>
        <w:trPr>
          <w:cantSplit/>
        </w:trPr>
        <w:tc>
          <w:tcPr>
            <w:tcW w:type="dxa" w:w="170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SRT</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20 d</w:t>
            </w:r>
          </w:p>
        </w:tc>
        <w:tc>
          <w:tcPr>
            <w:tcW w:type="dxa" w:w="408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兼顾15℃硝化和固体库存</w:t>
            </w:r>
          </w:p>
        </w:tc>
      </w:tr>
      <w:tr>
        <w:trPr>
          <w:cantSplit/>
        </w:trPr>
        <w:tc>
          <w:tcPr>
            <w:tcW w:type="dxa" w:w="170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RAS/内回流</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0.75/2.50Q</w:t>
            </w:r>
          </w:p>
        </w:tc>
        <w:tc>
          <w:tcPr>
            <w:tcW w:type="dxa" w:w="408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课程设计值，运行按泥位和NOx反馈调整</w:t>
            </w:r>
          </w:p>
        </w:tc>
      </w:tr>
      <w:tr>
        <w:trPr>
          <w:cantSplit/>
        </w:trPr>
        <w:tc>
          <w:tcPr>
            <w:tcW w:type="dxa" w:w="170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外加碳边界</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原水可用反硝化碳贡献取0</w:t>
            </w:r>
          </w:p>
        </w:tc>
        <w:tc>
          <w:tcPr>
            <w:tcW w:type="dxa" w:w="408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用于设备容量，不代表正常运行必然全量投加</w:t>
            </w:r>
          </w:p>
        </w:tc>
      </w:tr>
    </w:tbl>
    <w:p>
      <w:pPr>
        <w:spacing w:after="20"/>
      </w:pPr>
    </w:p>
    <w:p>
      <w:pPr>
        <w:pStyle w:val="Heading1"/>
        <w:keepNext w:val="0"/>
        <w:keepLines w:val="0"/>
      </w:pPr>
      <w:r>
        <w:t>4 格栅</w:t>
      </w:r>
    </w:p>
    <w:p>
      <w:pPr>
        <w:pStyle w:val="Heading2"/>
        <w:keepNext w:val="0"/>
        <w:keepLines w:val="0"/>
      </w:pPr>
      <w:r>
        <w:t>4.1 布置与流量</w:t>
      </w:r>
    </w:p>
    <w:p>
      <w:pPr>
        <w:pStyle w:val="BodyText"/>
        <w:keepNext w:val="0"/>
        <w:keepLines w:val="0"/>
        <w:widowControl w:val="0"/>
        <w:spacing w:before="0" w:after="120" w:line="288" w:lineRule="auto"/>
        <w:ind w:firstLine="420"/>
      </w:pPr>
      <w:r>
        <w:rPr>
          <w:rFonts w:ascii="Songti SC" w:hAnsi="Songti SC" w:eastAsia="Songti SC" w:cs="Songti SC"/>
          <w:b w:val="0"/>
          <w:sz w:val="24"/>
        </w:rPr>
        <w:t>粗格栅位于泵前，按课程峰值每线0.8125 m³/s；细格栅位于泵后，其渠道和配水能力按泵组最大组合每线0.9375 m³/s。两级均设2条水线正常运行，另应通过闸门提供隔离和超越条件。</w:t>
      </w:r>
    </w:p>
    <w:p>
      <w:pPr>
        <w:keepNext/>
        <w:keepLines w:val="0"/>
        <w:jc w:val="center"/>
      </w:pPr>
      <w:r>
        <w:drawing>
          <wp:inline xmlns:a="http://schemas.openxmlformats.org/drawingml/2006/main" xmlns:pic="http://schemas.openxmlformats.org/drawingml/2006/picture">
            <wp:extent cx="5715000" cy="2857500"/>
            <wp:docPr id="2" name="Picture 2"/>
            <wp:cNvGraphicFramePr>
              <a:graphicFrameLocks noChangeAspect="1"/>
            </wp:cNvGraphicFramePr>
            <a:graphic>
              <a:graphicData uri="http://schemas.openxmlformats.org/drawingml/2006/picture">
                <pic:pic>
                  <pic:nvPicPr>
                    <pic:cNvPr id="0" name="02_screens.png"/>
                    <pic:cNvPicPr/>
                  </pic:nvPicPr>
                  <pic:blipFill>
                    <a:blip r:embed="rId11"/>
                    <a:stretch>
                      <a:fillRect/>
                    </a:stretch>
                  </pic:blipFill>
                  <pic:spPr>
                    <a:xfrm>
                      <a:off x="0" y="0"/>
                      <a:ext cx="5715000" cy="2857500"/>
                    </a:xfrm>
                    <a:prstGeom prst="rect"/>
                  </pic:spPr>
                </pic:pic>
              </a:graphicData>
            </a:graphic>
          </wp:inline>
        </w:drawing>
      </w:r>
    </w:p>
    <w:p>
      <w:pPr>
        <w:keepNext w:val="0"/>
        <w:keepLines w:val="0"/>
        <w:widowControl w:val="0"/>
        <w:spacing w:before="0" w:after="120" w:line="288" w:lineRule="auto"/>
        <w:jc w:val="center"/>
      </w:pPr>
      <w:r>
        <w:rPr>
          <w:rFonts w:ascii="Songti SC" w:hAnsi="Songti SC" w:eastAsia="Songti SC" w:cs="Songti SC"/>
          <w:b w:val="0"/>
          <w:sz w:val="21"/>
        </w:rPr>
        <w:t>图4-1 粗、细格栅计算草图</w:t>
      </w:r>
    </w:p>
    <w:p>
      <w:pPr>
        <w:pStyle w:val="Heading2"/>
        <w:keepNext w:val="0"/>
        <w:keepLines w:val="0"/>
      </w:pPr>
      <w:r>
        <w:t>4.2 过栅流速和堵塞工况</w:t>
      </w:r>
    </w:p>
    <w:p>
      <w:pPr>
        <w:pStyle w:val="BodyText"/>
        <w:keepNext w:val="0"/>
        <w:keepLines w:val="0"/>
        <w:widowControl w:val="0"/>
        <w:spacing w:before="0" w:after="120" w:line="288" w:lineRule="auto"/>
        <w:ind w:firstLine="420"/>
      </w:pPr>
      <w:r>
        <w:rPr>
          <w:rFonts w:ascii="Songti SC" w:hAnsi="Songti SC" w:eastAsia="Songti SC" w:cs="Songti SC"/>
          <w:b w:val="0"/>
          <w:sz w:val="24"/>
        </w:rPr>
        <w:t>格栅倾角α=60°，正常水深h=0.80 m。以净空隙数n和栅隙b计算有效过水面积，倾斜修正采用√sinα：</w:t>
      </w:r>
    </w:p>
    <w:p>
      <w:pPr>
        <w:keepNext w:val="0"/>
        <w:keepLines w:val="0"/>
        <w:widowControl w:val="0"/>
        <w:spacing w:before="0" w:after="100" w:line="288" w:lineRule="auto"/>
        <w:jc w:val="center"/>
      </w:pPr>
      <m:oMathPara>
        <m:oMath>
          <m:r>
            <m:t>v=Q√(sinα)/(nbh)</m:t>
          </m:r>
        </m:oMath>
      </m:oMathPara>
    </w:p>
    <w:p>
      <w:pPr>
        <w:keepNext w:val="0"/>
        <w:keepLines w:val="0"/>
        <w:widowControl w:val="0"/>
        <w:spacing w:before="0" w:after="100" w:line="288" w:lineRule="auto"/>
        <w:jc w:val="center"/>
      </w:pPr>
      <m:oMathPara>
        <m:oMath>
          <m:r>
            <m:t>h25%=Q√(sinα)/(0.75nb×1.0)</m:t>
          </m:r>
        </m:oMath>
      </m:oMathPara>
    </w:p>
    <w:p>
      <w:pPr>
        <w:keepNext/>
        <w:keepLines w:val="0"/>
        <w:widowControl w:val="0"/>
        <w:spacing w:before="0" w:after="120" w:line="288" w:lineRule="auto"/>
        <w:jc w:val="center"/>
      </w:pPr>
      <w:r>
        <w:rPr>
          <w:rFonts w:ascii="Songti SC" w:hAnsi="Songti SC" w:eastAsia="Songti SC" w:cs="Songti SC"/>
          <w:b w:val="0"/>
          <w:sz w:val="21"/>
        </w:rPr>
        <w:t>表4-1 项目、粗格栅汇总</w:t>
      </w:r>
    </w:p>
    <w:tbl>
      <w:tblPr>
        <w:tblW w:type="auto" w:w="0"/>
        <w:jc w:val="center"/>
        <w:tblLayout w:type="fixed"/>
        <w:tblLook w:firstColumn="1" w:firstRow="1" w:lastColumn="0" w:lastRow="0" w:noHBand="0" w:noVBand="1" w:val="04A0"/>
      </w:tblPr>
      <w:tblGrid>
        <w:gridCol w:w="3081"/>
        <w:gridCol w:w="3081"/>
        <w:gridCol w:w="3081"/>
      </w:tblGrid>
      <w:tr>
        <w:trPr>
          <w:tblHeader w:val="true"/>
          <w:cantSplit/>
        </w:trPr>
        <w:tc>
          <w:tcPr>
            <w:tcW w:type="dxa" w:w="2948"/>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项目</w:t>
            </w:r>
          </w:p>
        </w:tc>
        <w:tc>
          <w:tcPr>
            <w:tcW w:type="dxa" w:w="2835"/>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粗格栅</w:t>
            </w:r>
          </w:p>
        </w:tc>
        <w:tc>
          <w:tcPr>
            <w:tcW w:type="dxa" w:w="2835"/>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细格栅</w:t>
            </w:r>
          </w:p>
        </w:tc>
      </w:tr>
      <w:tr>
        <w:trPr>
          <w:cantSplit/>
        </w:trPr>
        <w:tc>
          <w:tcPr>
            <w:tcW w:type="dxa" w:w="294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栅隙/净空隙数</w:t>
            </w:r>
          </w:p>
        </w:tc>
        <w:tc>
          <w:tcPr>
            <w:tcW w:type="dxa" w:w="283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25 mm / 44</w:t>
            </w:r>
          </w:p>
        </w:tc>
        <w:tc>
          <w:tcPr>
            <w:tcW w:type="dxa" w:w="283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10 mm / 122</w:t>
            </w:r>
          </w:p>
        </w:tc>
      </w:tr>
      <w:tr>
        <w:trPr>
          <w:cantSplit/>
        </w:trPr>
        <w:tc>
          <w:tcPr>
            <w:tcW w:type="dxa" w:w="294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渠道净宽</w:t>
            </w:r>
          </w:p>
        </w:tc>
        <w:tc>
          <w:tcPr>
            <w:tcW w:type="dxa" w:w="283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1.53 m</w:t>
            </w:r>
          </w:p>
        </w:tc>
        <w:tc>
          <w:tcPr>
            <w:tcW w:type="dxa" w:w="283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2.10 m</w:t>
            </w:r>
          </w:p>
        </w:tc>
      </w:tr>
      <w:tr>
        <w:trPr>
          <w:cantSplit/>
        </w:trPr>
        <w:tc>
          <w:tcPr>
            <w:tcW w:type="dxa" w:w="294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计算流量</w:t>
            </w:r>
          </w:p>
        </w:tc>
        <w:tc>
          <w:tcPr>
            <w:tcW w:type="dxa" w:w="283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0.8125 m³/s</w:t>
            </w:r>
          </w:p>
        </w:tc>
        <w:tc>
          <w:tcPr>
            <w:tcW w:type="dxa" w:w="283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0.9375 m³/s</w:t>
            </w:r>
          </w:p>
        </w:tc>
      </w:tr>
      <w:tr>
        <w:trPr>
          <w:cantSplit/>
        </w:trPr>
        <w:tc>
          <w:tcPr>
            <w:tcW w:type="dxa" w:w="294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正常流速</w:t>
            </w:r>
          </w:p>
        </w:tc>
        <w:tc>
          <w:tcPr>
            <w:tcW w:type="dxa" w:w="283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0.859 m/s</w:t>
            </w:r>
          </w:p>
        </w:tc>
        <w:tc>
          <w:tcPr>
            <w:tcW w:type="dxa" w:w="283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0.894 m/s</w:t>
            </w:r>
          </w:p>
        </w:tc>
      </w:tr>
      <w:tr>
        <w:trPr>
          <w:cantSplit/>
        </w:trPr>
        <w:tc>
          <w:tcPr>
            <w:tcW w:type="dxa" w:w="294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25%堵塞、v=1.0所需水深</w:t>
            </w:r>
          </w:p>
        </w:tc>
        <w:tc>
          <w:tcPr>
            <w:tcW w:type="dxa" w:w="283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0.917 m</w:t>
            </w:r>
          </w:p>
        </w:tc>
        <w:tc>
          <w:tcPr>
            <w:tcW w:type="dxa" w:w="283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0.953 m</w:t>
            </w:r>
          </w:p>
        </w:tc>
      </w:tr>
      <w:tr>
        <w:trPr>
          <w:cantSplit/>
        </w:trPr>
        <w:tc>
          <w:tcPr>
            <w:tcW w:type="dxa" w:w="294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最大运行水深</w:t>
            </w:r>
          </w:p>
        </w:tc>
        <w:tc>
          <w:tcPr>
            <w:tcW w:type="dxa" w:w="283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1.00 m</w:t>
            </w:r>
          </w:p>
        </w:tc>
        <w:tc>
          <w:tcPr>
            <w:tcW w:type="dxa" w:w="283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1.00 m</w:t>
            </w:r>
          </w:p>
        </w:tc>
      </w:tr>
    </w:tbl>
    <w:p>
      <w:pPr>
        <w:spacing w:after="20"/>
      </w:pPr>
    </w:p>
    <w:p>
      <w:pPr>
        <w:pStyle w:val="BodyText"/>
        <w:keepNext w:val="0"/>
        <w:keepLines w:val="0"/>
        <w:widowControl w:val="0"/>
        <w:spacing w:before="0" w:after="120" w:line="288" w:lineRule="auto"/>
        <w:ind w:firstLine="420"/>
      </w:pPr>
      <w:r>
        <w:rPr>
          <w:rFonts w:ascii="Songti SC" w:hAnsi="Songti SC" w:eastAsia="Songti SC" w:cs="Songti SC"/>
          <w:b w:val="0"/>
          <w:sz w:val="24"/>
        </w:rPr>
        <w:t>两级正常流速均处于0.6～1.0 m/s课程控制区间。25%堵塞时所需水深分别0.917 m和0.953 m，小于1.00 m最大运行水深。液位差达到0.15 m时启动机械清渣；该水深用于短时堵塞校核。</w:t>
      </w:r>
    </w:p>
    <w:p>
      <w:pPr>
        <w:pStyle w:val="Heading2"/>
        <w:keepNext w:val="0"/>
        <w:keepLines w:val="0"/>
      </w:pPr>
      <w:r>
        <w:t>4.3 栅条组合、槽长与水头损失</w:t>
      </w:r>
    </w:p>
    <w:p>
      <w:pPr>
        <w:pStyle w:val="BodyText"/>
        <w:keepNext w:val="0"/>
        <w:keepLines w:val="0"/>
        <w:widowControl w:val="0"/>
        <w:spacing w:before="0" w:after="120" w:line="288" w:lineRule="auto"/>
        <w:ind w:firstLine="420"/>
      </w:pPr>
      <w:r>
        <w:rPr>
          <w:rFonts w:ascii="Songti SC" w:hAnsi="Songti SC" w:eastAsia="Songti SC" w:cs="Songti SC"/>
          <w:b w:val="0"/>
          <w:sz w:val="24"/>
        </w:rPr>
        <w:t>粗格栅采用10 mm栅条，细格栅为控制2.10 m槽宽采用7 mm栅条；迎水与背水半圆矩形栅条形状系数β=1.79，渠道渐变角20°。栅条组合宽度B₀=S(n−1)+bn，余宽用于边框与安装间隙。</w:t>
      </w:r>
    </w:p>
    <w:p>
      <w:pPr>
        <w:keepNext w:val="0"/>
        <w:keepLines w:val="0"/>
        <w:widowControl w:val="0"/>
        <w:spacing w:before="0" w:after="100" w:line="288" w:lineRule="auto"/>
        <w:jc w:val="center"/>
      </w:pPr>
      <m:oMathPara>
        <m:oMath>
          <m:r>
            <m:t>l₁=(B−B₁)/(2tan20°)；l₂=l₁/2；L=l₁+l₂+0.5+1.0+1.10/tan60°</m:t>
          </m:r>
        </m:oMath>
      </m:oMathPara>
    </w:p>
    <w:p>
      <w:pPr>
        <w:keepNext w:val="0"/>
        <w:keepLines w:val="0"/>
        <w:widowControl w:val="0"/>
        <w:spacing w:before="0" w:after="100" w:line="288" w:lineRule="auto"/>
        <w:jc w:val="center"/>
      </w:pPr>
      <m:oMathPara>
        <m:oMath>
          <m:r>
            <m:t>ξ=1.79(S/b)^(4/3)；h₀=ξv²sin60°/(2g)；hd=kh₀</m:t>
          </m:r>
        </m:oMath>
      </m:oMathPara>
    </w:p>
    <w:p>
      <w:pPr>
        <w:keepNext/>
        <w:keepLines w:val="0"/>
        <w:widowControl w:val="0"/>
        <w:spacing w:before="0" w:after="120" w:line="288" w:lineRule="auto"/>
        <w:jc w:val="center"/>
      </w:pPr>
      <w:r>
        <w:rPr>
          <w:rFonts w:ascii="Songti SC" w:hAnsi="Songti SC" w:eastAsia="Songti SC" w:cs="Songti SC"/>
          <w:b w:val="0"/>
          <w:sz w:val="21"/>
        </w:rPr>
        <w:t>表4-2 项目、粗格栅汇总</w:t>
      </w:r>
    </w:p>
    <w:tbl>
      <w:tblPr>
        <w:tblW w:type="auto" w:w="0"/>
        <w:jc w:val="center"/>
        <w:tblLayout w:type="fixed"/>
        <w:tblLook w:firstColumn="1" w:firstRow="1" w:lastColumn="0" w:lastRow="0" w:noHBand="0" w:noVBand="1" w:val="04A0"/>
      </w:tblPr>
      <w:tblGrid>
        <w:gridCol w:w="3081"/>
        <w:gridCol w:w="3081"/>
        <w:gridCol w:w="3081"/>
      </w:tblGrid>
      <w:tr>
        <w:trPr>
          <w:tblHeader w:val="true"/>
          <w:cantSplit/>
        </w:trPr>
        <w:tc>
          <w:tcPr>
            <w:tcW w:type="dxa" w:w="2948"/>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9"/>
              </w:rPr>
              <w:t>项目</w:t>
            </w:r>
          </w:p>
        </w:tc>
        <w:tc>
          <w:tcPr>
            <w:tcW w:type="dxa" w:w="2835"/>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9"/>
              </w:rPr>
              <w:t>粗格栅</w:t>
            </w:r>
          </w:p>
        </w:tc>
        <w:tc>
          <w:tcPr>
            <w:tcW w:type="dxa" w:w="2835"/>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9"/>
              </w:rPr>
              <w:t>细格栅</w:t>
            </w:r>
          </w:p>
        </w:tc>
      </w:tr>
      <w:tr>
        <w:trPr>
          <w:cantSplit/>
        </w:trPr>
        <w:tc>
          <w:tcPr>
            <w:tcW w:type="dxa" w:w="294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9"/>
              </w:rPr>
              <w:t>栅条厚度/组合宽度</w:t>
            </w:r>
          </w:p>
        </w:tc>
        <w:tc>
          <w:tcPr>
            <w:tcW w:type="dxa" w:w="283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10mm / 1.530m</w:t>
            </w:r>
          </w:p>
        </w:tc>
        <w:tc>
          <w:tcPr>
            <w:tcW w:type="dxa" w:w="283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7mm / 2.067m</w:t>
            </w:r>
          </w:p>
        </w:tc>
      </w:tr>
      <w:tr>
        <w:trPr>
          <w:cantSplit/>
        </w:trPr>
        <w:tc>
          <w:tcPr>
            <w:tcW w:type="dxa" w:w="294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9"/>
              </w:rPr>
              <w:t>栅前渠宽/流速</w:t>
            </w:r>
          </w:p>
        </w:tc>
        <w:tc>
          <w:tcPr>
            <w:tcW w:type="dxa" w:w="283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1.50m / 0.677m/s</w:t>
            </w:r>
          </w:p>
        </w:tc>
        <w:tc>
          <w:tcPr>
            <w:tcW w:type="dxa" w:w="283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1.70m / 0.689m/s</w:t>
            </w:r>
          </w:p>
        </w:tc>
      </w:tr>
      <w:tr>
        <w:trPr>
          <w:cantSplit/>
        </w:trPr>
        <w:tc>
          <w:tcPr>
            <w:tcW w:type="dxa" w:w="294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9"/>
              </w:rPr>
              <w:t>渐宽/渐缩段</w:t>
            </w:r>
          </w:p>
        </w:tc>
        <w:tc>
          <w:tcPr>
            <w:tcW w:type="dxa" w:w="283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0.041/0.021m</w:t>
            </w:r>
          </w:p>
        </w:tc>
        <w:tc>
          <w:tcPr>
            <w:tcW w:type="dxa" w:w="283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0.549/0.275m</w:t>
            </w:r>
          </w:p>
        </w:tc>
      </w:tr>
      <w:tr>
        <w:trPr>
          <w:cantSplit/>
        </w:trPr>
        <w:tc>
          <w:tcPr>
            <w:tcW w:type="dxa" w:w="294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9"/>
              </w:rPr>
              <w:t>水力总长</w:t>
            </w:r>
          </w:p>
        </w:tc>
        <w:tc>
          <w:tcPr>
            <w:tcW w:type="dxa" w:w="283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2.20m</w:t>
            </w:r>
          </w:p>
        </w:tc>
        <w:tc>
          <w:tcPr>
            <w:tcW w:type="dxa" w:w="283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2.96m</w:t>
            </w:r>
          </w:p>
        </w:tc>
      </w:tr>
      <w:tr>
        <w:trPr>
          <w:cantSplit/>
        </w:trPr>
        <w:tc>
          <w:tcPr>
            <w:tcW w:type="dxa" w:w="294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9"/>
              </w:rPr>
              <w:t>清洁水头损失</w:t>
            </w:r>
          </w:p>
        </w:tc>
        <w:tc>
          <w:tcPr>
            <w:tcW w:type="dxa" w:w="283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0.017m</w:t>
            </w:r>
          </w:p>
        </w:tc>
        <w:tc>
          <w:tcPr>
            <w:tcW w:type="dxa" w:w="283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0.039m</w:t>
            </w:r>
          </w:p>
        </w:tc>
      </w:tr>
      <w:tr>
        <w:trPr>
          <w:cantSplit/>
        </w:trPr>
        <w:tc>
          <w:tcPr>
            <w:tcW w:type="dxa" w:w="294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9"/>
              </w:rPr>
              <w:t>堵塞系数/设计损失</w:t>
            </w:r>
          </w:p>
        </w:tc>
        <w:tc>
          <w:tcPr>
            <w:tcW w:type="dxa" w:w="283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3 / 0.052m</w:t>
            </w:r>
          </w:p>
        </w:tc>
        <w:tc>
          <w:tcPr>
            <w:tcW w:type="dxa" w:w="283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2 / 0.078m</w:t>
            </w:r>
          </w:p>
        </w:tc>
      </w:tr>
    </w:tbl>
    <w:p>
      <w:pPr>
        <w:spacing w:after="20"/>
      </w:pPr>
    </w:p>
    <w:p>
      <w:pPr>
        <w:pStyle w:val="BodyText"/>
        <w:keepNext w:val="0"/>
        <w:keepLines w:val="0"/>
        <w:widowControl w:val="0"/>
        <w:spacing w:before="0" w:after="120" w:line="288" w:lineRule="auto"/>
        <w:ind w:firstLine="420"/>
      </w:pPr>
      <w:r>
        <w:rPr>
          <w:rFonts w:ascii="Songti SC" w:hAnsi="Songti SC" w:eastAsia="Songti SC" w:cs="Songti SC"/>
          <w:b w:val="0"/>
          <w:sz w:val="24"/>
        </w:rPr>
        <w:t>细格栅设计损失0.078 m，小于高程段采用的0.150 m，剩余0.072 m用于设备和局部构造；因此0.15 m是有计算支撑的段落差，不是把预留直接当实算损失。渠壁自渠底高1.50 m，最大运行水深1.00 m时仍满足工作平台高出最高设计水位0.50 m。</w:t>
      </w:r>
    </w:p>
    <w:p>
      <w:pPr>
        <w:pStyle w:val="Heading2"/>
        <w:keepNext w:val="0"/>
        <w:keepLines w:val="0"/>
      </w:pPr>
      <w:r>
        <w:t>4.4 栅渣量与设备接口</w:t>
      </w:r>
    </w:p>
    <w:p>
      <w:pPr>
        <w:keepNext w:val="0"/>
        <w:keepLines w:val="0"/>
        <w:widowControl w:val="0"/>
        <w:spacing w:before="0" w:after="100" w:line="288" w:lineRule="auto"/>
        <w:jc w:val="center"/>
      </w:pPr>
      <m:oMathPara>
        <m:oMath>
          <m:r>
            <m:t>Wc=108000×0.05/1000=5.4 m³/d</m:t>
          </m:r>
        </m:oMath>
      </m:oMathPara>
    </w:p>
    <w:p>
      <w:pPr>
        <w:pStyle w:val="BodyText"/>
        <w:keepNext w:val="0"/>
        <w:keepLines w:val="0"/>
        <w:widowControl w:val="0"/>
        <w:spacing w:before="0" w:after="120" w:line="288" w:lineRule="auto"/>
        <w:ind w:firstLine="420"/>
      </w:pPr>
      <w:r>
        <w:rPr>
          <w:rFonts w:ascii="Songti SC" w:hAnsi="Songti SC" w:eastAsia="Songti SC" w:cs="Songti SC"/>
          <w:b w:val="0"/>
          <w:sz w:val="24"/>
        </w:rPr>
        <w:t>25 mm粗格栅湿栅渣按0.05 m³/10³m³取5.4 m³/d；10 mm细格栅在粗格栅后的增量缺少实测，暂按同值作设备上界。两级合计10.8 m³/d；按湿密度960 kg/m³约10.4 t/d，不是干固体量。两级各设2台机械格栅，配密闭输送压榨；细格栅单台水力能力不小于0.9375 m³/s，具体型号、功率和压榨减容率由厂家数据确定。</w:t>
      </w:r>
    </w:p>
    <w:p>
      <w:pPr>
        <w:pStyle w:val="Heading1"/>
        <w:keepNext w:val="0"/>
        <w:keepLines w:val="0"/>
      </w:pPr>
      <w:r>
        <w:t>5 进水井与提升泵</w:t>
      </w:r>
    </w:p>
    <w:p>
      <w:pPr>
        <w:pStyle w:val="Heading2"/>
        <w:keepNext w:val="0"/>
        <w:keepLines w:val="0"/>
      </w:pPr>
      <w:r>
        <w:t>5.1 双格容积和检修运行</w:t>
      </w:r>
    </w:p>
    <w:p>
      <w:pPr>
        <w:pStyle w:val="BodyText"/>
        <w:keepNext w:val="0"/>
        <w:keepLines w:val="0"/>
        <w:widowControl w:val="0"/>
        <w:spacing w:before="0" w:after="120" w:line="288" w:lineRule="auto"/>
        <w:ind w:firstLine="420"/>
      </w:pPr>
      <w:r>
        <w:rPr>
          <w:rFonts w:ascii="Songti SC" w:hAnsi="Songti SC" w:eastAsia="Songti SC" w:cs="Songti SC"/>
          <w:b w:val="0"/>
          <w:sz w:val="24"/>
        </w:rPr>
        <w:t>设置两座可独立隔离的湿井单元，每格平面16 m×10 m、调节水深1.20 m、有效容积192 m³。每格布置2个泵位，全厂4台同型变频潜污泵，3用1备、交替轮值。GB 50014—2021第6.3.1条要求集水池有效容积不小于最大一台泵5 min出水量，并要求自动控制时每小时启动次数不超过6次。</w:t>
      </w:r>
    </w:p>
    <w:p>
      <w:pPr>
        <w:keepNext w:val="0"/>
        <w:keepLines w:val="0"/>
        <w:widowControl w:val="0"/>
        <w:spacing w:before="0" w:after="100" w:line="288" w:lineRule="auto"/>
        <w:jc w:val="center"/>
      </w:pPr>
      <m:oMathPara>
        <m:oMath>
          <m:r>
            <m:t>Vmin=0.625×5×60=187.5 m³</m:t>
          </m:r>
        </m:oMath>
      </m:oMathPara>
    </w:p>
    <w:p>
      <w:pPr>
        <w:keepNext w:val="0"/>
        <w:keepLines w:val="0"/>
        <w:widowControl w:val="0"/>
        <w:spacing w:before="0" w:after="100" w:line="288" w:lineRule="auto"/>
        <w:jc w:val="center"/>
      </w:pPr>
      <m:oMathPara>
        <m:oMath>
          <m:r>
            <m:t>Vcell=16×10×1.20=192 m³&gt;187.5 m³</m:t>
          </m:r>
        </m:oMath>
      </m:oMathPara>
    </w:p>
    <w:p>
      <w:pPr>
        <w:keepNext/>
        <w:keepLines w:val="0"/>
        <w:jc w:val="center"/>
      </w:pPr>
      <w:r>
        <w:drawing>
          <wp:inline xmlns:a="http://schemas.openxmlformats.org/drawingml/2006/main" xmlns:pic="http://schemas.openxmlformats.org/drawingml/2006/picture">
            <wp:extent cx="5715000" cy="2857500"/>
            <wp:docPr id="3" name="Picture 3"/>
            <wp:cNvGraphicFramePr>
              <a:graphicFrameLocks noChangeAspect="1"/>
            </wp:cNvGraphicFramePr>
            <a:graphic>
              <a:graphicData uri="http://schemas.openxmlformats.org/drawingml/2006/picture">
                <pic:pic>
                  <pic:nvPicPr>
                    <pic:cNvPr id="0" name="03_wet_well.png"/>
                    <pic:cNvPicPr/>
                  </pic:nvPicPr>
                  <pic:blipFill>
                    <a:blip r:embed="rId12"/>
                    <a:stretch>
                      <a:fillRect/>
                    </a:stretch>
                  </pic:blipFill>
                  <pic:spPr>
                    <a:xfrm>
                      <a:off x="0" y="0"/>
                      <a:ext cx="5715000" cy="2857500"/>
                    </a:xfrm>
                    <a:prstGeom prst="rect"/>
                  </pic:spPr>
                </pic:pic>
              </a:graphicData>
            </a:graphic>
          </wp:inline>
        </w:drawing>
      </w:r>
    </w:p>
    <w:p>
      <w:pPr>
        <w:keepNext w:val="0"/>
        <w:keepLines w:val="0"/>
        <w:widowControl w:val="0"/>
        <w:spacing w:before="0" w:after="120" w:line="288" w:lineRule="auto"/>
        <w:jc w:val="center"/>
      </w:pPr>
      <w:r>
        <w:rPr>
          <w:rFonts w:ascii="Songti SC" w:hAnsi="Songti SC" w:eastAsia="Songti SC" w:cs="Songti SC"/>
          <w:b w:val="0"/>
          <w:sz w:val="21"/>
        </w:rPr>
        <w:t>图5-1 双格进水井与四泵位计算草图</w:t>
      </w:r>
    </w:p>
    <w:p>
      <w:pPr>
        <w:pStyle w:val="BodyText"/>
        <w:keepNext w:val="0"/>
        <w:keepLines w:val="0"/>
        <w:widowControl w:val="0"/>
        <w:spacing w:before="0" w:after="120" w:line="288" w:lineRule="auto"/>
        <w:ind w:firstLine="420"/>
      </w:pPr>
      <w:r>
        <w:rPr>
          <w:rFonts w:ascii="Songti SC" w:hAnsi="Songti SC" w:eastAsia="Songti SC" w:cs="Songti SC"/>
          <w:b w:val="0"/>
          <w:sz w:val="24"/>
        </w:rPr>
        <w:t>任一格停运时，另一格2台泵最大输送1.25 m³/s，计划检修窗口限定在不高于平均流量的时段；高水量期保持双格运行。设计最低水位EL22.60 m满足吸水、淹没和防涡的最终条件仍由厂家安装图核定，泵坑局部底为EL19.80 m。</w:t>
      </w:r>
    </w:p>
    <w:p>
      <w:pPr>
        <w:pStyle w:val="Heading2"/>
        <w:keepNext w:val="0"/>
        <w:keepLines w:val="0"/>
      </w:pPr>
      <w:r>
        <w:t>5.2 扬程和功率</w:t>
      </w:r>
    </w:p>
    <w:p>
      <w:pPr>
        <w:pStyle w:val="BodyText"/>
        <w:keepNext w:val="0"/>
        <w:keepLines w:val="0"/>
        <w:widowControl w:val="0"/>
        <w:spacing w:before="0" w:after="120" w:line="288" w:lineRule="auto"/>
        <w:ind w:firstLine="420"/>
      </w:pPr>
      <w:r>
        <w:rPr>
          <w:rFonts w:ascii="Songti SC" w:hAnsi="Songti SC" w:eastAsia="Songti SC" w:cs="Songti SC"/>
          <w:b w:val="0"/>
          <w:sz w:val="24"/>
        </w:rPr>
        <w:t>单泵额定Qp=0.625 m³/s。DN900内部支管12 m、λ=0.020、Σζ=4.3；泵至细格栅DN1000按单线泵组合0.9375 m³/s复算。两段损失分别0.2247 m和0.196 m，按最低湿井水位和0.80 m未细化余量：</w:t>
      </w:r>
    </w:p>
    <w:p>
      <w:pPr>
        <w:keepNext w:val="0"/>
        <w:keepLines w:val="0"/>
        <w:widowControl w:val="0"/>
        <w:spacing w:before="0" w:after="100" w:line="288" w:lineRule="auto"/>
        <w:jc w:val="center"/>
      </w:pPr>
      <m:oMathPara>
        <m:oMath>
          <m:r>
            <m:t>Hreq=34.30−22.60+0.225+0.196+0.80=12.921 m</m:t>
          </m:r>
        </m:oMath>
      </m:oMathPara>
    </w:p>
    <w:p>
      <w:pPr>
        <w:keepNext w:val="0"/>
        <w:keepLines w:val="0"/>
        <w:widowControl w:val="0"/>
        <w:spacing w:before="0" w:after="100" w:line="288" w:lineRule="auto"/>
        <w:jc w:val="center"/>
      </w:pPr>
      <m:oMathPara>
        <m:oMath>
          <m:r>
            <m:t>P=ρgQH/(ηpηm)=1000×9.81×0.625×13/(0.82×0.95)=102.32 kW</m:t>
          </m:r>
        </m:oMath>
      </m:oMathPara>
    </w:p>
    <w:p>
      <w:pPr>
        <w:pStyle w:val="BodyText"/>
        <w:keepNext w:val="0"/>
        <w:keepLines w:val="0"/>
        <w:widowControl w:val="0"/>
        <w:spacing w:before="0" w:after="120" w:line="288" w:lineRule="auto"/>
        <w:ind w:firstLine="420"/>
      </w:pPr>
      <w:r>
        <w:rPr>
          <w:rFonts w:ascii="Songti SC" w:hAnsi="Songti SC" w:eastAsia="Songti SC" w:cs="Songti SC"/>
          <w:b w:val="0"/>
          <w:sz w:val="24"/>
        </w:rPr>
        <w:t>取额定扬程13.0 m，计算输入功率102.32 kW；加10%为112.55 kW，初选132 kW电机。3台满额组合6750 m³/h高于工艺峰值，因此正常由变频协调至5850 m³/h；相连管渠和配水仍按名义最大组合校核。最终效率、NPSH、轴功率和叶轮曲线须由厂家确认。</w:t>
      </w:r>
    </w:p>
    <w:p>
      <w:pPr>
        <w:keepNext/>
        <w:keepLines w:val="0"/>
        <w:widowControl w:val="0"/>
        <w:spacing w:before="0" w:after="120" w:line="288" w:lineRule="auto"/>
        <w:jc w:val="center"/>
      </w:pPr>
      <w:r>
        <w:rPr>
          <w:rFonts w:ascii="Songti SC" w:hAnsi="Songti SC" w:eastAsia="Songti SC" w:cs="Songti SC"/>
          <w:b w:val="0"/>
          <w:sz w:val="21"/>
        </w:rPr>
        <w:t>表5-1 提升泵扬程组成与设备配置</w:t>
      </w:r>
    </w:p>
    <w:tbl>
      <w:tblPr>
        <w:tblW w:type="auto" w:w="0"/>
        <w:jc w:val="center"/>
        <w:tblLayout w:type="fixed"/>
        <w:tblLook w:firstColumn="1" w:firstRow="1" w:lastColumn="0" w:lastRow="0" w:noHBand="0" w:noVBand="1" w:val="04A0"/>
      </w:tblPr>
      <w:tblGrid>
        <w:gridCol w:w="3081"/>
        <w:gridCol w:w="3081"/>
        <w:gridCol w:w="3081"/>
      </w:tblGrid>
      <w:tr>
        <w:trPr>
          <w:tblHeader w:val="true"/>
          <w:cantSplit/>
        </w:trPr>
        <w:tc>
          <w:tcPr>
            <w:tcW w:type="dxa" w:w="2268"/>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项目</w:t>
            </w:r>
          </w:p>
        </w:tc>
        <w:tc>
          <w:tcPr>
            <w:tcW w:type="dxa" w:w="2381"/>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计算或采用值</w:t>
            </w:r>
          </w:p>
        </w:tc>
        <w:tc>
          <w:tcPr>
            <w:tcW w:type="dxa" w:w="3969"/>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说明</w:t>
            </w:r>
          </w:p>
        </w:tc>
      </w:tr>
      <w:tr>
        <w:trPr>
          <w:cantSplit/>
        </w:trPr>
        <w:tc>
          <w:tcPr>
            <w:tcW w:type="dxa" w:w="226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单泵流量</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2250 m³/h</w:t>
            </w:r>
          </w:p>
        </w:tc>
        <w:tc>
          <w:tcPr>
            <w:tcW w:type="dxa" w:w="3969"/>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4台同型泵，全厂3用1备</w:t>
            </w:r>
          </w:p>
        </w:tc>
      </w:tr>
      <w:tr>
        <w:trPr>
          <w:cantSplit/>
        </w:trPr>
        <w:tc>
          <w:tcPr>
            <w:tcW w:type="dxa" w:w="226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静水位差</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11.700 m</w:t>
            </w:r>
          </w:p>
        </w:tc>
        <w:tc>
          <w:tcPr>
            <w:tcW w:type="dxa" w:w="3969"/>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细格栅前EL34.30减湿井最低EL22.60</w:t>
            </w:r>
          </w:p>
        </w:tc>
      </w:tr>
      <w:tr>
        <w:trPr>
          <w:cantSplit/>
        </w:trPr>
        <w:tc>
          <w:tcPr>
            <w:tcW w:type="dxa" w:w="226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两段管损</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0.225+0.196 m</w:t>
            </w:r>
          </w:p>
        </w:tc>
        <w:tc>
          <w:tcPr>
            <w:tcW w:type="dxa" w:w="3969"/>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DN900内部支管与DN1000泵后管</w:t>
            </w:r>
          </w:p>
        </w:tc>
      </w:tr>
      <w:tr>
        <w:trPr>
          <w:cantSplit/>
        </w:trPr>
        <w:tc>
          <w:tcPr>
            <w:tcW w:type="dxa" w:w="226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未细化余量</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0.800 m</w:t>
            </w:r>
          </w:p>
        </w:tc>
        <w:tc>
          <w:tcPr>
            <w:tcW w:type="dxa" w:w="3969"/>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阀件、渐变及设备接口</w:t>
            </w:r>
          </w:p>
        </w:tc>
      </w:tr>
      <w:tr>
        <w:trPr>
          <w:cantSplit/>
        </w:trPr>
        <w:tc>
          <w:tcPr>
            <w:tcW w:type="dxa" w:w="226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计算/采用扬程</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12.921/13.000 m</w:t>
            </w:r>
          </w:p>
        </w:tc>
        <w:tc>
          <w:tcPr>
            <w:tcW w:type="dxa" w:w="3969"/>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按采用扬程核功率</w:t>
            </w:r>
          </w:p>
        </w:tc>
      </w:tr>
      <w:tr>
        <w:trPr>
          <w:cantSplit/>
        </w:trPr>
        <w:tc>
          <w:tcPr>
            <w:tcW w:type="dxa" w:w="226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计算/采用电机</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112.55/132 kW</w:t>
            </w:r>
          </w:p>
        </w:tc>
        <w:tc>
          <w:tcPr>
            <w:tcW w:type="dxa" w:w="3969"/>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最终按厂家曲线核定</w:t>
            </w:r>
          </w:p>
        </w:tc>
      </w:tr>
    </w:tbl>
    <w:p>
      <w:pPr>
        <w:spacing w:after="20"/>
      </w:pPr>
    </w:p>
    <w:p>
      <w:pPr>
        <w:pStyle w:val="Heading1"/>
        <w:keepNext w:val="0"/>
        <w:keepLines w:val="0"/>
      </w:pPr>
      <w:r>
        <w:t>6 曝气沉砂池</w:t>
      </w:r>
    </w:p>
    <w:p>
      <w:pPr>
        <w:pStyle w:val="Heading2"/>
        <w:keepNext w:val="0"/>
        <w:keepLines w:val="0"/>
      </w:pPr>
      <w:r>
        <w:t>6.1 池体尺寸</w:t>
      </w:r>
    </w:p>
    <w:p>
      <w:pPr>
        <w:pStyle w:val="BodyText"/>
        <w:keepNext w:val="0"/>
        <w:keepLines w:val="0"/>
        <w:widowControl w:val="0"/>
        <w:spacing w:before="0" w:after="120" w:line="288" w:lineRule="auto"/>
        <w:ind w:firstLine="420"/>
      </w:pPr>
      <w:r>
        <w:rPr>
          <w:rFonts w:ascii="Songti SC" w:hAnsi="Songti SC" w:eastAsia="Songti SC" w:cs="Songti SC"/>
          <w:b w:val="0"/>
          <w:sz w:val="24"/>
        </w:rPr>
        <w:t>采用2座矩形曝气沉砂池，每座按课程峰值的一半Q=0.8125 m³/s作工艺校核；提升后相连渠道另按0.9375 m³/s校核过水能力。单池L=30.0 m、B=3.30 m、有效水深h=2.50 m，V=247.5 m³。GB 50014—2021第7.4.3条的准确措辞为水平流速不宜大于0.1 m/s、停留时间宜大于5 min；水深2～3 m，宽深比1～1.5，线供气量5～12 L/(m·s)。</w:t>
      </w:r>
    </w:p>
    <w:p>
      <w:pPr>
        <w:keepNext w:val="0"/>
        <w:keepLines w:val="0"/>
        <w:widowControl w:val="0"/>
        <w:spacing w:before="0" w:after="100" w:line="288" w:lineRule="auto"/>
        <w:jc w:val="center"/>
      </w:pPr>
      <m:oMathPara>
        <m:oMath>
          <m:r>
            <m:t>v=Q/(Bh)=0.8125/(3.30×2.50)=0.0985 m/s</m:t>
          </m:r>
        </m:oMath>
      </m:oMathPara>
    </w:p>
    <w:p>
      <w:pPr>
        <w:keepNext w:val="0"/>
        <w:keepLines w:val="0"/>
        <w:widowControl w:val="0"/>
        <w:spacing w:before="0" w:after="100" w:line="288" w:lineRule="auto"/>
        <w:jc w:val="center"/>
      </w:pPr>
      <m:oMathPara>
        <m:oMath>
          <m:r>
            <m:t>t=V/Q/60=247.5/0.8125/60=5.077 min&gt;5 min</m:t>
          </m:r>
        </m:oMath>
      </m:oMathPara>
    </w:p>
    <w:p>
      <w:pPr>
        <w:keepNext/>
        <w:keepLines w:val="0"/>
        <w:jc w:val="center"/>
      </w:pPr>
      <w:r>
        <w:drawing>
          <wp:inline xmlns:a="http://schemas.openxmlformats.org/drawingml/2006/main" xmlns:pic="http://schemas.openxmlformats.org/drawingml/2006/picture">
            <wp:extent cx="5715000" cy="2857500"/>
            <wp:docPr id="4" name="Picture 4"/>
            <wp:cNvGraphicFramePr>
              <a:graphicFrameLocks noChangeAspect="1"/>
            </wp:cNvGraphicFramePr>
            <a:graphic>
              <a:graphicData uri="http://schemas.openxmlformats.org/drawingml/2006/picture">
                <pic:pic>
                  <pic:nvPicPr>
                    <pic:cNvPr id="0" name="04_grit.png"/>
                    <pic:cNvPicPr/>
                  </pic:nvPicPr>
                  <pic:blipFill>
                    <a:blip r:embed="rId13"/>
                    <a:stretch>
                      <a:fillRect/>
                    </a:stretch>
                  </pic:blipFill>
                  <pic:spPr>
                    <a:xfrm>
                      <a:off x="0" y="0"/>
                      <a:ext cx="5715000" cy="2857500"/>
                    </a:xfrm>
                    <a:prstGeom prst="rect"/>
                  </pic:spPr>
                </pic:pic>
              </a:graphicData>
            </a:graphic>
          </wp:inline>
        </w:drawing>
      </w:r>
    </w:p>
    <w:p>
      <w:pPr>
        <w:keepNext w:val="0"/>
        <w:keepLines w:val="0"/>
        <w:widowControl w:val="0"/>
        <w:spacing w:before="0" w:after="120" w:line="288" w:lineRule="auto"/>
        <w:jc w:val="center"/>
      </w:pPr>
      <w:r>
        <w:rPr>
          <w:rFonts w:ascii="Songti SC" w:hAnsi="Songti SC" w:eastAsia="Songti SC" w:cs="Songti SC"/>
          <w:b w:val="0"/>
          <w:sz w:val="21"/>
        </w:rPr>
        <w:t>图6-1 曝气沉砂池计算草图</w:t>
      </w:r>
    </w:p>
    <w:p>
      <w:pPr>
        <w:pStyle w:val="Heading2"/>
        <w:keepNext w:val="0"/>
        <w:keepLines w:val="0"/>
      </w:pPr>
      <w:r>
        <w:t>6.2 供气与储砂</w:t>
      </w:r>
    </w:p>
    <w:p>
      <w:pPr>
        <w:keepNext w:val="0"/>
        <w:keepLines w:val="0"/>
        <w:widowControl w:val="0"/>
        <w:spacing w:before="0" w:after="100" w:line="288" w:lineRule="auto"/>
        <w:jc w:val="center"/>
      </w:pPr>
      <m:oMathPara>
        <m:oMath>
          <m:r>
            <m:t>Gair=6×30×3.6=648 m³/h·池；两池1296 m³/h</m:t>
          </m:r>
        </m:oMath>
      </m:oMathPara>
    </w:p>
    <w:p>
      <w:pPr>
        <w:pStyle w:val="BodyText"/>
        <w:keepNext w:val="0"/>
        <w:keepLines w:val="0"/>
        <w:widowControl w:val="0"/>
        <w:spacing w:before="0" w:after="120" w:line="288" w:lineRule="auto"/>
        <w:ind w:firstLine="420"/>
      </w:pPr>
      <w:r>
        <w:rPr>
          <w:rFonts w:ascii="Songti SC" w:hAnsi="Songti SC" w:eastAsia="Songti SC" w:cs="Songti SC"/>
          <w:b w:val="0"/>
          <w:sz w:val="24"/>
        </w:rPr>
        <w:t>按0.03 m³砂/1000 m³污水的课程取值，平均每池砂量1.62 m³/d，两日为3.24 m³。截头方锥砂斗几何容积3.26 m³，其中有效工作容积控制为3.20 m³，余量作为顶部留空。GB 50014—2021第7.4.6条规定储砂量不应大于2 d砂量；本设计采用每日排砂，有效工作容积对应1.98 d。砂斗斜面角约61.9°。</w:t>
      </w:r>
    </w:p>
    <w:p>
      <w:pPr>
        <w:keepNext/>
        <w:keepLines w:val="0"/>
        <w:widowControl w:val="0"/>
        <w:spacing w:before="0" w:after="120" w:line="288" w:lineRule="auto"/>
        <w:jc w:val="center"/>
      </w:pPr>
      <w:r>
        <w:rPr>
          <w:rFonts w:ascii="Songti SC" w:hAnsi="Songti SC" w:eastAsia="Songti SC" w:cs="Songti SC"/>
          <w:b w:val="0"/>
          <w:sz w:val="21"/>
        </w:rPr>
        <w:t>表6-1 校核项、计算值汇总</w:t>
      </w:r>
    </w:p>
    <w:tbl>
      <w:tblPr>
        <w:tblW w:type="auto" w:w="0"/>
        <w:jc w:val="center"/>
        <w:tblLayout w:type="fixed"/>
        <w:tblLook w:firstColumn="1" w:firstRow="1" w:lastColumn="0" w:lastRow="0" w:noHBand="0" w:noVBand="1" w:val="04A0"/>
      </w:tblPr>
      <w:tblGrid>
        <w:gridCol w:w="3081"/>
        <w:gridCol w:w="3081"/>
        <w:gridCol w:w="3081"/>
      </w:tblGrid>
      <w:tr>
        <w:trPr>
          <w:tblHeader w:val="true"/>
          <w:cantSplit/>
        </w:trPr>
        <w:tc>
          <w:tcPr>
            <w:tcW w:type="dxa" w:w="2665"/>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校核项</w:t>
            </w:r>
          </w:p>
        </w:tc>
        <w:tc>
          <w:tcPr>
            <w:tcW w:type="dxa" w:w="3005"/>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计算值</w:t>
            </w:r>
          </w:p>
        </w:tc>
        <w:tc>
          <w:tcPr>
            <w:tcW w:type="dxa" w:w="2948"/>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结论</w:t>
            </w:r>
          </w:p>
        </w:tc>
      </w:tr>
      <w:tr>
        <w:trPr>
          <w:cantSplit/>
        </w:trPr>
        <w:tc>
          <w:tcPr>
            <w:tcW w:type="dxa" w:w="266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水平流速</w:t>
            </w:r>
          </w:p>
        </w:tc>
        <w:tc>
          <w:tcPr>
            <w:tcW w:type="dxa" w:w="300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0.0985 m/s</w:t>
            </w:r>
          </w:p>
        </w:tc>
        <w:tc>
          <w:tcPr>
            <w:tcW w:type="dxa" w:w="294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≤0.1 m/s</w:t>
            </w:r>
          </w:p>
        </w:tc>
      </w:tr>
      <w:tr>
        <w:trPr>
          <w:cantSplit/>
        </w:trPr>
        <w:tc>
          <w:tcPr>
            <w:tcW w:type="dxa" w:w="266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停留时间</w:t>
            </w:r>
          </w:p>
        </w:tc>
        <w:tc>
          <w:tcPr>
            <w:tcW w:type="dxa" w:w="300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5.077 min</w:t>
            </w:r>
          </w:p>
        </w:tc>
        <w:tc>
          <w:tcPr>
            <w:tcW w:type="dxa" w:w="294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&gt;5 min</w:t>
            </w:r>
          </w:p>
        </w:tc>
      </w:tr>
      <w:tr>
        <w:trPr>
          <w:cantSplit/>
        </w:trPr>
        <w:tc>
          <w:tcPr>
            <w:tcW w:type="dxa" w:w="266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宽深比</w:t>
            </w:r>
          </w:p>
        </w:tc>
        <w:tc>
          <w:tcPr>
            <w:tcW w:type="dxa" w:w="300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1.32</w:t>
            </w:r>
          </w:p>
        </w:tc>
        <w:tc>
          <w:tcPr>
            <w:tcW w:type="dxa" w:w="294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在1～1.5附近，课程采用</w:t>
            </w:r>
          </w:p>
        </w:tc>
      </w:tr>
      <w:tr>
        <w:trPr>
          <w:cantSplit/>
        </w:trPr>
        <w:tc>
          <w:tcPr>
            <w:tcW w:type="dxa" w:w="266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有效储砂</w:t>
            </w:r>
          </w:p>
        </w:tc>
        <w:tc>
          <w:tcPr>
            <w:tcW w:type="dxa" w:w="300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3.20/3.24 m³</w:t>
            </w:r>
          </w:p>
        </w:tc>
        <w:tc>
          <w:tcPr>
            <w:tcW w:type="dxa" w:w="294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不超过2日</w:t>
            </w:r>
          </w:p>
        </w:tc>
      </w:tr>
    </w:tbl>
    <w:p>
      <w:pPr>
        <w:spacing w:after="20"/>
      </w:pPr>
    </w:p>
    <w:p>
      <w:pPr>
        <w:pStyle w:val="Heading1"/>
        <w:keepNext w:val="0"/>
        <w:keepLines w:val="0"/>
      </w:pPr>
      <w:r>
        <w:t>7 初次沉淀池</w:t>
      </w:r>
    </w:p>
    <w:p>
      <w:pPr>
        <w:pStyle w:val="Heading2"/>
        <w:keepNext w:val="0"/>
        <w:keepLines w:val="0"/>
      </w:pPr>
      <w:r>
        <w:t>7.1 池数、面积与沉淀时间</w:t>
      </w:r>
    </w:p>
    <w:p>
      <w:pPr>
        <w:pStyle w:val="BodyText"/>
        <w:keepNext w:val="0"/>
        <w:keepLines w:val="0"/>
        <w:widowControl w:val="0"/>
        <w:spacing w:before="0" w:after="120" w:line="288" w:lineRule="auto"/>
        <w:ind w:firstLine="420"/>
      </w:pPr>
      <w:r>
        <w:rPr>
          <w:rFonts w:ascii="Songti SC" w:hAnsi="Songti SC" w:eastAsia="Songti SC" w:cs="Songti SC"/>
          <w:b w:val="0"/>
          <w:sz w:val="24"/>
        </w:rPr>
        <w:t>采用4座辐流式初沉池，净径31.0 m，中心井直径4.5 m，沉淀区有效水深3.0 m。净面积扣除中心井：</w:t>
      </w:r>
    </w:p>
    <w:p>
      <w:pPr>
        <w:keepNext w:val="0"/>
        <w:keepLines w:val="0"/>
        <w:widowControl w:val="0"/>
        <w:spacing w:before="0" w:after="100" w:line="288" w:lineRule="auto"/>
        <w:jc w:val="center"/>
      </w:pPr>
      <m:oMathPara>
        <m:oMath>
          <m:r>
            <m:t>A=4×π(31²−4.5²)/4=2955.45 m²</m:t>
          </m:r>
        </m:oMath>
      </m:oMathPara>
    </w:p>
    <w:p>
      <w:pPr>
        <w:keepNext/>
        <w:keepLines w:val="0"/>
        <w:widowControl w:val="0"/>
        <w:spacing w:before="0" w:after="120" w:line="288" w:lineRule="auto"/>
        <w:jc w:val="center"/>
      </w:pPr>
      <w:r>
        <w:rPr>
          <w:rFonts w:ascii="Songti SC" w:hAnsi="Songti SC" w:eastAsia="Songti SC" w:cs="Songti SC"/>
          <w:b w:val="0"/>
          <w:sz w:val="21"/>
        </w:rPr>
        <w:t>表7-1 工况、表面负荷 m³/(m²·h)汇总</w:t>
      </w:r>
    </w:p>
    <w:tbl>
      <w:tblPr>
        <w:tblW w:type="auto" w:w="0"/>
        <w:jc w:val="center"/>
        <w:tblLayout w:type="fixed"/>
        <w:tblLook w:firstColumn="1" w:firstRow="1" w:lastColumn="0" w:lastRow="0" w:noHBand="0" w:noVBand="1" w:val="04A0"/>
      </w:tblPr>
      <w:tblGrid>
        <w:gridCol w:w="2310"/>
        <w:gridCol w:w="2310"/>
        <w:gridCol w:w="2310"/>
        <w:gridCol w:w="2310"/>
      </w:tblGrid>
      <w:tr>
        <w:trPr>
          <w:tblHeader w:val="true"/>
          <w:cantSplit/>
        </w:trPr>
        <w:tc>
          <w:tcPr>
            <w:tcW w:type="dxa" w:w="2098"/>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工况</w:t>
            </w:r>
          </w:p>
        </w:tc>
        <w:tc>
          <w:tcPr>
            <w:tcW w:type="dxa" w:w="2381"/>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表面负荷 m³/(m²·h)</w:t>
            </w:r>
          </w:p>
        </w:tc>
        <w:tc>
          <w:tcPr>
            <w:tcW w:type="dxa" w:w="1928"/>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沉淀时间 h</w:t>
            </w:r>
          </w:p>
        </w:tc>
        <w:tc>
          <w:tcPr>
            <w:tcW w:type="dxa" w:w="2268"/>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说明</w:t>
            </w:r>
          </w:p>
        </w:tc>
      </w:tr>
      <w:tr>
        <w:trPr>
          <w:cantSplit/>
        </w:trPr>
        <w:tc>
          <w:tcPr>
            <w:tcW w:type="dxa" w:w="209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平均4500 m³/h</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1.523</w:t>
            </w:r>
          </w:p>
        </w:tc>
        <w:tc>
          <w:tcPr>
            <w:tcW w:type="dxa" w:w="192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1.970</w:t>
            </w:r>
          </w:p>
        </w:tc>
        <w:tc>
          <w:tcPr>
            <w:tcW w:type="dxa" w:w="226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运行参考</w:t>
            </w:r>
          </w:p>
        </w:tc>
      </w:tr>
      <w:tr>
        <w:trPr>
          <w:cantSplit/>
        </w:trPr>
        <w:tc>
          <w:tcPr>
            <w:tcW w:type="dxa" w:w="209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课程峰值5850 m³/h</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1.979</w:t>
            </w:r>
          </w:p>
        </w:tc>
        <w:tc>
          <w:tcPr>
            <w:tcW w:type="dxa" w:w="192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1.516</w:t>
            </w:r>
          </w:p>
        </w:tc>
        <w:tc>
          <w:tcPr>
            <w:tcW w:type="dxa" w:w="226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工艺主算</w:t>
            </w:r>
          </w:p>
        </w:tc>
      </w:tr>
      <w:tr>
        <w:trPr>
          <w:cantSplit/>
        </w:trPr>
        <w:tc>
          <w:tcPr>
            <w:tcW w:type="dxa" w:w="209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泵组合6750 m³/h</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2.284</w:t>
            </w:r>
          </w:p>
        </w:tc>
        <w:tc>
          <w:tcPr>
            <w:tcW w:type="dxa" w:w="192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1.314</w:t>
            </w:r>
          </w:p>
        </w:tc>
        <w:tc>
          <w:tcPr>
            <w:tcW w:type="dxa" w:w="226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配水短时能力</w:t>
            </w:r>
          </w:p>
        </w:tc>
      </w:tr>
    </w:tbl>
    <w:p>
      <w:pPr>
        <w:spacing w:after="20"/>
      </w:pPr>
    </w:p>
    <w:p>
      <w:pPr>
        <w:keepNext/>
        <w:keepLines w:val="0"/>
        <w:jc w:val="center"/>
      </w:pPr>
      <w:r>
        <w:drawing>
          <wp:inline xmlns:a="http://schemas.openxmlformats.org/drawingml/2006/main" xmlns:pic="http://schemas.openxmlformats.org/drawingml/2006/picture">
            <wp:extent cx="5715000" cy="2857500"/>
            <wp:docPr id="5" name="Picture 5"/>
            <wp:cNvGraphicFramePr>
              <a:graphicFrameLocks noChangeAspect="1"/>
            </wp:cNvGraphicFramePr>
            <a:graphic>
              <a:graphicData uri="http://schemas.openxmlformats.org/drawingml/2006/picture">
                <pic:pic>
                  <pic:nvPicPr>
                    <pic:cNvPr id="0" name="05_primary.png"/>
                    <pic:cNvPicPr/>
                  </pic:nvPicPr>
                  <pic:blipFill>
                    <a:blip r:embed="rId14"/>
                    <a:stretch>
                      <a:fillRect/>
                    </a:stretch>
                  </pic:blipFill>
                  <pic:spPr>
                    <a:xfrm>
                      <a:off x="0" y="0"/>
                      <a:ext cx="5715000" cy="2857500"/>
                    </a:xfrm>
                    <a:prstGeom prst="rect"/>
                  </pic:spPr>
                </pic:pic>
              </a:graphicData>
            </a:graphic>
          </wp:inline>
        </w:drawing>
      </w:r>
    </w:p>
    <w:p>
      <w:pPr>
        <w:keepNext w:val="0"/>
        <w:keepLines w:val="0"/>
        <w:widowControl w:val="0"/>
        <w:spacing w:before="0" w:after="120" w:line="288" w:lineRule="auto"/>
        <w:jc w:val="center"/>
      </w:pPr>
      <w:r>
        <w:rPr>
          <w:rFonts w:ascii="Songti SC" w:hAnsi="Songti SC" w:eastAsia="Songti SC" w:cs="Songti SC"/>
          <w:b w:val="0"/>
          <w:sz w:val="21"/>
        </w:rPr>
        <w:t>图7-1 初次沉淀池平剖计算草图</w:t>
      </w:r>
    </w:p>
    <w:p>
      <w:pPr>
        <w:pStyle w:val="Heading2"/>
        <w:keepNext w:val="0"/>
        <w:keepLines w:val="0"/>
      </w:pPr>
      <w:r>
        <w:t>7.2 出水堰和污泥</w:t>
      </w:r>
    </w:p>
    <w:p>
      <w:pPr>
        <w:pStyle w:val="BodyText"/>
        <w:keepNext w:val="0"/>
        <w:keepLines w:val="0"/>
        <w:widowControl w:val="0"/>
        <w:spacing w:before="0" w:after="120" w:line="288" w:lineRule="auto"/>
        <w:ind w:firstLine="420"/>
      </w:pPr>
      <w:r>
        <w:rPr>
          <w:rFonts w:ascii="Songti SC" w:hAnsi="Songti SC" w:eastAsia="Songti SC" w:cs="Songti SC"/>
          <w:b w:val="0"/>
          <w:sz w:val="24"/>
        </w:rPr>
        <w:t>采用中心线D29 m双侧环形堰，单池堰长2π×29=182.21 m。泵组合时单池0.46875 m³/s，堰负荷2.573 L/(m·s)，小于GB 50014—2021第7.5.8条初沉池2.9 L/(m·s)上限。</w:t>
      </w:r>
    </w:p>
    <w:p>
      <w:pPr>
        <w:keepNext w:val="0"/>
        <w:keepLines w:val="0"/>
        <w:widowControl w:val="0"/>
        <w:spacing w:before="0" w:after="100" w:line="288" w:lineRule="auto"/>
        <w:jc w:val="center"/>
      </w:pPr>
      <m:oMathPara>
        <m:oMath>
          <m:r>
            <m:t>Qsludge=30000×0.50/(1000×0.04)=375 m³/d</m:t>
          </m:r>
        </m:oMath>
      </m:oMathPara>
    </w:p>
    <w:p>
      <w:pPr>
        <w:pStyle w:val="BodyText"/>
        <w:keepNext w:val="0"/>
        <w:keepLines w:val="0"/>
        <w:widowControl w:val="0"/>
        <w:spacing w:before="0" w:after="120" w:line="288" w:lineRule="auto"/>
        <w:ind w:firstLine="420"/>
      </w:pPr>
      <w:r>
        <w:rPr>
          <w:rFonts w:ascii="Songti SC" w:hAnsi="Songti SC" w:eastAsia="Songti SC" w:cs="Songti SC"/>
          <w:b w:val="0"/>
          <w:sz w:val="24"/>
        </w:rPr>
        <w:t>按排泥含固率4%估算初沉污泥375 m³/d。单池4 h贮泥需求15.625 m³；采用上口D4.5 m、下口D1.0 m、高3.0 m的截锥泥斗，容积约20.22 m³，满足GB 50014—2021第7.5.5条机械排泥初沉池按4 h污泥量校核。四池设置机械刮泥和独立排泥阀。</w:t>
      </w:r>
    </w:p>
    <w:p>
      <w:pPr>
        <w:pStyle w:val="Heading2"/>
        <w:keepNext w:val="0"/>
        <w:keepLines w:val="0"/>
      </w:pPr>
      <w:r>
        <w:t>7.3 初沉出水负荷</w:t>
      </w:r>
    </w:p>
    <w:p>
      <w:pPr>
        <w:keepNext/>
        <w:keepLines w:val="0"/>
        <w:widowControl w:val="0"/>
        <w:spacing w:before="0" w:after="120" w:line="288" w:lineRule="auto"/>
        <w:jc w:val="center"/>
      </w:pPr>
      <w:r>
        <w:rPr>
          <w:rFonts w:ascii="Songti SC" w:hAnsi="Songti SC" w:eastAsia="Songti SC" w:cs="Songti SC"/>
          <w:b w:val="0"/>
          <w:sz w:val="21"/>
        </w:rPr>
        <w:t>表7-2 指标、初沉去除汇总</w:t>
      </w:r>
    </w:p>
    <w:tbl>
      <w:tblPr>
        <w:tblW w:type="auto" w:w="0"/>
        <w:jc w:val="center"/>
        <w:tblLayout w:type="fixed"/>
        <w:tblLook w:firstColumn="1" w:firstRow="1" w:lastColumn="0" w:lastRow="0" w:noHBand="0" w:noVBand="1" w:val="04A0"/>
      </w:tblPr>
      <w:tblGrid>
        <w:gridCol w:w="2310"/>
        <w:gridCol w:w="2310"/>
        <w:gridCol w:w="2310"/>
        <w:gridCol w:w="2310"/>
      </w:tblGrid>
      <w:tr>
        <w:trPr>
          <w:tblHeader w:val="true"/>
          <w:cantSplit/>
        </w:trPr>
        <w:tc>
          <w:tcPr>
            <w:tcW w:type="dxa" w:w="1474"/>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指标</w:t>
            </w:r>
          </w:p>
        </w:tc>
        <w:tc>
          <w:tcPr>
            <w:tcW w:type="dxa" w:w="1814"/>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初沉去除</w:t>
            </w:r>
          </w:p>
        </w:tc>
        <w:tc>
          <w:tcPr>
            <w:tcW w:type="dxa" w:w="2381"/>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出水负荷 kg/d</w:t>
            </w:r>
          </w:p>
        </w:tc>
        <w:tc>
          <w:tcPr>
            <w:tcW w:type="dxa" w:w="2381"/>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出水浓度 mg/L</w:t>
            </w:r>
          </w:p>
        </w:tc>
      </w:tr>
      <w:tr>
        <w:trPr>
          <w:cantSplit/>
        </w:trPr>
        <w:tc>
          <w:tcPr>
            <w:tcW w:type="dxa" w:w="147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BOD5</w:t>
            </w:r>
          </w:p>
        </w:tc>
        <w:tc>
          <w:tcPr>
            <w:tcW w:type="dxa" w:w="181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25.0%</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13,500.0</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125.00</w:t>
            </w:r>
          </w:p>
        </w:tc>
      </w:tr>
      <w:tr>
        <w:trPr>
          <w:cantSplit/>
        </w:trPr>
        <w:tc>
          <w:tcPr>
            <w:tcW w:type="dxa" w:w="147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SS</w:t>
            </w:r>
          </w:p>
        </w:tc>
        <w:tc>
          <w:tcPr>
            <w:tcW w:type="dxa" w:w="181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50.0%</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15,000.0</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138.89</w:t>
            </w:r>
          </w:p>
        </w:tc>
      </w:tr>
      <w:tr>
        <w:trPr>
          <w:cantSplit/>
        </w:trPr>
        <w:tc>
          <w:tcPr>
            <w:tcW w:type="dxa" w:w="147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TN</w:t>
            </w:r>
          </w:p>
        </w:tc>
        <w:tc>
          <w:tcPr>
            <w:tcW w:type="dxa" w:w="181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0.0%</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4,800.0</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44.44</w:t>
            </w:r>
          </w:p>
        </w:tc>
      </w:tr>
      <w:tr>
        <w:trPr>
          <w:cantSplit/>
        </w:trPr>
        <w:tc>
          <w:tcPr>
            <w:tcW w:type="dxa" w:w="147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TP</w:t>
            </w:r>
          </w:p>
        </w:tc>
        <w:tc>
          <w:tcPr>
            <w:tcW w:type="dxa" w:w="181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7.5%</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555.0</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5.14</w:t>
            </w:r>
          </w:p>
        </w:tc>
      </w:tr>
    </w:tbl>
    <w:p>
      <w:pPr>
        <w:spacing w:after="20"/>
      </w:pPr>
    </w:p>
    <w:p>
      <w:pPr>
        <w:pStyle w:val="Heading1"/>
        <w:keepNext w:val="0"/>
        <w:keepLines w:val="0"/>
      </w:pPr>
      <w:r>
        <w:t>8 A²/O生物反应池与回流</w:t>
      </w:r>
    </w:p>
    <w:p>
      <w:pPr>
        <w:pStyle w:val="Heading2"/>
        <w:keepNext w:val="0"/>
        <w:keepLines w:val="0"/>
      </w:pPr>
      <w:r>
        <w:t>8.1 容积与分区</w:t>
      </w:r>
    </w:p>
    <w:p>
      <w:pPr>
        <w:pStyle w:val="BodyText"/>
        <w:keepNext w:val="0"/>
        <w:keepLines w:val="0"/>
        <w:widowControl w:val="0"/>
        <w:spacing w:before="0" w:after="120" w:line="288" w:lineRule="auto"/>
        <w:ind w:firstLine="420"/>
      </w:pPr>
      <w:r>
        <w:rPr>
          <w:rFonts w:ascii="Songti SC" w:hAnsi="Songti SC" w:eastAsia="Songti SC" w:cs="Songti SC"/>
          <w:b w:val="0"/>
          <w:sz w:val="24"/>
        </w:rPr>
        <w:t>设置4个完全独立系列，每系列有效净水面70 m×45 m、净水深5 m，有效容积15750 m³，总容积63000 m³。70 m×45 m是水面净尺寸，6条廊道各按7.5 m净水宽计；外墙和隔墙厚度在结构外轮廓中另加，不占用上述有效容积。平均流量下总HRT=14 h。按厌氧1.5 h、缺氧4.8 h、好氧7.7 h分配，总容积依次为6750、21600和34650 m³。单系列等效流长420 m：第1廊45 m厌氧+25 m缺氧，第2廊70 m缺氧，第3廊49 m缺氧+21 m好氧，第4～6廊好氧。</w:t>
      </w:r>
    </w:p>
    <w:p>
      <w:pPr>
        <w:keepNext/>
        <w:keepLines w:val="0"/>
        <w:jc w:val="center"/>
      </w:pPr>
      <w:r>
        <w:drawing>
          <wp:inline xmlns:a="http://schemas.openxmlformats.org/drawingml/2006/main" xmlns:pic="http://schemas.openxmlformats.org/drawingml/2006/picture">
            <wp:extent cx="5715000" cy="2857500"/>
            <wp:docPr id="6" name="Picture 6"/>
            <wp:cNvGraphicFramePr>
              <a:graphicFrameLocks noChangeAspect="1"/>
            </wp:cNvGraphicFramePr>
            <a:graphic>
              <a:graphicData uri="http://schemas.openxmlformats.org/drawingml/2006/picture">
                <pic:pic>
                  <pic:nvPicPr>
                    <pic:cNvPr id="0" name="06_a2o.png"/>
                    <pic:cNvPicPr/>
                  </pic:nvPicPr>
                  <pic:blipFill>
                    <a:blip r:embed="rId15"/>
                    <a:stretch>
                      <a:fillRect/>
                    </a:stretch>
                  </pic:blipFill>
                  <pic:spPr>
                    <a:xfrm>
                      <a:off x="0" y="0"/>
                      <a:ext cx="5715000" cy="2857500"/>
                    </a:xfrm>
                    <a:prstGeom prst="rect"/>
                  </pic:spPr>
                </pic:pic>
              </a:graphicData>
            </a:graphic>
          </wp:inline>
        </w:drawing>
      </w:r>
    </w:p>
    <w:p>
      <w:pPr>
        <w:keepNext w:val="0"/>
        <w:keepLines w:val="0"/>
        <w:widowControl w:val="0"/>
        <w:spacing w:before="0" w:after="120" w:line="288" w:lineRule="auto"/>
        <w:jc w:val="center"/>
      </w:pPr>
      <w:r>
        <w:rPr>
          <w:rFonts w:ascii="Songti SC" w:hAnsi="Songti SC" w:eastAsia="Songti SC" w:cs="Songti SC"/>
          <w:b w:val="0"/>
          <w:sz w:val="21"/>
        </w:rPr>
        <w:t>图8-1 A²/O单系列按比例分区草图</w:t>
      </w:r>
    </w:p>
    <w:p>
      <w:pPr>
        <w:keepNext/>
        <w:keepLines w:val="0"/>
        <w:widowControl w:val="0"/>
        <w:spacing w:before="0" w:after="120" w:line="288" w:lineRule="auto"/>
        <w:jc w:val="center"/>
      </w:pPr>
      <w:r>
        <w:rPr>
          <w:rFonts w:ascii="Songti SC" w:hAnsi="Songti SC" w:eastAsia="Songti SC" w:cs="Songti SC"/>
          <w:b w:val="0"/>
          <w:sz w:val="21"/>
        </w:rPr>
        <w:t>表8-1 分区、HRT h汇总</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tblHeader w:val="true"/>
          <w:cantSplit/>
        </w:trPr>
        <w:tc>
          <w:tcPr>
            <w:tcW w:type="dxa" w:w="1417"/>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分区</w:t>
            </w:r>
          </w:p>
        </w:tc>
        <w:tc>
          <w:tcPr>
            <w:tcW w:type="dxa" w:w="1361"/>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HRT h</w:t>
            </w:r>
          </w:p>
        </w:tc>
        <w:tc>
          <w:tcPr>
            <w:tcW w:type="dxa" w:w="1984"/>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全厂容积 m³</w:t>
            </w:r>
          </w:p>
        </w:tc>
        <w:tc>
          <w:tcPr>
            <w:tcW w:type="dxa" w:w="1984"/>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单系列容积 m³</w:t>
            </w:r>
          </w:p>
        </w:tc>
        <w:tc>
          <w:tcPr>
            <w:tcW w:type="dxa" w:w="2154"/>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等效长度/系列 m</w:t>
            </w:r>
          </w:p>
        </w:tc>
      </w:tr>
      <w:tr>
        <w:trPr>
          <w:cantSplit/>
        </w:trPr>
        <w:tc>
          <w:tcPr>
            <w:tcW w:type="dxa" w:w="141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厌氧</w:t>
            </w:r>
          </w:p>
        </w:tc>
        <w:tc>
          <w:tcPr>
            <w:tcW w:type="dxa" w:w="136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1.50</w:t>
            </w:r>
          </w:p>
        </w:tc>
        <w:tc>
          <w:tcPr>
            <w:tcW w:type="dxa" w:w="198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6750</w:t>
            </w:r>
          </w:p>
        </w:tc>
        <w:tc>
          <w:tcPr>
            <w:tcW w:type="dxa" w:w="198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1687.5</w:t>
            </w:r>
          </w:p>
        </w:tc>
        <w:tc>
          <w:tcPr>
            <w:tcW w:type="dxa" w:w="215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45</w:t>
            </w:r>
          </w:p>
        </w:tc>
      </w:tr>
      <w:tr>
        <w:trPr>
          <w:cantSplit/>
        </w:trPr>
        <w:tc>
          <w:tcPr>
            <w:tcW w:type="dxa" w:w="141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缺氧</w:t>
            </w:r>
          </w:p>
        </w:tc>
        <w:tc>
          <w:tcPr>
            <w:tcW w:type="dxa" w:w="136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4.80</w:t>
            </w:r>
          </w:p>
        </w:tc>
        <w:tc>
          <w:tcPr>
            <w:tcW w:type="dxa" w:w="198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21600</w:t>
            </w:r>
          </w:p>
        </w:tc>
        <w:tc>
          <w:tcPr>
            <w:tcW w:type="dxa" w:w="198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5400</w:t>
            </w:r>
          </w:p>
        </w:tc>
        <w:tc>
          <w:tcPr>
            <w:tcW w:type="dxa" w:w="215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144</w:t>
            </w:r>
          </w:p>
        </w:tc>
      </w:tr>
      <w:tr>
        <w:trPr>
          <w:cantSplit/>
        </w:trPr>
        <w:tc>
          <w:tcPr>
            <w:tcW w:type="dxa" w:w="141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好氧</w:t>
            </w:r>
          </w:p>
        </w:tc>
        <w:tc>
          <w:tcPr>
            <w:tcW w:type="dxa" w:w="136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7.70</w:t>
            </w:r>
          </w:p>
        </w:tc>
        <w:tc>
          <w:tcPr>
            <w:tcW w:type="dxa" w:w="198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34650</w:t>
            </w:r>
          </w:p>
        </w:tc>
        <w:tc>
          <w:tcPr>
            <w:tcW w:type="dxa" w:w="198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8662.5</w:t>
            </w:r>
          </w:p>
        </w:tc>
        <w:tc>
          <w:tcPr>
            <w:tcW w:type="dxa" w:w="215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231</w:t>
            </w:r>
          </w:p>
        </w:tc>
      </w:tr>
      <w:tr>
        <w:trPr>
          <w:cantSplit/>
        </w:trPr>
        <w:tc>
          <w:tcPr>
            <w:tcW w:type="dxa" w:w="141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合计</w:t>
            </w:r>
          </w:p>
        </w:tc>
        <w:tc>
          <w:tcPr>
            <w:tcW w:type="dxa" w:w="136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14.00</w:t>
            </w:r>
          </w:p>
        </w:tc>
        <w:tc>
          <w:tcPr>
            <w:tcW w:type="dxa" w:w="198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63000</w:t>
            </w:r>
          </w:p>
        </w:tc>
        <w:tc>
          <w:tcPr>
            <w:tcW w:type="dxa" w:w="198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15750</w:t>
            </w:r>
          </w:p>
        </w:tc>
        <w:tc>
          <w:tcPr>
            <w:tcW w:type="dxa" w:w="215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420</w:t>
            </w:r>
          </w:p>
        </w:tc>
      </w:tr>
    </w:tbl>
    <w:p>
      <w:pPr>
        <w:spacing w:after="20"/>
      </w:pPr>
    </w:p>
    <w:p>
      <w:pPr>
        <w:pStyle w:val="Heading2"/>
        <w:keepNext w:val="0"/>
        <w:keepLines w:val="0"/>
      </w:pPr>
      <w:r>
        <w:t>8.2 MLSS、负荷和SRT</w:t>
      </w:r>
    </w:p>
    <w:p>
      <w:pPr>
        <w:pStyle w:val="BodyText"/>
        <w:keepNext w:val="0"/>
        <w:keepLines w:val="0"/>
        <w:widowControl w:val="0"/>
        <w:spacing w:before="0" w:after="120" w:line="288" w:lineRule="auto"/>
        <w:ind w:firstLine="420"/>
      </w:pPr>
      <w:r>
        <w:rPr>
          <w:rFonts w:ascii="Songti SC" w:hAnsi="Songti SC" w:eastAsia="Songti SC" w:cs="Songti SC"/>
          <w:b w:val="0"/>
          <w:sz w:val="24"/>
        </w:rPr>
        <w:t>将不含铁盐固体的基准MLSS取3.5 kg/m³，其中MLVSS比例0.75；系统SRT=20 d。初沉后BOD₅负荷13500 kg/d，达到日均20 mg/L需去除11340 kg/d。</w:t>
      </w:r>
    </w:p>
    <w:p>
      <w:pPr>
        <w:keepNext w:val="0"/>
        <w:keepLines w:val="0"/>
        <w:widowControl w:val="0"/>
        <w:spacing w:before="0" w:after="100" w:line="288" w:lineRule="auto"/>
        <w:jc w:val="center"/>
      </w:pPr>
      <m:oMathPara>
        <m:oMath>
          <m:r>
            <m:t>Ls,in=13500/(63000×3.5)=0.0612 kgBOD₅/(kgMLSS·d)</m:t>
          </m:r>
        </m:oMath>
      </m:oMathPara>
    </w:p>
    <w:p>
      <w:pPr>
        <w:keepNext w:val="0"/>
        <w:keepLines w:val="0"/>
        <w:widowControl w:val="0"/>
        <w:spacing w:before="0" w:after="100" w:line="288" w:lineRule="auto"/>
        <w:jc w:val="center"/>
      </w:pPr>
      <m:oMathPara>
        <m:oMath>
          <m:r>
            <m:t>ΔXVSS=0.50×11340/[1+(0.060×1.04⁻⁵)×20]=2854.54 kg/d</m:t>
          </m:r>
        </m:oMath>
      </m:oMathPara>
    </w:p>
    <w:p>
      <w:pPr>
        <w:pStyle w:val="BodyText"/>
        <w:keepNext w:val="0"/>
        <w:keepLines w:val="0"/>
        <w:widowControl w:val="0"/>
        <w:spacing w:before="0" w:after="120" w:line="288" w:lineRule="auto"/>
        <w:ind w:firstLine="420"/>
      </w:pPr>
      <w:r>
        <w:rPr>
          <w:rFonts w:ascii="Songti SC" w:hAnsi="Songti SC" w:eastAsia="Songti SC" w:cs="Songti SC"/>
          <w:b w:val="0"/>
          <w:sz w:val="24"/>
        </w:rPr>
        <w:t>生物段以不含铁盐固体的3.5 kg/m³基准MLSS计算，进水负荷为0.0612 kgBOD₅/(kgMLSS·d)，可与GB 50014—2021表7.6.19经验范围对照。若以含铁盐稳态库存的总MLSS 4.379 kg/m³作分母，表观进水负荷为13500/275876.8=0.0489 kgBOD₅/(kgMLSS·d)，略低于表列0.05下限。两种口径分别用于生物段选值和二沉固体负荷，经验参数对照支持课程尺寸，实际水质仍需运行验证。基准净VSS按0.12 kgN/kgVSS计同化氮342.55 kgN/d。</w:t>
      </w:r>
    </w:p>
    <w:p>
      <w:pPr>
        <w:pStyle w:val="Heading2"/>
        <w:keepNext w:val="0"/>
        <w:keepLines w:val="0"/>
      </w:pPr>
      <w:r>
        <w:t>8.3 回流系统</w:t>
      </w:r>
    </w:p>
    <w:p>
      <w:pPr>
        <w:pStyle w:val="BodyText"/>
        <w:keepNext w:val="0"/>
        <w:keepLines w:val="0"/>
        <w:widowControl w:val="0"/>
        <w:spacing w:before="0" w:after="120" w:line="288" w:lineRule="auto"/>
        <w:ind w:firstLine="420"/>
      </w:pPr>
      <w:r>
        <w:rPr>
          <w:rFonts w:ascii="Songti SC" w:hAnsi="Songti SC" w:eastAsia="Songti SC" w:cs="Songti SC"/>
          <w:b w:val="0"/>
          <w:sz w:val="24"/>
        </w:rPr>
        <w:t>回流污泥比R=0.75，平均回流污泥量81000 m³/d；混合液内回流比Ri=2.50，内回流270000 m³/d。回流值是设计能力，运行按二沉泥位、MLSS和缺氧段NOx反馈调节。</w:t>
      </w:r>
    </w:p>
    <w:p>
      <w:pPr>
        <w:keepNext/>
        <w:keepLines w:val="0"/>
        <w:widowControl w:val="0"/>
        <w:spacing w:before="0" w:after="120" w:line="288" w:lineRule="auto"/>
        <w:jc w:val="center"/>
      </w:pPr>
      <w:r>
        <w:rPr>
          <w:rFonts w:ascii="Songti SC" w:hAnsi="Songti SC" w:eastAsia="Songti SC" w:cs="Songti SC"/>
          <w:b w:val="0"/>
          <w:sz w:val="21"/>
        </w:rPr>
        <w:t>表8-2 系统、设计流量汇总</w:t>
      </w:r>
    </w:p>
    <w:tbl>
      <w:tblPr>
        <w:tblW w:type="auto" w:w="0"/>
        <w:jc w:val="center"/>
        <w:tblLayout w:type="fixed"/>
        <w:tblLook w:firstColumn="1" w:firstRow="1" w:lastColumn="0" w:lastRow="0" w:noHBand="0" w:noVBand="1" w:val="04A0"/>
      </w:tblPr>
      <w:tblGrid>
        <w:gridCol w:w="2310"/>
        <w:gridCol w:w="2310"/>
        <w:gridCol w:w="2310"/>
        <w:gridCol w:w="2310"/>
      </w:tblGrid>
      <w:tr>
        <w:trPr>
          <w:tblHeader w:val="true"/>
          <w:cantSplit/>
        </w:trPr>
        <w:tc>
          <w:tcPr>
            <w:tcW w:type="dxa" w:w="1701"/>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系统</w:t>
            </w:r>
          </w:p>
        </w:tc>
        <w:tc>
          <w:tcPr>
            <w:tcW w:type="dxa" w:w="2268"/>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设计流量</w:t>
            </w:r>
          </w:p>
        </w:tc>
        <w:tc>
          <w:tcPr>
            <w:tcW w:type="dxa" w:w="2665"/>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管径接口</w:t>
            </w:r>
          </w:p>
        </w:tc>
        <w:tc>
          <w:tcPr>
            <w:tcW w:type="dxa" w:w="2381"/>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动态损失/扬程边界</w:t>
            </w:r>
          </w:p>
        </w:tc>
      </w:tr>
      <w:tr>
        <w:trPr>
          <w:cantSplit/>
        </w:trPr>
        <w:tc>
          <w:tcPr>
            <w:tcW w:type="dxa" w:w="170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回流污泥</w:t>
            </w:r>
          </w:p>
        </w:tc>
        <w:tc>
          <w:tcPr>
            <w:tcW w:type="dxa" w:w="226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峰值每系列0.3047m³/s</w:t>
            </w:r>
          </w:p>
        </w:tc>
        <w:tc>
          <w:tcPr>
            <w:tcW w:type="dxa" w:w="266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最远池DN500×175m；系列DN700×192.5m</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动态0.625m；需2.325m，取3.0m/15kW</w:t>
            </w:r>
          </w:p>
        </w:tc>
      </w:tr>
      <w:tr>
        <w:trPr>
          <w:cantSplit/>
        </w:trPr>
        <w:tc>
          <w:tcPr>
            <w:tcW w:type="dxa" w:w="170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混合液内回流</w:t>
            </w:r>
          </w:p>
        </w:tc>
        <w:tc>
          <w:tcPr>
            <w:tcW w:type="dxa" w:w="226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峰值每系列1.0156m³/s</w:t>
            </w:r>
          </w:p>
        </w:tc>
        <w:tc>
          <w:tcPr>
            <w:tcW w:type="dxa" w:w="266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每系列DN1200×125m</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动态0.250m；需0.850m，取1.0m/15kW</w:t>
            </w:r>
          </w:p>
        </w:tc>
      </w:tr>
      <w:tr>
        <w:trPr>
          <w:cantSplit/>
        </w:trPr>
        <w:tc>
          <w:tcPr>
            <w:tcW w:type="dxa" w:w="170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剩余污泥</w:t>
            </w:r>
          </w:p>
        </w:tc>
        <w:tc>
          <w:tcPr>
            <w:tcW w:type="dxa" w:w="226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1,156.3 m³/d</w:t>
            </w:r>
          </w:p>
        </w:tc>
        <w:tc>
          <w:tcPr>
            <w:tcW w:type="dxa" w:w="266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单池DN200、同线DN250</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连续排放，最终由污泥系统校核</w:t>
            </w:r>
          </w:p>
        </w:tc>
      </w:tr>
    </w:tbl>
    <w:p>
      <w:pPr>
        <w:spacing w:after="20"/>
      </w:pPr>
    </w:p>
    <w:p>
      <w:pPr>
        <w:keepNext/>
        <w:keepLines w:val="0"/>
        <w:widowControl w:val="0"/>
        <w:spacing w:before="0" w:after="120" w:line="288" w:lineRule="auto"/>
        <w:jc w:val="center"/>
      </w:pPr>
      <w:r>
        <w:rPr>
          <w:rFonts w:ascii="Songti SC" w:hAnsi="Songti SC" w:eastAsia="Songti SC" w:cs="Songti SC"/>
          <w:b w:val="0"/>
          <w:sz w:val="21"/>
        </w:rPr>
        <w:t>表8-3 回流泵设备配置</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tblHeader w:val="true"/>
          <w:cantSplit/>
        </w:trPr>
        <w:tc>
          <w:tcPr>
            <w:tcW w:type="dxa" w:w="1928"/>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9"/>
              </w:rPr>
              <w:t>设备</w:t>
            </w:r>
          </w:p>
        </w:tc>
        <w:tc>
          <w:tcPr>
            <w:tcW w:type="dxa" w:w="1134"/>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9"/>
              </w:rPr>
              <w:t>系列数</w:t>
            </w:r>
          </w:p>
        </w:tc>
        <w:tc>
          <w:tcPr>
            <w:tcW w:type="dxa" w:w="1814"/>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9"/>
              </w:rPr>
              <w:t>每系列配置</w:t>
            </w:r>
          </w:p>
        </w:tc>
        <w:tc>
          <w:tcPr>
            <w:tcW w:type="dxa" w:w="2948"/>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9"/>
              </w:rPr>
              <w:t>单台设计工况</w:t>
            </w:r>
          </w:p>
        </w:tc>
        <w:tc>
          <w:tcPr>
            <w:tcW w:type="dxa" w:w="1361"/>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9"/>
              </w:rPr>
              <w:t>备用方式</w:t>
            </w:r>
          </w:p>
        </w:tc>
      </w:tr>
      <w:tr>
        <w:trPr>
          <w:cantSplit/>
        </w:trPr>
        <w:tc>
          <w:tcPr>
            <w:tcW w:type="dxa" w:w="192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9"/>
              </w:rPr>
              <w:t>回流污泥泵</w:t>
            </w:r>
          </w:p>
        </w:tc>
        <w:tc>
          <w:tcPr>
            <w:tcW w:type="dxa" w:w="113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4</w:t>
            </w:r>
          </w:p>
        </w:tc>
        <w:tc>
          <w:tcPr>
            <w:tcW w:type="dxa" w:w="181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2台100%容量</w:t>
            </w:r>
          </w:p>
        </w:tc>
        <w:tc>
          <w:tcPr>
            <w:tcW w:type="dxa" w:w="294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1097 m³/h，H=3.0 m，15 kW</w:t>
            </w:r>
          </w:p>
        </w:tc>
        <w:tc>
          <w:tcPr>
            <w:tcW w:type="dxa" w:w="136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1用1备</w:t>
            </w:r>
          </w:p>
        </w:tc>
      </w:tr>
      <w:tr>
        <w:trPr>
          <w:cantSplit/>
        </w:trPr>
        <w:tc>
          <w:tcPr>
            <w:tcW w:type="dxa" w:w="192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9"/>
              </w:rPr>
              <w:t>混合液内回流泵</w:t>
            </w:r>
          </w:p>
        </w:tc>
        <w:tc>
          <w:tcPr>
            <w:tcW w:type="dxa" w:w="113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4</w:t>
            </w:r>
          </w:p>
        </w:tc>
        <w:tc>
          <w:tcPr>
            <w:tcW w:type="dxa" w:w="181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2台100%容量</w:t>
            </w:r>
          </w:p>
        </w:tc>
        <w:tc>
          <w:tcPr>
            <w:tcW w:type="dxa" w:w="294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3656 m³/h，H=1.0 m，15 kW</w:t>
            </w:r>
          </w:p>
        </w:tc>
        <w:tc>
          <w:tcPr>
            <w:tcW w:type="dxa" w:w="136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1用1备</w:t>
            </w:r>
          </w:p>
        </w:tc>
      </w:tr>
    </w:tbl>
    <w:p>
      <w:pPr>
        <w:spacing w:after="20"/>
      </w:pPr>
    </w:p>
    <w:p>
      <w:pPr>
        <w:pStyle w:val="BodyText"/>
        <w:keepNext w:val="0"/>
        <w:keepLines w:val="0"/>
        <w:widowControl w:val="0"/>
        <w:spacing w:before="0" w:after="120" w:line="288" w:lineRule="auto"/>
        <w:ind w:firstLine="420"/>
      </w:pPr>
      <w:r>
        <w:rPr>
          <w:rFonts w:ascii="Songti SC" w:hAnsi="Songti SC" w:eastAsia="Songti SC" w:cs="Songti SC"/>
          <w:b w:val="0"/>
          <w:sz w:val="24"/>
        </w:rPr>
        <w:t>RAS最不利路径由二沉配水/回流节点至对应A²/O厌氧入口的同坐标线路取得；按课程峰值回流量，DN500单池支管损失0.338 m、DN700系列管损0.288 m，合计0.625 m。加二沉水面EL31.40至A²/O入口EL32.60静差1.20 m及0.50 m余量，所需2.325 m，取3.0 m。内回流管沿单系列池外125 m，动态0.250 m，加0.30 m工艺静差和0.30 m余量需0.850 m，取1.0 m。</w:t>
      </w:r>
    </w:p>
    <w:p>
      <w:pPr>
        <w:pStyle w:val="Heading2"/>
        <w:keepNext w:val="0"/>
        <w:keepLines w:val="0"/>
      </w:pPr>
      <w:r>
        <w:t>8.4 15℃硝化动力学校核</w:t>
      </w:r>
    </w:p>
    <w:p>
      <w:pPr>
        <w:pStyle w:val="BodyText"/>
        <w:keepNext w:val="0"/>
        <w:keepLines w:val="0"/>
        <w:widowControl w:val="0"/>
        <w:spacing w:before="0" w:after="120" w:line="288" w:lineRule="auto"/>
        <w:ind w:firstLine="420"/>
      </w:pPr>
      <w:r>
        <w:rPr>
          <w:rFonts w:ascii="Songti SC" w:hAnsi="Songti SC" w:eastAsia="Songti SC" w:cs="Songti SC"/>
          <w:b w:val="0"/>
          <w:sz w:val="24"/>
        </w:rPr>
        <w:t>因进水NH₄-N未给定，以TN负荷4800 kg/d减日均NH₄-N出水上限864 kg/d，得到硝化设备容量上界3936 kgN/d。采用EPA表4-4的AOB参数：μmax,20=0.90 d⁻¹、b20=0.17 d⁻¹、KN=0.70 mg/L、KO=0.50 mg/L、Y=0.15，温度系数分别1.072和1.029；按NH₄-N=8 mg/L、DO=2 mg/L。</w:t>
      </w:r>
    </w:p>
    <w:p>
      <w:pPr>
        <w:keepNext w:val="0"/>
        <w:keepLines w:val="0"/>
        <w:widowControl w:val="0"/>
        <w:spacing w:before="0" w:after="100" w:line="288" w:lineRule="auto"/>
        <w:jc w:val="center"/>
      </w:pPr>
      <m:oMathPara>
        <m:oMath>
          <m:r>
            <m:t>μnet=(7.7/14)[0.90×1.072⁻⁵×8/(8+0.7)×2/(2+0.5)]−0.17×1.029⁻⁵</m:t>
          </m:r>
        </m:oMath>
      </m:oMathPara>
    </w:p>
    <w:p>
      <w:pPr>
        <w:keepNext w:val="0"/>
        <w:keepLines w:val="0"/>
        <w:widowControl w:val="0"/>
        <w:spacing w:before="0" w:after="100" w:line="288" w:lineRule="auto"/>
        <w:jc w:val="center"/>
      </w:pPr>
      <m:oMathPara>
        <m:oMath>
          <m:r>
            <m:t>SRTcritical=1/μnet=9.103 d；20/9.103=2.197</m:t>
          </m:r>
        </m:oMath>
      </m:oMathPara>
    </w:p>
    <w:p>
      <w:pPr>
        <w:pStyle w:val="BodyText"/>
        <w:keepNext w:val="0"/>
        <w:keepLines w:val="0"/>
        <w:widowControl w:val="0"/>
        <w:spacing w:before="0" w:after="120" w:line="288" w:lineRule="auto"/>
        <w:ind w:firstLine="420"/>
      </w:pPr>
      <w:r>
        <w:rPr>
          <w:rFonts w:ascii="Songti SC" w:hAnsi="Songti SC" w:eastAsia="Songti SC" w:cs="Songti SC"/>
          <w:b w:val="0"/>
          <w:sz w:val="24"/>
        </w:rPr>
        <w:t>设计系统SRT为临界值的2.20倍，作为15℃课程筛查有余量。该式显式考虑好氧体积分数，避免把20 d系统SRT直接等同为好氧SRT；真实最低水温、TKN、pH、碱度和抑制物仍须现场验证。</w:t>
      </w:r>
    </w:p>
    <w:p>
      <w:pPr>
        <w:pStyle w:val="Heading1"/>
        <w:keepNext w:val="0"/>
        <w:keepLines w:val="0"/>
        <w:pageBreakBefore/>
      </w:pPr>
      <w:r>
        <w:t>9 脱氮碳源、除磷与碱度</w:t>
      </w:r>
    </w:p>
    <w:p>
      <w:pPr>
        <w:pStyle w:val="Heading2"/>
        <w:keepNext w:val="0"/>
        <w:keepLines w:val="0"/>
      </w:pPr>
      <w:r>
        <w:t>9.1 反硝化容量工况</w:t>
      </w:r>
    </w:p>
    <w:p>
      <w:pPr>
        <w:pStyle w:val="BodyText"/>
        <w:keepNext w:val="0"/>
        <w:keepLines w:val="0"/>
        <w:widowControl w:val="0"/>
        <w:spacing w:before="0" w:after="120" w:line="288" w:lineRule="auto"/>
        <w:ind w:firstLine="420"/>
      </w:pPr>
      <w:r>
        <w:rPr>
          <w:rFonts w:ascii="Songti SC" w:hAnsi="Songti SC" w:eastAsia="Songti SC" w:cs="Songti SC"/>
          <w:b w:val="0"/>
          <w:sz w:val="24"/>
        </w:rPr>
        <w:t>TN最低去除量2640 kg/d，扣除基准生物同化342.55 kgN/d，保守容量工况的反硝化量为2297.46 kgN/d。为避免把理论电子当量2.86误作药剂量，采用EPA/600/R-10/100式4-34：</w:t>
      </w:r>
    </w:p>
    <w:p>
      <w:pPr>
        <w:keepNext w:val="0"/>
        <w:keepLines w:val="0"/>
        <w:widowControl w:val="0"/>
        <w:spacing w:before="0" w:after="100" w:line="288" w:lineRule="auto"/>
        <w:jc w:val="center"/>
      </w:pPr>
      <m:oMathPara>
        <m:oMath>
          <m:r>
            <m:t>COD/NO₃-N=2.86/(1−1.42Y)</m:t>
          </m:r>
        </m:oMath>
      </m:oMathPara>
    </w:p>
    <w:p>
      <w:pPr>
        <w:pStyle w:val="BodyText"/>
        <w:keepNext w:val="0"/>
        <w:keepLines w:val="0"/>
        <w:widowControl w:val="0"/>
        <w:spacing w:before="0" w:after="120" w:line="288" w:lineRule="auto"/>
        <w:ind w:firstLine="420"/>
      </w:pPr>
      <w:r>
        <w:rPr>
          <w:rFonts w:ascii="Songti SC" w:hAnsi="Songti SC" w:eastAsia="Songti SC" w:cs="Songti SC"/>
          <w:b w:val="0"/>
          <w:sz w:val="24"/>
        </w:rPr>
        <w:t>甲醇异养产率取EPA范围上端Y=0.30 gVSS/gCOD，COD/N=4.9826；甲醇COD当量1.50 kgCOD/kg纯甲醇，商品质量分数80%。</w:t>
      </w:r>
    </w:p>
    <w:p>
      <w:pPr>
        <w:pStyle w:val="BodyText"/>
        <w:keepNext w:val="0"/>
        <w:keepLines w:val="0"/>
        <w:widowControl w:val="0"/>
        <w:spacing w:before="0" w:after="120" w:line="288" w:lineRule="auto"/>
        <w:ind w:firstLine="420"/>
      </w:pPr>
      <w:r>
        <w:rPr>
          <w:rFonts w:ascii="Songti SC" w:hAnsi="Songti SC" w:eastAsia="Songti SC" w:cs="Songti SC"/>
          <w:b w:val="0"/>
          <w:sz w:val="24"/>
        </w:rPr>
        <w:t>内回流2.50Q若从好氧末端携带DO=2 mg/L，将向缺氧区带入540 kgO₂/d。为避免把这部分需量遗漏，按同一生物合成修正折算为940.77 kgCOD/d，除非实际设置并验证脱氧段，容量工况均计入。</w:t>
      </w:r>
    </w:p>
    <w:p>
      <w:pPr>
        <w:keepNext w:val="0"/>
        <w:keepLines w:val="0"/>
        <w:widowControl w:val="0"/>
        <w:spacing w:before="0" w:after="100" w:line="288" w:lineRule="auto"/>
        <w:jc w:val="center"/>
      </w:pPr>
      <m:oMathPara>
        <m:oMath>
          <m:r>
            <m:t>CODcap=2297.46×4.9826+540/(1−1.42×0.30)=12388.02 kg/d</m:t>
          </m:r>
        </m:oMath>
      </m:oMathPara>
    </w:p>
    <w:p>
      <w:pPr>
        <w:keepNext w:val="0"/>
        <w:keepLines w:val="0"/>
        <w:widowControl w:val="0"/>
        <w:spacing w:before="0" w:after="100" w:line="288" w:lineRule="auto"/>
        <w:jc w:val="center"/>
      </w:pPr>
      <m:oMathPara>
        <m:oMath>
          <m:r>
            <m:t>M80,cap=12388.02/(1.50×0.80)=10323 kg/d</m:t>
          </m:r>
        </m:oMath>
      </m:oMathPara>
    </w:p>
    <w:p>
      <w:pPr>
        <w:pStyle w:val="BodyText"/>
        <w:keepNext w:val="0"/>
        <w:keepLines w:val="0"/>
        <w:widowControl w:val="0"/>
        <w:spacing w:before="0" w:after="120" w:line="288" w:lineRule="auto"/>
        <w:ind w:firstLine="420"/>
      </w:pPr>
      <w:r>
        <w:rPr>
          <w:rFonts w:ascii="Songti SC" w:hAnsi="Songti SC" w:eastAsia="Songti SC" w:cs="Songti SC"/>
          <w:b w:val="0"/>
          <w:sz w:val="24"/>
        </w:rPr>
        <w:t>日储供能力取12000 kg/d，较计算日量留有16.2%余量。计量泵按课程峰值系数复核：10323×1.30/24=559 kg/h，采用2台100%容量泵、单泵额定不小于600 kg/h。该工况将原水可利用反硝化碳贡献取0，且为容量保守不扣甲醇新增生物量的氮同化；因此它是药剂上限，不是运行时精确投加量。去除硝酸盐部分所需纯甲醇为3.322 g/gNO₃-N，位于EPA手册约2.7～3.3 g/g的上沿；内回流携氧另行增加用量。</w:t>
      </w:r>
    </w:p>
    <w:p>
      <w:pPr>
        <w:pStyle w:val="Heading2"/>
        <w:keepNext w:val="0"/>
        <w:keepLines w:val="0"/>
      </w:pPr>
      <w:r>
        <w:t>9.2 运行氮平衡</w:t>
      </w:r>
    </w:p>
    <w:p>
      <w:pPr>
        <w:pStyle w:val="BodyText"/>
        <w:keepNext w:val="0"/>
        <w:keepLines w:val="0"/>
        <w:widowControl w:val="0"/>
        <w:spacing w:before="0" w:after="120" w:line="288" w:lineRule="auto"/>
        <w:ind w:firstLine="420"/>
      </w:pPr>
      <w:r>
        <w:rPr>
          <w:rFonts w:ascii="Songti SC" w:hAnsi="Songti SC" w:eastAsia="Songti SC" w:cs="Songti SC"/>
          <w:b w:val="0"/>
          <w:sz w:val="24"/>
        </w:rPr>
        <w:t>为避免容量上限与实际物料平衡混写，另设运行平衡。甲醇衰减率20℃取0.04 d⁻¹，温度系数1.04作为课程假设；20 d SRT下每kg外加COD形成净甲醇VSS约0.1810 kg。氮平衡同时计入硝酸盐与内回流携氧所生成的甲醇生物量。</w:t>
      </w:r>
    </w:p>
    <w:p>
      <w:pPr>
        <w:keepNext w:val="0"/>
        <w:keepLines w:val="0"/>
        <w:widowControl w:val="0"/>
        <w:spacing w:before="0" w:after="100" w:line="288" w:lineRule="auto"/>
        <w:jc w:val="center"/>
      </w:pPr>
      <m:oMathPara>
        <m:oMath>
          <m:r>
            <m:t>2640=342.55+Nden+0.12×0.1810(4.9826Nden+940.77)</m:t>
          </m:r>
        </m:oMath>
      </m:oMathPara>
    </w:p>
    <w:p>
      <w:pPr>
        <w:keepNext w:val="0"/>
        <w:keepLines w:val="0"/>
        <w:widowControl w:val="0"/>
        <w:spacing w:before="0" w:after="100" w:line="288" w:lineRule="auto"/>
        <w:jc w:val="center"/>
      </w:pPr>
      <m:oMathPara>
        <m:oMath>
          <m:r>
            <m:t>Nden,op=2054.67 kgN/d；M80,op=9315 kg/d</m:t>
          </m:r>
        </m:oMath>
      </m:oMathPara>
    </w:p>
    <w:p>
      <w:pPr>
        <w:pStyle w:val="BodyText"/>
        <w:keepNext w:val="0"/>
        <w:keepLines w:val="0"/>
        <w:widowControl w:val="0"/>
        <w:spacing w:before="0" w:after="120" w:line="288" w:lineRule="auto"/>
        <w:ind w:firstLine="420"/>
      </w:pPr>
      <w:r>
        <w:rPr>
          <w:rFonts w:ascii="Songti SC" w:hAnsi="Songti SC" w:eastAsia="Songti SC" w:cs="Songti SC"/>
          <w:b w:val="0"/>
          <w:sz w:val="24"/>
        </w:rPr>
        <w:t>运行值约9315 kg/d，控制器应以进出水NOx、TN、DO和甲醇残余反馈调节，不按容量值连续固定投加。运行氮平衡残差小于10⁻⁹ kgN/d。</w:t>
      </w:r>
    </w:p>
    <w:p>
      <w:pPr>
        <w:pStyle w:val="Heading2"/>
        <w:keepNext w:val="0"/>
        <w:keepLines w:val="0"/>
      </w:pPr>
      <w:r>
        <w:t>9.3 15℃反硝化能力</w:t>
      </w:r>
    </w:p>
    <w:p>
      <w:pPr>
        <w:pStyle w:val="BodyText"/>
        <w:keepNext w:val="0"/>
        <w:keepLines w:val="0"/>
        <w:widowControl w:val="0"/>
        <w:spacing w:before="0" w:after="120" w:line="288" w:lineRule="auto"/>
        <w:ind w:firstLine="420"/>
      </w:pPr>
      <w:r>
        <w:rPr>
          <w:rFonts w:ascii="Songti SC" w:hAnsi="Songti SC" w:eastAsia="Songti SC" w:cs="Songti SC"/>
          <w:b w:val="0"/>
          <w:sz w:val="24"/>
        </w:rPr>
        <w:t>EPA式4-39给出甲醇SDNR温度关系SDNR=0.0738×1.11^(T−20)。15℃为0.0437967 kgN/(kgMLVSS·d)。缺氧区21600 m³，按基准MLSS 3.5 kg/m³和MLVSS比例0.75：</w:t>
      </w:r>
    </w:p>
    <w:p>
      <w:pPr>
        <w:keepNext w:val="0"/>
        <w:keepLines w:val="0"/>
        <w:widowControl w:val="0"/>
        <w:spacing w:before="0" w:after="100" w:line="288" w:lineRule="auto"/>
        <w:jc w:val="center"/>
      </w:pPr>
      <m:oMathPara>
        <m:oMath>
          <m:r>
            <m:t>Ncap=21600×3.5×0.75×0.0437967=2483.27 kgN/d</m:t>
          </m:r>
        </m:oMath>
      </m:oMathPara>
    </w:p>
    <w:p>
      <w:pPr>
        <w:pStyle w:val="BodyText"/>
        <w:keepNext w:val="0"/>
        <w:keepLines w:val="0"/>
        <w:widowControl w:val="0"/>
        <w:spacing w:before="0" w:after="120" w:line="288" w:lineRule="auto"/>
        <w:ind w:firstLine="420"/>
      </w:pPr>
      <w:r>
        <w:rPr>
          <w:rFonts w:ascii="Songti SC" w:hAnsi="Songti SC" w:eastAsia="Songti SC" w:cs="Songti SC"/>
          <w:b w:val="0"/>
          <w:sz w:val="24"/>
        </w:rPr>
        <w:t>相对保守容量工况2297.46 kgN/d的余量为8.09%。该余量适用于15℃设计温度和本节采用参数；低于15℃或甲醇驯化不足时需降低负荷、调整分区或增加载体/池容。</w:t>
      </w:r>
    </w:p>
    <w:p>
      <w:pPr>
        <w:pStyle w:val="Heading2"/>
        <w:keepNext w:val="0"/>
        <w:keepLines w:val="0"/>
      </w:pPr>
      <w:r>
        <w:t>9.4 铁盐除磷</w:t>
      </w:r>
    </w:p>
    <w:p>
      <w:pPr>
        <w:pStyle w:val="BodyText"/>
        <w:keepNext w:val="0"/>
        <w:keepLines w:val="0"/>
        <w:widowControl w:val="0"/>
        <w:spacing w:before="0" w:after="120" w:line="288" w:lineRule="auto"/>
        <w:ind w:firstLine="420"/>
      </w:pPr>
      <w:r>
        <w:rPr>
          <w:rFonts w:ascii="Songti SC" w:hAnsi="Songti SC" w:eastAsia="Songti SC" w:cs="Songti SC"/>
          <w:b w:val="0"/>
          <w:sz w:val="24"/>
        </w:rPr>
        <w:t>初沉后TP负荷555 kgP/d，达到108 kgP/d日均目标仍需去除447 kgP/d。生物除磷容量仅按基准净VSS的4%计114.18 kgP/d，不给甲醇生物量重复分配磷信用；化学去除量332.82 kgP/d。Fe/P摩尔比取2.0：</w:t>
      </w:r>
    </w:p>
    <w:p>
      <w:pPr>
        <w:keepNext w:val="0"/>
        <w:keepLines w:val="0"/>
        <w:widowControl w:val="0"/>
        <w:spacing w:before="0" w:after="100" w:line="288" w:lineRule="auto"/>
        <w:jc w:val="center"/>
      </w:pPr>
      <m:oMathPara>
        <m:oMath>
          <m:r>
            <m:t>nP=332.82/30.973762=10.745 kmol/d；nFe=21.491 kmol/d</m:t>
          </m:r>
        </m:oMath>
      </m:oMathPara>
    </w:p>
    <w:p>
      <w:pPr>
        <w:keepNext w:val="0"/>
        <w:keepLines w:val="0"/>
        <w:widowControl w:val="0"/>
        <w:spacing w:before="0" w:after="100" w:line="288" w:lineRule="auto"/>
        <w:jc w:val="center"/>
      </w:pPr>
      <m:oMathPara>
        <m:oMath>
          <m:r>
            <m:t>MFeCl₃=21.491×162.204=3485.82 kg/d</m:t>
          </m:r>
        </m:oMath>
      </m:oMathPara>
    </w:p>
    <w:p>
      <w:pPr>
        <w:pStyle w:val="BodyText"/>
        <w:keepNext w:val="0"/>
        <w:keepLines w:val="0"/>
        <w:widowControl w:val="0"/>
        <w:spacing w:before="0" w:after="120" w:line="288" w:lineRule="auto"/>
        <w:ind w:firstLine="420"/>
      </w:pPr>
      <w:r>
        <w:rPr>
          <w:rFonts w:ascii="Songti SC" w:hAnsi="Songti SC" w:eastAsia="Songti SC" w:cs="Songti SC"/>
          <w:b w:val="0"/>
          <w:sz w:val="24"/>
        </w:rPr>
        <w:t>40% FeCl₃溶液密度按1.40 t/m³，则计算量6.225 m³/d；加20%日储供容量取7.47 m³/d。峰时计量能力为6.225×1.30/24=0.337 m³/h，采用2台100%容量泵、单泵额定0.40 m³/h。EPA手册第9章示例可支持40%溶液和1.4 kg/L密度作为课程假设，实际产品浓度和密度须由供货证书校正。</w:t>
      </w:r>
    </w:p>
    <w:p>
      <w:pPr>
        <w:keepNext/>
        <w:keepLines w:val="0"/>
        <w:jc w:val="center"/>
      </w:pPr>
      <w:r>
        <w:drawing>
          <wp:inline xmlns:a="http://schemas.openxmlformats.org/drawingml/2006/main" xmlns:pic="http://schemas.openxmlformats.org/drawingml/2006/picture">
            <wp:extent cx="5715000" cy="2857500"/>
            <wp:docPr id="7" name="Picture 7"/>
            <wp:cNvGraphicFramePr>
              <a:graphicFrameLocks noChangeAspect="1"/>
            </wp:cNvGraphicFramePr>
            <a:graphic>
              <a:graphicData uri="http://schemas.openxmlformats.org/drawingml/2006/picture">
                <pic:pic>
                  <pic:nvPicPr>
                    <pic:cNvPr id="0" name="07_dosing_balance.png"/>
                    <pic:cNvPicPr/>
                  </pic:nvPicPr>
                  <pic:blipFill>
                    <a:blip r:embed="rId16"/>
                    <a:stretch>
                      <a:fillRect/>
                    </a:stretch>
                  </pic:blipFill>
                  <pic:spPr>
                    <a:xfrm>
                      <a:off x="0" y="0"/>
                      <a:ext cx="5715000" cy="2857500"/>
                    </a:xfrm>
                    <a:prstGeom prst="rect"/>
                  </pic:spPr>
                </pic:pic>
              </a:graphicData>
            </a:graphic>
          </wp:inline>
        </w:drawing>
      </w:r>
    </w:p>
    <w:p>
      <w:pPr>
        <w:keepNext w:val="0"/>
        <w:keepLines w:val="0"/>
        <w:widowControl w:val="0"/>
        <w:spacing w:before="0" w:after="120" w:line="288" w:lineRule="auto"/>
        <w:jc w:val="center"/>
      </w:pPr>
      <w:r>
        <w:rPr>
          <w:rFonts w:ascii="Songti SC" w:hAnsi="Songti SC" w:eastAsia="Songti SC" w:cs="Songti SC"/>
          <w:b w:val="0"/>
          <w:sz w:val="21"/>
        </w:rPr>
        <w:t>图9-1 投药与固体闭合边界</w:t>
      </w:r>
    </w:p>
    <w:p>
      <w:pPr>
        <w:pStyle w:val="Heading2"/>
        <w:keepNext w:val="0"/>
        <w:keepLines w:val="0"/>
      </w:pPr>
      <w:r>
        <w:t>9.5 化学固体与碱度</w:t>
      </w:r>
    </w:p>
    <w:p>
      <w:pPr>
        <w:pStyle w:val="BodyText"/>
        <w:keepNext w:val="0"/>
        <w:keepLines w:val="0"/>
        <w:widowControl w:val="0"/>
        <w:spacing w:before="0" w:after="120" w:line="288" w:lineRule="auto"/>
        <w:ind w:firstLine="420"/>
      </w:pPr>
      <w:r>
        <w:rPr>
          <w:rFonts w:ascii="Songti SC" w:hAnsi="Songti SC" w:eastAsia="Songti SC" w:cs="Songti SC"/>
          <w:b w:val="0"/>
          <w:sz w:val="24"/>
        </w:rPr>
        <w:t>1 mol Fe与磷形成FePO₄，另一mol过量Fe形成Fe(OH)₃，化学干固体：</w:t>
      </w:r>
    </w:p>
    <w:p>
      <w:pPr>
        <w:keepNext w:val="0"/>
        <w:keepLines w:val="0"/>
        <w:widowControl w:val="0"/>
        <w:spacing w:before="0" w:after="100" w:line="288" w:lineRule="auto"/>
        <w:jc w:val="center"/>
      </w:pPr>
      <m:oMathPara>
        <m:oMath>
          <m:r>
            <m:t>Mchem=10.745×(150.815+106.867)=2768.84 kg/d</m:t>
          </m:r>
        </m:oMath>
      </m:oMathPara>
    </w:p>
    <w:p>
      <w:pPr>
        <w:pStyle w:val="BodyText"/>
        <w:keepNext w:val="0"/>
        <w:keepLines w:val="0"/>
        <w:widowControl w:val="0"/>
        <w:spacing w:before="0" w:after="120" w:line="288" w:lineRule="auto"/>
        <w:ind w:firstLine="420"/>
      </w:pPr>
      <w:r>
        <w:rPr>
          <w:rFonts w:ascii="Songti SC" w:hAnsi="Songti SC" w:eastAsia="Songti SC" w:cs="Songti SC"/>
          <w:b w:val="0"/>
          <w:sz w:val="24"/>
        </w:rPr>
        <w:t>碱度按EPA式3-2的磷酸盐反应2当量、过量铁水解3当量，铁盐耗碱2686.29 kgCaCO₃/d。硝化耗碱7.14 kgCaCO₃/kgN，反硝化回补3.57 kgCaCO₃/kgN；按硝化容量上界3936 kgN/d和反硝化容量2297.46 kgN/d，生物净耗碱19901.12 kgCaCO₃/d。</w:t>
      </w:r>
    </w:p>
    <w:p>
      <w:pPr>
        <w:keepNext w:val="0"/>
        <w:keepLines w:val="0"/>
        <w:widowControl w:val="0"/>
        <w:spacing w:before="0" w:after="100" w:line="288" w:lineRule="auto"/>
        <w:jc w:val="center"/>
      </w:pPr>
      <m:oMathPara>
        <m:oMath>
          <m:r>
            <m:t>Alkin,min=[7.14×3936−3.57×2297.46+2686.29]×1000/108000+70</m:t>
          </m:r>
        </m:oMath>
      </m:oMathPara>
    </w:p>
    <w:p>
      <w:pPr>
        <w:keepNext w:val="0"/>
        <w:keepLines w:val="0"/>
        <w:widowControl w:val="0"/>
        <w:spacing w:before="0" w:after="100" w:line="288" w:lineRule="auto"/>
        <w:jc w:val="center"/>
      </w:pPr>
      <m:oMathPara>
        <m:oMath>
          <m:r>
            <m:t>Alkin,min=279.1 mg/L as CaCO₃</m:t>
          </m:r>
        </m:oMath>
      </m:oMathPara>
    </w:p>
    <w:p>
      <w:pPr>
        <w:pStyle w:val="BodyText"/>
        <w:keepNext w:val="0"/>
        <w:keepLines w:val="0"/>
        <w:widowControl w:val="0"/>
        <w:spacing w:before="0" w:after="120" w:line="288" w:lineRule="auto"/>
        <w:ind w:firstLine="420"/>
      </w:pPr>
      <w:r>
        <w:rPr>
          <w:rFonts w:ascii="Songti SC" w:hAnsi="Songti SC" w:eastAsia="Songti SC" w:cs="Songti SC"/>
          <w:b w:val="0"/>
          <w:sz w:val="24"/>
        </w:rPr>
        <w:t>设计边界为进水碱度不低于279 mg/L（含出水残余70 mg/L）。若实测低于该值，应设置碱剂投加。按99% NaHCO₃，折算关系为84/50 kgNaHCO₃/kgCaCO₃：</w:t>
      </w:r>
    </w:p>
    <w:p>
      <w:pPr>
        <w:keepNext w:val="0"/>
        <w:keepLines w:val="0"/>
        <w:widowControl w:val="0"/>
        <w:spacing w:before="0" w:after="100" w:line="288" w:lineRule="auto"/>
        <w:jc w:val="center"/>
      </w:pPr>
      <m:oMathPara>
        <m:oMath>
          <m:r>
            <m:t>MNaHCO₃=(279.14−Alkin)×108000/1000×(84/50)/0.99</m:t>
          </m:r>
        </m:oMath>
      </m:oMathPara>
    </w:p>
    <w:p>
      <w:pPr>
        <w:keepNext/>
        <w:keepLines w:val="0"/>
        <w:widowControl w:val="0"/>
        <w:spacing w:before="0" w:after="120" w:line="288" w:lineRule="auto"/>
        <w:jc w:val="center"/>
      </w:pPr>
      <w:r>
        <w:rPr>
          <w:rFonts w:ascii="Songti SC" w:hAnsi="Songti SC" w:eastAsia="Songti SC" w:cs="Songti SC"/>
          <w:b w:val="0"/>
          <w:sz w:val="21"/>
        </w:rPr>
        <w:t>表9-1 实测进水碱度 mg/L、缺口 mg/L（CaCO₃）汇总</w:t>
      </w:r>
    </w:p>
    <w:tbl>
      <w:tblPr>
        <w:tblW w:type="auto" w:w="0"/>
        <w:jc w:val="center"/>
        <w:tblLayout w:type="fixed"/>
        <w:tblLook w:firstColumn="1" w:firstRow="1" w:lastColumn="0" w:lastRow="0" w:noHBand="0" w:noVBand="1" w:val="04A0"/>
      </w:tblPr>
      <w:tblGrid>
        <w:gridCol w:w="2310"/>
        <w:gridCol w:w="2310"/>
        <w:gridCol w:w="2310"/>
        <w:gridCol w:w="2310"/>
      </w:tblGrid>
      <w:tr>
        <w:trPr>
          <w:tblHeader w:val="true"/>
          <w:cantSplit/>
        </w:trPr>
        <w:tc>
          <w:tcPr>
            <w:tcW w:type="dxa" w:w="2268"/>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9"/>
              </w:rPr>
              <w:t>实测进水碱度 mg/L</w:t>
            </w:r>
          </w:p>
        </w:tc>
        <w:tc>
          <w:tcPr>
            <w:tcW w:type="dxa" w:w="2381"/>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9"/>
              </w:rPr>
              <w:t>缺口 mg/L（CaCO₃）</w:t>
            </w:r>
          </w:p>
        </w:tc>
        <w:tc>
          <w:tcPr>
            <w:tcW w:type="dxa" w:w="2041"/>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9"/>
              </w:rPr>
              <w:t>99% NaHCO₃ kg/d</w:t>
            </w:r>
          </w:p>
        </w:tc>
        <w:tc>
          <w:tcPr>
            <w:tcW w:type="dxa" w:w="2041"/>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9"/>
              </w:rPr>
              <w:t>加20%容量 kg/d</w:t>
            </w:r>
          </w:p>
        </w:tc>
      </w:tr>
      <w:tr>
        <w:trPr>
          <w:cantSplit/>
        </w:trPr>
        <w:tc>
          <w:tcPr>
            <w:tcW w:type="dxa" w:w="226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9"/>
              </w:rPr>
              <w:t>100</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179.14</w:t>
            </w:r>
          </w:p>
        </w:tc>
        <w:tc>
          <w:tcPr>
            <w:tcW w:type="dxa" w:w="204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32,832</w:t>
            </w:r>
          </w:p>
        </w:tc>
        <w:tc>
          <w:tcPr>
            <w:tcW w:type="dxa" w:w="204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39,398</w:t>
            </w:r>
          </w:p>
        </w:tc>
      </w:tr>
      <w:tr>
        <w:trPr>
          <w:cantSplit/>
        </w:trPr>
        <w:tc>
          <w:tcPr>
            <w:tcW w:type="dxa" w:w="226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9"/>
              </w:rPr>
              <w:t>150</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129.14</w:t>
            </w:r>
          </w:p>
        </w:tc>
        <w:tc>
          <w:tcPr>
            <w:tcW w:type="dxa" w:w="204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23,668</w:t>
            </w:r>
          </w:p>
        </w:tc>
        <w:tc>
          <w:tcPr>
            <w:tcW w:type="dxa" w:w="204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28,402</w:t>
            </w:r>
          </w:p>
        </w:tc>
      </w:tr>
      <w:tr>
        <w:trPr>
          <w:cantSplit/>
        </w:trPr>
        <w:tc>
          <w:tcPr>
            <w:tcW w:type="dxa" w:w="226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9"/>
              </w:rPr>
              <w:t>200</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79.14</w:t>
            </w:r>
          </w:p>
        </w:tc>
        <w:tc>
          <w:tcPr>
            <w:tcW w:type="dxa" w:w="204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14,505</w:t>
            </w:r>
          </w:p>
        </w:tc>
        <w:tc>
          <w:tcPr>
            <w:tcW w:type="dxa" w:w="204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17,406</w:t>
            </w:r>
          </w:p>
        </w:tc>
      </w:tr>
    </w:tbl>
    <w:p>
      <w:pPr>
        <w:spacing w:after="20"/>
      </w:pPr>
    </w:p>
    <w:p>
      <w:pPr>
        <w:pStyle w:val="BodyText"/>
        <w:keepNext w:val="0"/>
        <w:keepLines w:val="0"/>
        <w:widowControl w:val="0"/>
        <w:spacing w:before="0" w:after="120" w:line="288" w:lineRule="auto"/>
        <w:ind w:firstLine="420"/>
      </w:pPr>
      <w:r>
        <w:rPr>
          <w:rFonts w:ascii="Songti SC" w:hAnsi="Songti SC" w:eastAsia="Songti SC" w:cs="Songti SC"/>
          <w:b w:val="0"/>
          <w:sz w:val="24"/>
        </w:rPr>
        <w:t>以进水碱度不低于100 mg/L作为课程设备接口边界，99% NaHCO₃干粉储供能力暂取40000 kg/d；按1.30峰时系数，设置2套100%容量干粉计量给料装置、单套不小于2.2 t/h。干粉进入溶解罐配制溶液，再由2台100%溶液计量泵投至生物池前端；溶液泵流量按实际配制质量分数换算。若实测低于100 mg/L或改用液碱，应按纯度、密度、pH和安全条件重定。该容量是条件性边界，不是固定运行剂量。</w:t>
      </w:r>
    </w:p>
    <w:p>
      <w:pPr>
        <w:pStyle w:val="Heading2"/>
        <w:keepNext w:val="0"/>
        <w:keepLines w:val="0"/>
      </w:pPr>
      <w:r>
        <w:t>9.6 总固体库存与排泥</w:t>
      </w:r>
    </w:p>
    <w:p>
      <w:pPr>
        <w:pStyle w:val="BodyText"/>
        <w:keepNext w:val="0"/>
        <w:keepLines w:val="0"/>
        <w:widowControl w:val="0"/>
        <w:spacing w:before="0" w:after="120" w:line="288" w:lineRule="auto"/>
        <w:ind w:firstLine="420"/>
      </w:pPr>
      <w:r>
        <w:rPr>
          <w:rFonts w:ascii="Songti SC" w:hAnsi="Songti SC" w:eastAsia="Songti SC" w:cs="Songti SC"/>
          <w:b w:val="0"/>
          <w:sz w:val="24"/>
        </w:rPr>
        <w:t>基准混合固体库存63000×3.5=220500 kg，按20 d排出11025 kg/d。铁盐固体另建立20 d稳态库存55376.8 kg、每日排出2768.84 kg。总库存275876.8 kg，总排固13793.84 kg/d，总表观固体龄仍为20 d。</w:t>
      </w:r>
    </w:p>
    <w:p>
      <w:pPr>
        <w:keepNext w:val="0"/>
        <w:keepLines w:val="0"/>
        <w:widowControl w:val="0"/>
        <w:spacing w:before="0" w:after="100" w:line="288" w:lineRule="auto"/>
        <w:jc w:val="center"/>
      </w:pPr>
      <m:oMathPara>
        <m:oMath>
          <m:r>
            <m:t>Xsec=3.5+(2768.84×20)/63000=4.3790 kg/m³</m:t>
          </m:r>
        </m:oMath>
      </m:oMathPara>
    </w:p>
    <w:p>
      <w:pPr>
        <w:pStyle w:val="BodyText"/>
        <w:keepNext w:val="0"/>
        <w:keepLines w:val="0"/>
        <w:widowControl w:val="0"/>
        <w:spacing w:before="0" w:after="120" w:line="288" w:lineRule="auto"/>
        <w:ind w:firstLine="420"/>
      </w:pPr>
      <w:r>
        <w:rPr>
          <w:rFonts w:ascii="Songti SC" w:hAnsi="Songti SC" w:eastAsia="Songti SC" w:cs="Songti SC"/>
          <w:b w:val="0"/>
          <w:sz w:val="24"/>
        </w:rPr>
        <w:t>甲醇容量工况净生物固体2,242.1 kg/d已包含于3.5 kg/m³基准库存与11025 kg/d基准排出中，不再向二沉通量重复相加。扣除基准异养和甲醇净生物量后，基准排出剩余5,928.3 kg/d，作为普通进水惰性/可降解残余及硝化菌固体的闭合分配，占初沉后SS负荷的39.5%，小于其15000 kg/d输入。这是课程质量平衡假设，不是实测VSS分级。</w:t>
      </w:r>
    </w:p>
    <w:p>
      <w:pPr>
        <w:pStyle w:val="Heading1"/>
        <w:keepNext w:val="0"/>
        <w:keepLines w:val="0"/>
        <w:pageBreakBefore/>
      </w:pPr>
      <w:r>
        <w:t>10 需氧量、曝气器与鼓风机</w:t>
      </w:r>
    </w:p>
    <w:p>
      <w:pPr>
        <w:pStyle w:val="Heading2"/>
        <w:keepNext w:val="0"/>
        <w:keepLines w:val="0"/>
      </w:pPr>
      <w:r>
        <w:t>10.1 最不利需氧情景</w:t>
      </w:r>
    </w:p>
    <w:p>
      <w:pPr>
        <w:pStyle w:val="BodyText"/>
        <w:keepNext w:val="0"/>
        <w:keepLines w:val="0"/>
        <w:widowControl w:val="0"/>
        <w:spacing w:before="0" w:after="120" w:line="288" w:lineRule="auto"/>
        <w:ind w:firstLine="420"/>
      </w:pPr>
      <w:r>
        <w:rPr>
          <w:rFonts w:ascii="Songti SC" w:hAnsi="Songti SC" w:eastAsia="Songti SC" w:cs="Songti SC"/>
          <w:b w:val="0"/>
          <w:sz w:val="24"/>
        </w:rPr>
        <w:t>需氧计算与碳源边界保持一致：既然容量工况假设原水可利用反硝化碳为零，原水BOD氧化项就不扣2.86倍反硝化氧当量。按BOD去除的1.10倍、硝化4.57 kgO₂/kgN，并保守将甲醇毛生物量按1.42 kgO₂/kgVSS完全氧化：</w:t>
      </w:r>
    </w:p>
    <w:p>
      <w:pPr>
        <w:keepNext w:val="0"/>
        <w:keepLines w:val="0"/>
        <w:widowControl w:val="0"/>
        <w:spacing w:before="0" w:after="100" w:line="288" w:lineRule="auto"/>
        <w:jc w:val="center"/>
      </w:pPr>
      <m:oMathPara>
        <m:oMath>
          <m:r>
            <m:t>AORd=1.10×11340+4.57×3936+1.42×3716.41</m:t>
          </m:r>
        </m:oMath>
      </m:oMathPara>
    </w:p>
    <w:p>
      <w:pPr>
        <w:keepNext/>
        <w:keepLines w:val="0"/>
        <w:widowControl w:val="0"/>
        <w:spacing w:before="0" w:after="120" w:line="288" w:lineRule="auto"/>
        <w:jc w:val="center"/>
      </w:pPr>
      <w:r>
        <w:rPr>
          <w:rFonts w:ascii="Songti SC" w:hAnsi="Songti SC" w:eastAsia="Songti SC" w:cs="Songti SC"/>
          <w:b w:val="0"/>
          <w:sz w:val="21"/>
        </w:rPr>
        <w:t>表10-1 需氧项、数值汇总</w:t>
      </w:r>
    </w:p>
    <w:tbl>
      <w:tblPr>
        <w:tblW w:type="auto" w:w="0"/>
        <w:jc w:val="center"/>
        <w:tblLayout w:type="fixed"/>
        <w:tblLook w:firstColumn="1" w:firstRow="1" w:lastColumn="0" w:lastRow="0" w:noHBand="0" w:noVBand="1" w:val="04A0"/>
      </w:tblPr>
      <w:tblGrid>
        <w:gridCol w:w="3081"/>
        <w:gridCol w:w="3081"/>
        <w:gridCol w:w="3081"/>
      </w:tblGrid>
      <w:tr>
        <w:trPr>
          <w:tblHeader w:val="true"/>
          <w:cantSplit/>
        </w:trPr>
        <w:tc>
          <w:tcPr>
            <w:tcW w:type="dxa" w:w="1984"/>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需氧项</w:t>
            </w:r>
          </w:p>
        </w:tc>
        <w:tc>
          <w:tcPr>
            <w:tcW w:type="dxa" w:w="2041"/>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数值</w:t>
            </w:r>
          </w:p>
        </w:tc>
        <w:tc>
          <w:tcPr>
            <w:tcW w:type="dxa" w:w="4195"/>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边界说明</w:t>
            </w:r>
          </w:p>
        </w:tc>
      </w:tr>
      <w:tr>
        <w:trPr>
          <w:cantSplit/>
        </w:trPr>
        <w:tc>
          <w:tcPr>
            <w:tcW w:type="dxa" w:w="198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原水BOD</w:t>
            </w:r>
          </w:p>
        </w:tc>
        <w:tc>
          <w:tcPr>
            <w:tcW w:type="dxa" w:w="204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12,474.0 kgO₂/d</w:t>
            </w:r>
          </w:p>
        </w:tc>
        <w:tc>
          <w:tcPr>
            <w:tcW w:type="dxa" w:w="419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不扣反硝化氧当量</w:t>
            </w:r>
          </w:p>
        </w:tc>
      </w:tr>
      <w:tr>
        <w:trPr>
          <w:cantSplit/>
        </w:trPr>
        <w:tc>
          <w:tcPr>
            <w:tcW w:type="dxa" w:w="198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硝化</w:t>
            </w:r>
          </w:p>
        </w:tc>
        <w:tc>
          <w:tcPr>
            <w:tcW w:type="dxa" w:w="204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17,987.5 kgO₂/d</w:t>
            </w:r>
          </w:p>
        </w:tc>
        <w:tc>
          <w:tcPr>
            <w:tcW w:type="dxa" w:w="419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以TN减NH₄出水作上界</w:t>
            </w:r>
          </w:p>
        </w:tc>
      </w:tr>
      <w:tr>
        <w:trPr>
          <w:cantSplit/>
        </w:trPr>
        <w:tc>
          <w:tcPr>
            <w:tcW w:type="dxa" w:w="198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甲醇生物量</w:t>
            </w:r>
          </w:p>
        </w:tc>
        <w:tc>
          <w:tcPr>
            <w:tcW w:type="dxa" w:w="204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5,277.3 kgO₂/d</w:t>
            </w:r>
          </w:p>
        </w:tc>
        <w:tc>
          <w:tcPr>
            <w:tcW w:type="dxa" w:w="419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按毛生物量全部终极氧化</w:t>
            </w:r>
          </w:p>
        </w:tc>
      </w:tr>
      <w:tr>
        <w:trPr>
          <w:cantSplit/>
        </w:trPr>
        <w:tc>
          <w:tcPr>
            <w:tcW w:type="dxa" w:w="198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平均合计</w:t>
            </w:r>
          </w:p>
        </w:tc>
        <w:tc>
          <w:tcPr>
            <w:tcW w:type="dxa" w:w="204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35,738.8 kgO₂/d</w:t>
            </w:r>
          </w:p>
        </w:tc>
        <w:tc>
          <w:tcPr>
            <w:tcW w:type="dxa" w:w="419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1,489.1 kgO₂/h</w:t>
            </w:r>
          </w:p>
        </w:tc>
      </w:tr>
      <w:tr>
        <w:trPr>
          <w:cantSplit/>
        </w:trPr>
        <w:tc>
          <w:tcPr>
            <w:tcW w:type="dxa" w:w="198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设计AOR</w:t>
            </w:r>
          </w:p>
        </w:tc>
        <w:tc>
          <w:tcPr>
            <w:tcW w:type="dxa" w:w="204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2,129.4 kgO₂/h</w:t>
            </w:r>
          </w:p>
        </w:tc>
        <w:tc>
          <w:tcPr>
            <w:tcW w:type="dxa" w:w="419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再乘1.30峰值和1.10余量</w:t>
            </w:r>
          </w:p>
        </w:tc>
      </w:tr>
    </w:tbl>
    <w:p>
      <w:pPr>
        <w:spacing w:after="20"/>
      </w:pPr>
    </w:p>
    <w:p>
      <w:pPr>
        <w:pStyle w:val="Heading2"/>
        <w:keepNext w:val="0"/>
        <w:keepLines w:val="0"/>
      </w:pPr>
      <w:r>
        <w:t>10.2 标准供气量</w:t>
      </w:r>
    </w:p>
    <w:p>
      <w:pPr>
        <w:pStyle w:val="BodyText"/>
        <w:keepNext w:val="0"/>
        <w:keepLines w:val="0"/>
        <w:widowControl w:val="0"/>
        <w:spacing w:before="0" w:after="120" w:line="288" w:lineRule="auto"/>
        <w:ind w:firstLine="420"/>
      </w:pPr>
      <w:r>
        <w:rPr>
          <w:rFonts w:ascii="Songti SC" w:hAnsi="Songti SC" w:eastAsia="Songti SC" w:cs="Songti SC"/>
          <w:b w:val="0"/>
          <w:sz w:val="24"/>
        </w:rPr>
        <w:t>采用氧利用率EA=25%、α=0.80、β=0.95、25℃、池内DO=2 mg/L。尾气氧体积分数及4.75 m淹没的中深饱和浓度按同一压力基准计算：</w:t>
      </w:r>
    </w:p>
    <w:p>
      <w:pPr>
        <w:keepNext w:val="0"/>
        <w:keepLines w:val="0"/>
        <w:widowControl w:val="0"/>
        <w:spacing w:before="0" w:after="100" w:line="288" w:lineRule="auto"/>
        <w:jc w:val="center"/>
      </w:pPr>
      <m:oMathPara>
        <m:oMath>
          <m:r>
            <m:t>Ot=21(1−0.25)/[79+21(1−0.25)]×100=16.623%</m:t>
          </m:r>
        </m:oMath>
      </m:oMathPara>
    </w:p>
    <w:p>
      <w:pPr>
        <w:keepNext w:val="0"/>
        <w:keepLines w:val="0"/>
        <w:widowControl w:val="0"/>
        <w:spacing w:before="0" w:after="100" w:line="288" w:lineRule="auto"/>
        <w:jc w:val="center"/>
      </w:pPr>
      <m:oMathPara>
        <m:oMath>
          <m:r>
            <m:t>Csm=(8.26/2){[(101.325+9.81×4.75)/101.325]+Ot/21}=9.298 mg/L</m:t>
          </m:r>
        </m:oMath>
      </m:oMathPara>
    </w:p>
    <w:p>
      <w:pPr>
        <w:keepNext w:val="0"/>
        <w:keepLines w:val="0"/>
        <w:widowControl w:val="0"/>
        <w:spacing w:before="0" w:after="100" w:line="288" w:lineRule="auto"/>
        <w:jc w:val="center"/>
      </w:pPr>
      <m:oMathPara>
        <m:oMath>
          <m:r>
            <m:t>F=0.80(0.95Csm−2)/9.17×1.024⁵=0.67122</m:t>
          </m:r>
        </m:oMath>
      </m:oMathPara>
    </w:p>
    <w:p>
      <w:pPr>
        <w:keepNext w:val="0"/>
        <w:keepLines w:val="0"/>
        <w:widowControl w:val="0"/>
        <w:spacing w:before="0" w:after="100" w:line="288" w:lineRule="auto"/>
        <w:jc w:val="center"/>
      </w:pPr>
      <m:oMathPara>
        <m:oMath>
          <m:r>
            <m:t>SOR=2129.44/0.67122=3172.49 kgO₂/h</m:t>
          </m:r>
        </m:oMath>
      </m:oMathPara>
    </w:p>
    <w:p>
      <w:pPr>
        <w:keepNext w:val="0"/>
        <w:keepLines w:val="0"/>
        <w:widowControl w:val="0"/>
        <w:spacing w:before="0" w:after="100" w:line="288" w:lineRule="auto"/>
        <w:jc w:val="center"/>
      </w:pPr>
      <m:oMathPara>
        <m:oMath>
          <m:r>
            <m:t>Gair=SOR/(0.30×EA)=42300 Nm³/h</m:t>
          </m:r>
        </m:oMath>
      </m:oMathPara>
    </w:p>
    <w:p>
      <w:pPr>
        <w:pStyle w:val="BodyText"/>
        <w:keepNext w:val="0"/>
        <w:keepLines w:val="0"/>
        <w:widowControl w:val="0"/>
        <w:spacing w:before="0" w:after="120" w:line="288" w:lineRule="auto"/>
        <w:ind w:firstLine="420"/>
      </w:pPr>
      <w:r>
        <w:rPr>
          <w:rFonts w:ascii="Songti SC" w:hAnsi="Songti SC" w:eastAsia="Songti SC" w:cs="Songti SC"/>
          <w:b w:val="0"/>
          <w:sz w:val="24"/>
        </w:rPr>
        <w:t>取48000 Nm³/h，折算现场氧能力2,416.4 kg/h，比设计AOR高13.5%。按每盘5.0 Nm³/h配置9600盘，每系列2400盘；Xylem官方229 mm Silver Series II样本给出0.8～6.8 Nm³/h和每米淹没深度SOTE 6%～8%的能力包络，5.0在样本范围内，但池内均匀性仍须由布管和现场氧转移测试确认。</w:t>
      </w:r>
    </w:p>
    <w:p>
      <w:pPr>
        <w:keepNext/>
        <w:keepLines w:val="0"/>
        <w:jc w:val="center"/>
      </w:pPr>
      <w:r>
        <w:drawing>
          <wp:inline xmlns:a="http://schemas.openxmlformats.org/drawingml/2006/main" xmlns:pic="http://schemas.openxmlformats.org/drawingml/2006/picture">
            <wp:extent cx="5715000" cy="2857500"/>
            <wp:docPr id="8" name="Picture 8"/>
            <wp:cNvGraphicFramePr>
              <a:graphicFrameLocks noChangeAspect="1"/>
            </wp:cNvGraphicFramePr>
            <a:graphic>
              <a:graphicData uri="http://schemas.openxmlformats.org/drawingml/2006/picture">
                <pic:pic>
                  <pic:nvPicPr>
                    <pic:cNvPr id="0" name="08_aeration.png"/>
                    <pic:cNvPicPr/>
                  </pic:nvPicPr>
                  <pic:blipFill>
                    <a:blip r:embed="rId17"/>
                    <a:stretch>
                      <a:fillRect/>
                    </a:stretch>
                  </pic:blipFill>
                  <pic:spPr>
                    <a:xfrm>
                      <a:off x="0" y="0"/>
                      <a:ext cx="5715000" cy="2857500"/>
                    </a:xfrm>
                    <a:prstGeom prst="rect"/>
                  </pic:spPr>
                </pic:pic>
              </a:graphicData>
            </a:graphic>
          </wp:inline>
        </w:drawing>
      </w:r>
    </w:p>
    <w:p>
      <w:pPr>
        <w:keepNext w:val="0"/>
        <w:keepLines w:val="0"/>
        <w:widowControl w:val="0"/>
        <w:spacing w:before="0" w:after="120" w:line="288" w:lineRule="auto"/>
        <w:jc w:val="center"/>
      </w:pPr>
      <w:r>
        <w:rPr>
          <w:rFonts w:ascii="Songti SC" w:hAnsi="Songti SC" w:eastAsia="Songti SC" w:cs="Songti SC"/>
          <w:b w:val="0"/>
          <w:sz w:val="21"/>
        </w:rPr>
        <w:t>图10-1 曝气与鼓风系统计算草图</w:t>
      </w:r>
    </w:p>
    <w:p>
      <w:pPr>
        <w:pStyle w:val="Heading2"/>
        <w:keepNext w:val="0"/>
        <w:keepLines w:val="0"/>
      </w:pPr>
      <w:r>
        <w:t>10.3 鼓风机和压力</w:t>
      </w:r>
    </w:p>
    <w:p>
      <w:pPr>
        <w:pStyle w:val="BodyText"/>
        <w:keepNext w:val="0"/>
        <w:keepLines w:val="0"/>
        <w:widowControl w:val="0"/>
        <w:spacing w:before="0" w:after="120" w:line="288" w:lineRule="auto"/>
        <w:ind w:firstLine="420"/>
      </w:pPr>
      <w:r>
        <w:rPr>
          <w:rFonts w:ascii="Songti SC" w:hAnsi="Songti SC" w:eastAsia="Songti SC" w:cs="Songti SC"/>
          <w:b w:val="0"/>
          <w:sz w:val="24"/>
        </w:rPr>
        <w:t>鼓风机初选AERZEN AT 200-0.8 S G5plus，共9台、8用1备；每台标准风量6000 Nm³/h。官方G5plus型录的AT 200-0.8 S能力包络为800 mbar、入口体积流量2700～8400 m³/h、最大165 kW。6000 Nm³/h为标准状态体积，型录工作点另按入口温度、绝压和湿度换算。</w:t>
      </w:r>
    </w:p>
    <w:p>
      <w:pPr>
        <w:keepNext w:val="0"/>
        <w:keepLines w:val="0"/>
        <w:widowControl w:val="0"/>
        <w:spacing w:before="0" w:after="100" w:line="288" w:lineRule="auto"/>
        <w:jc w:val="center"/>
      </w:pPr>
      <m:oMathPara>
        <m:oMath>
          <m:r>
            <m:t>Q1=QN×(T1/TN)×(pN−φN·pvN)/(p1−φ1·pv1)</m:t>
          </m:r>
        </m:oMath>
      </m:oMathPara>
    </w:p>
    <w:p>
      <w:pPr>
        <w:pStyle w:val="BodyText"/>
        <w:keepNext w:val="0"/>
        <w:keepLines w:val="0"/>
        <w:widowControl w:val="0"/>
        <w:spacing w:before="0" w:after="120" w:line="288" w:lineRule="auto"/>
        <w:ind w:firstLine="420"/>
      </w:pPr>
      <w:r>
        <w:rPr>
          <w:rFonts w:ascii="Songti SC" w:hAnsi="Songti SC" w:eastAsia="Songti SC" w:cs="Songti SC"/>
          <w:b w:val="0"/>
          <w:sz w:val="24"/>
        </w:rPr>
        <w:t>式中下标1表示鼓风机入口，pv为对应温度下的饱和水汽压。按课程海平面绝压101.325 kPa、最高环境温度42℃、100%相对湿度，42℃饱和水汽压取8.20 kPa。标准温度273.15 K；每台6000 Nm³/h换算为清洁入口7532 m³/h。若过滤器入口压降按3 kPa，有效入口绝压98.325 kPa，则为7783 m³/h，仍低于8400 m³/h。</w:t>
      </w:r>
    </w:p>
    <w:p>
      <w:pPr>
        <w:keepNext w:val="0"/>
        <w:keepLines w:val="0"/>
        <w:widowControl w:val="0"/>
        <w:spacing w:before="0" w:after="100" w:line="288" w:lineRule="auto"/>
        <w:jc w:val="center"/>
      </w:pPr>
      <m:oMathPara>
        <m:oMath>
          <m:r>
            <m:t>Qin=6000×315.15/273.15×101.325/(98.325−8.20)=7783 m³/h&lt;8400</m:t>
          </m:r>
        </m:oMath>
      </m:oMathPara>
    </w:p>
    <w:p>
      <w:pPr>
        <w:pStyle w:val="BodyText"/>
        <w:keepNext w:val="0"/>
        <w:keepLines w:val="0"/>
        <w:widowControl w:val="0"/>
        <w:spacing w:before="0" w:after="120" w:line="288" w:lineRule="auto"/>
        <w:ind w:firstLine="420"/>
      </w:pPr>
      <w:r>
        <w:rPr>
          <w:rFonts w:ascii="Songti SC" w:hAnsi="Songti SC" w:eastAsia="Songti SC" w:cs="Songti SC"/>
          <w:b w:val="0"/>
          <w:sz w:val="24"/>
        </w:rPr>
        <w:t>反解型录上限得到有效入口绝压下限91.70 kPa；再考虑3 kPa过滤压降时，环境绝压宜不低于94.70 kPa。厂址海拔/气压未给定，若实测低于该边界或入口温度更高，应增加工作台数或提高型号。厂家仍须用完整曲线确认效率、轴功率、喘振和噪声。</w:t>
      </w:r>
    </w:p>
    <w:p>
      <w:pPr>
        <w:keepNext/>
        <w:keepLines w:val="0"/>
        <w:widowControl w:val="0"/>
        <w:spacing w:before="0" w:after="120" w:line="288" w:lineRule="auto"/>
        <w:jc w:val="center"/>
      </w:pPr>
      <w:r>
        <w:rPr>
          <w:rFonts w:ascii="Songti SC" w:hAnsi="Songti SC" w:eastAsia="Songti SC" w:cs="Songti SC"/>
          <w:b w:val="0"/>
          <w:sz w:val="21"/>
        </w:rPr>
        <w:t>表10-2 压力项、kPa汇总</w:t>
      </w:r>
    </w:p>
    <w:tbl>
      <w:tblPr>
        <w:tblW w:type="auto" w:w="0"/>
        <w:jc w:val="center"/>
        <w:tblLayout w:type="fixed"/>
        <w:tblLook w:firstColumn="1" w:firstRow="1" w:lastColumn="0" w:lastRow="0" w:noHBand="0" w:noVBand="1" w:val="04A0"/>
      </w:tblPr>
      <w:tblGrid>
        <w:gridCol w:w="4621"/>
        <w:gridCol w:w="4621"/>
      </w:tblGrid>
      <w:tr>
        <w:trPr>
          <w:tblHeader w:val="true"/>
          <w:cantSplit/>
        </w:trPr>
        <w:tc>
          <w:tcPr>
            <w:tcW w:type="dxa" w:w="5386"/>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压力项</w:t>
            </w:r>
          </w:p>
        </w:tc>
        <w:tc>
          <w:tcPr>
            <w:tcW w:type="dxa" w:w="3231"/>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kPa</w:t>
            </w:r>
          </w:p>
        </w:tc>
      </w:tr>
      <w:tr>
        <w:trPr>
          <w:cantSplit/>
        </w:trPr>
        <w:tc>
          <w:tcPr>
            <w:tcW w:type="dxa" w:w="5386"/>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4.75 m淹没静压</w:t>
            </w:r>
          </w:p>
        </w:tc>
        <w:tc>
          <w:tcPr>
            <w:tcW w:type="dxa" w:w="323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46.60</w:t>
            </w:r>
          </w:p>
        </w:tc>
      </w:tr>
      <w:tr>
        <w:trPr>
          <w:cantSplit/>
        </w:trPr>
        <w:tc>
          <w:tcPr>
            <w:tcW w:type="dxa" w:w="5386"/>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曝气器</w:t>
            </w:r>
          </w:p>
        </w:tc>
        <w:tc>
          <w:tcPr>
            <w:tcW w:type="dxa" w:w="323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5.0</w:t>
            </w:r>
          </w:p>
        </w:tc>
      </w:tr>
      <w:tr>
        <w:trPr>
          <w:cantSplit/>
        </w:trPr>
        <w:tc>
          <w:tcPr>
            <w:tcW w:type="dxa" w:w="5386"/>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管网与阀件</w:t>
            </w:r>
          </w:p>
        </w:tc>
        <w:tc>
          <w:tcPr>
            <w:tcW w:type="dxa" w:w="323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6.0</w:t>
            </w:r>
          </w:p>
        </w:tc>
      </w:tr>
      <w:tr>
        <w:trPr>
          <w:cantSplit/>
        </w:trPr>
        <w:tc>
          <w:tcPr>
            <w:tcW w:type="dxa" w:w="5386"/>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余量</w:t>
            </w:r>
          </w:p>
        </w:tc>
        <w:tc>
          <w:tcPr>
            <w:tcW w:type="dxa" w:w="323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3.0</w:t>
            </w:r>
          </w:p>
        </w:tc>
      </w:tr>
      <w:tr>
        <w:trPr>
          <w:cantSplit/>
        </w:trPr>
        <w:tc>
          <w:tcPr>
            <w:tcW w:type="dxa" w:w="5386"/>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合计</w:t>
            </w:r>
          </w:p>
        </w:tc>
        <w:tc>
          <w:tcPr>
            <w:tcW w:type="dxa" w:w="323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60.60</w:t>
            </w:r>
          </w:p>
        </w:tc>
      </w:tr>
      <w:tr>
        <w:trPr>
          <w:cantSplit/>
        </w:trPr>
        <w:tc>
          <w:tcPr>
            <w:tcW w:type="dxa" w:w="5386"/>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选用设计压力</w:t>
            </w:r>
          </w:p>
        </w:tc>
        <w:tc>
          <w:tcPr>
            <w:tcW w:type="dxa" w:w="323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65.0</w:t>
            </w:r>
          </w:p>
        </w:tc>
      </w:tr>
    </w:tbl>
    <w:p>
      <w:pPr>
        <w:spacing w:after="20"/>
      </w:pPr>
    </w:p>
    <w:p>
      <w:pPr>
        <w:pStyle w:val="BodyText"/>
        <w:keepNext w:val="0"/>
        <w:keepLines w:val="0"/>
        <w:widowControl w:val="0"/>
        <w:spacing w:before="0" w:after="120" w:line="288" w:lineRule="auto"/>
        <w:ind w:firstLine="420"/>
      </w:pPr>
      <w:r>
        <w:rPr>
          <w:rFonts w:ascii="Songti SC" w:hAnsi="Songti SC" w:eastAsia="Songti SC" w:cs="Songti SC"/>
          <w:b w:val="0"/>
          <w:sz w:val="24"/>
        </w:rPr>
        <w:t>曝气水深5.0 m，曝气器距池底0.25 m，实际淹没4.75 m，静压46.60 kPa；加曝气器5、管网6和余量3 kPa，总计60.60 kPa，小于65 kPa。外部空气管暂采用DN1000母管和DN750系列支管，最终需按实际布置、噪声和喘振边界复核。</w:t>
      </w:r>
    </w:p>
    <w:p>
      <w:pPr>
        <w:pStyle w:val="Heading1"/>
        <w:keepNext w:val="0"/>
        <w:keepLines w:val="0"/>
        <w:pageBreakBefore/>
      </w:pPr>
      <w:r>
        <w:t>11 二次沉淀池与固体平衡</w:t>
      </w:r>
    </w:p>
    <w:p>
      <w:pPr>
        <w:pStyle w:val="Heading2"/>
        <w:keepNext w:val="0"/>
        <w:keepLines w:val="0"/>
      </w:pPr>
      <w:r>
        <w:t>11.1 几何与水力负荷</w:t>
      </w:r>
    </w:p>
    <w:p>
      <w:pPr>
        <w:pStyle w:val="BodyText"/>
        <w:keepNext w:val="0"/>
        <w:keepLines w:val="0"/>
        <w:widowControl w:val="0"/>
        <w:spacing w:before="0" w:after="120" w:line="288" w:lineRule="auto"/>
        <w:ind w:firstLine="420"/>
      </w:pPr>
      <w:r>
        <w:rPr>
          <w:rFonts w:ascii="Songti SC" w:hAnsi="Songti SC" w:eastAsia="Songti SC" w:cs="Songti SC"/>
          <w:b w:val="0"/>
          <w:sz w:val="24"/>
        </w:rPr>
        <w:t>采用8座辐流式二沉池，每条水线4座；净径35 m，中心井D6 m，沉淀区有效水深3.0 m。总净面积为：</w:t>
      </w:r>
    </w:p>
    <w:p>
      <w:pPr>
        <w:keepNext w:val="0"/>
        <w:keepLines w:val="0"/>
        <w:widowControl w:val="0"/>
        <w:spacing w:before="0" w:after="100" w:line="288" w:lineRule="auto"/>
        <w:jc w:val="center"/>
      </w:pPr>
      <m:oMathPara>
        <m:oMath>
          <m:r>
            <m:t>A=8×π(35²−6²)/4=7470.71 m²</m:t>
          </m:r>
        </m:oMath>
      </m:oMathPara>
    </w:p>
    <w:p>
      <w:pPr>
        <w:pStyle w:val="BodyText"/>
        <w:keepNext w:val="0"/>
        <w:keepLines w:val="0"/>
        <w:widowControl w:val="0"/>
        <w:spacing w:before="0" w:after="120" w:line="288" w:lineRule="auto"/>
        <w:ind w:firstLine="420"/>
      </w:pPr>
      <w:r>
        <w:rPr>
          <w:rFonts w:ascii="Songti SC" w:hAnsi="Songti SC" w:eastAsia="Songti SC" w:cs="Songti SC"/>
          <w:b w:val="0"/>
          <w:sz w:val="24"/>
        </w:rPr>
        <w:t>此处严格区分毛圆面积与扣中心井后的净面积。课程峰值表面负荷0.783 m³/(m²·h)，外部名义沉淀时间3.831 h；D/h=11.67，符合GB 50014—2021第7.5.12条6～12。低流量时可按泥位和进水量停运部分池，避免全部池长期低负荷运行。</w:t>
      </w:r>
    </w:p>
    <w:p>
      <w:pPr>
        <w:keepNext/>
        <w:keepLines w:val="0"/>
        <w:jc w:val="center"/>
      </w:pPr>
      <w:r>
        <w:drawing>
          <wp:inline xmlns:a="http://schemas.openxmlformats.org/drawingml/2006/main" xmlns:pic="http://schemas.openxmlformats.org/drawingml/2006/picture">
            <wp:extent cx="5715000" cy="2857500"/>
            <wp:docPr id="9" name="Picture 9"/>
            <wp:cNvGraphicFramePr>
              <a:graphicFrameLocks noChangeAspect="1"/>
            </wp:cNvGraphicFramePr>
            <a:graphic>
              <a:graphicData uri="http://schemas.openxmlformats.org/drawingml/2006/picture">
                <pic:pic>
                  <pic:nvPicPr>
                    <pic:cNvPr id="0" name="09_secondary.png"/>
                    <pic:cNvPicPr/>
                  </pic:nvPicPr>
                  <pic:blipFill>
                    <a:blip r:embed="rId18"/>
                    <a:stretch>
                      <a:fillRect/>
                    </a:stretch>
                  </pic:blipFill>
                  <pic:spPr>
                    <a:xfrm>
                      <a:off x="0" y="0"/>
                      <a:ext cx="5715000" cy="2857500"/>
                    </a:xfrm>
                    <a:prstGeom prst="rect"/>
                  </pic:spPr>
                </pic:pic>
              </a:graphicData>
            </a:graphic>
          </wp:inline>
        </w:drawing>
      </w:r>
    </w:p>
    <w:p>
      <w:pPr>
        <w:keepNext w:val="0"/>
        <w:keepLines w:val="0"/>
        <w:widowControl w:val="0"/>
        <w:spacing w:before="0" w:after="120" w:line="288" w:lineRule="auto"/>
        <w:jc w:val="center"/>
      </w:pPr>
      <w:r>
        <w:rPr>
          <w:rFonts w:ascii="Songti SC" w:hAnsi="Songti SC" w:eastAsia="Songti SC" w:cs="Songti SC"/>
          <w:b w:val="0"/>
          <w:sz w:val="21"/>
        </w:rPr>
        <w:t>图11-1 二次沉淀池平剖计算草图</w:t>
      </w:r>
    </w:p>
    <w:p>
      <w:pPr>
        <w:keepNext/>
        <w:keepLines w:val="0"/>
        <w:widowControl w:val="0"/>
        <w:spacing w:before="0" w:after="120" w:line="288" w:lineRule="auto"/>
        <w:jc w:val="center"/>
      </w:pPr>
      <w:r>
        <w:rPr>
          <w:rFonts w:ascii="Songti SC" w:hAnsi="Songti SC" w:eastAsia="Songti SC" w:cs="Songti SC"/>
          <w:b w:val="0"/>
          <w:sz w:val="21"/>
        </w:rPr>
        <w:t>表11-1 校核项、计算值汇总</w:t>
      </w:r>
    </w:p>
    <w:tbl>
      <w:tblPr>
        <w:tblW w:type="auto" w:w="0"/>
        <w:jc w:val="center"/>
        <w:tblLayout w:type="fixed"/>
        <w:tblLook w:firstColumn="1" w:firstRow="1" w:lastColumn="0" w:lastRow="0" w:noHBand="0" w:noVBand="1" w:val="04A0"/>
      </w:tblPr>
      <w:tblGrid>
        <w:gridCol w:w="3081"/>
        <w:gridCol w:w="3081"/>
        <w:gridCol w:w="3081"/>
      </w:tblGrid>
      <w:tr>
        <w:trPr>
          <w:tblHeader w:val="true"/>
          <w:cantSplit/>
        </w:trPr>
        <w:tc>
          <w:tcPr>
            <w:tcW w:type="dxa" w:w="2835"/>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校核项</w:t>
            </w:r>
          </w:p>
        </w:tc>
        <w:tc>
          <w:tcPr>
            <w:tcW w:type="dxa" w:w="3231"/>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计算值</w:t>
            </w:r>
          </w:p>
        </w:tc>
        <w:tc>
          <w:tcPr>
            <w:tcW w:type="dxa" w:w="2665"/>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限值/解释</w:t>
            </w:r>
          </w:p>
        </w:tc>
      </w:tr>
      <w:tr>
        <w:trPr>
          <w:cantSplit/>
        </w:trPr>
        <w:tc>
          <w:tcPr>
            <w:tcW w:type="dxa" w:w="283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课程峰值表面负荷</w:t>
            </w:r>
          </w:p>
        </w:tc>
        <w:tc>
          <w:tcPr>
            <w:tcW w:type="dxa" w:w="323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0.783 m³/(m²·h)</w:t>
            </w:r>
          </w:p>
        </w:tc>
        <w:tc>
          <w:tcPr>
            <w:tcW w:type="dxa" w:w="266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0.6～1.5课程/标准范围</w:t>
            </w:r>
          </w:p>
        </w:tc>
      </w:tr>
      <w:tr>
        <w:trPr>
          <w:cantSplit/>
        </w:trPr>
        <w:tc>
          <w:tcPr>
            <w:tcW w:type="dxa" w:w="283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课程峰值外部HRT</w:t>
            </w:r>
          </w:p>
        </w:tc>
        <w:tc>
          <w:tcPr>
            <w:tcW w:type="dxa" w:w="323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3.831 h</w:t>
            </w:r>
          </w:p>
        </w:tc>
        <w:tc>
          <w:tcPr>
            <w:tcW w:type="dxa" w:w="266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1.5～4 h</w:t>
            </w:r>
          </w:p>
        </w:tc>
      </w:tr>
      <w:tr>
        <w:trPr>
          <w:cantSplit/>
        </w:trPr>
        <w:tc>
          <w:tcPr>
            <w:tcW w:type="dxa" w:w="283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课程峰值固体负荷</w:t>
            </w:r>
          </w:p>
        </w:tc>
        <w:tc>
          <w:tcPr>
            <w:tcW w:type="dxa" w:w="323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144.39 kg/(m²·d)</w:t>
            </w:r>
          </w:p>
        </w:tc>
        <w:tc>
          <w:tcPr>
            <w:tcW w:type="dxa" w:w="266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≤150</w:t>
            </w:r>
          </w:p>
        </w:tc>
      </w:tr>
      <w:tr>
        <w:trPr>
          <w:cantSplit/>
        </w:trPr>
        <w:tc>
          <w:tcPr>
            <w:tcW w:type="dxa" w:w="283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D/h</w:t>
            </w:r>
          </w:p>
        </w:tc>
        <w:tc>
          <w:tcPr>
            <w:tcW w:type="dxa" w:w="323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11.67</w:t>
            </w:r>
          </w:p>
        </w:tc>
        <w:tc>
          <w:tcPr>
            <w:tcW w:type="dxa" w:w="266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6～12</w:t>
            </w:r>
          </w:p>
        </w:tc>
      </w:tr>
      <w:tr>
        <w:trPr>
          <w:cantSplit/>
        </w:trPr>
        <w:tc>
          <w:tcPr>
            <w:tcW w:type="dxa" w:w="283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泵组合堰负荷</w:t>
            </w:r>
          </w:p>
        </w:tc>
        <w:tc>
          <w:tcPr>
            <w:tcW w:type="dxa" w:w="323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1.130 L/(m·s)</w:t>
            </w:r>
          </w:p>
        </w:tc>
        <w:tc>
          <w:tcPr>
            <w:tcW w:type="dxa" w:w="266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≤1.7</w:t>
            </w:r>
          </w:p>
        </w:tc>
      </w:tr>
    </w:tbl>
    <w:p>
      <w:pPr>
        <w:spacing w:after="20"/>
      </w:pPr>
    </w:p>
    <w:p>
      <w:pPr>
        <w:pStyle w:val="Heading2"/>
        <w:keepNext w:val="0"/>
        <w:keepLines w:val="0"/>
      </w:pPr>
      <w:r>
        <w:t>11.2 固体负荷与二沉控制体</w:t>
      </w:r>
    </w:p>
    <w:p>
      <w:pPr>
        <w:pStyle w:val="BodyText"/>
        <w:keepNext w:val="0"/>
        <w:keepLines w:val="0"/>
        <w:widowControl w:val="0"/>
        <w:spacing w:before="0" w:after="120" w:line="288" w:lineRule="auto"/>
        <w:ind w:firstLine="420"/>
      </w:pPr>
      <w:r>
        <w:rPr>
          <w:rFonts w:ascii="Songti SC" w:hAnsi="Songti SC" w:eastAsia="Songti SC" w:cs="Songti SC"/>
          <w:b w:val="0"/>
          <w:sz w:val="24"/>
        </w:rPr>
        <w:t>二沉固体负荷采用含铁盐稳态库存的总MLSS 4.379 kg/m³，且投药点在二沉前，因此当日新生成铁盐固体2768.84 kg/d需在二沉进口加一次。课程峰值：</w:t>
      </w:r>
    </w:p>
    <w:p>
      <w:pPr>
        <w:keepNext w:val="0"/>
        <w:keepLines w:val="0"/>
        <w:widowControl w:val="0"/>
        <w:spacing w:before="0" w:after="100" w:line="288" w:lineRule="auto"/>
        <w:jc w:val="center"/>
      </w:pPr>
      <m:oMathPara>
        <m:oMath>
          <m:r>
            <m:t>SL=[140400×(1+0.75)×4.379+2768.84]/7470.71=144.39 kg/(m²·d)</m:t>
          </m:r>
        </m:oMath>
      </m:oMathPara>
    </w:p>
    <w:p>
      <w:pPr>
        <w:pStyle w:val="BodyText"/>
        <w:keepNext w:val="0"/>
        <w:keepLines w:val="0"/>
        <w:widowControl w:val="0"/>
        <w:spacing w:before="0" w:after="120" w:line="288" w:lineRule="auto"/>
        <w:ind w:firstLine="420"/>
      </w:pPr>
      <w:r>
        <w:rPr>
          <w:rFonts w:ascii="Songti SC" w:hAnsi="Songti SC" w:eastAsia="Songti SC" w:cs="Songti SC"/>
          <w:b w:val="0"/>
          <w:sz w:val="24"/>
        </w:rPr>
        <w:t>3泵最大组合用于相连管渠和配水能力校核，持续工艺固体负荷按课程峰值5850 m³/h计算。泵组由变频限制工艺流量；若长期处理量提高至6750 m³/h，应重新校核并增设沉淀面积。</w:t>
      </w:r>
    </w:p>
    <w:p>
      <w:pPr>
        <w:pStyle w:val="BodyText"/>
        <w:keepNext w:val="0"/>
        <w:keepLines w:val="0"/>
        <w:widowControl w:val="0"/>
        <w:spacing w:before="0" w:after="120" w:line="288" w:lineRule="auto"/>
        <w:ind w:firstLine="420"/>
      </w:pPr>
      <w:r>
        <w:rPr>
          <w:rFonts w:ascii="Songti SC" w:hAnsi="Songti SC" w:eastAsia="Songti SC" w:cs="Songti SC"/>
          <w:b w:val="0"/>
          <w:sz w:val="24"/>
        </w:rPr>
        <w:t>平均状态下回流浓度XR由二沉控制体反解。进项包括外部+RAS携带固体及新生铁盐固体；出项包括RAS、WAS和出水SS。</w:t>
      </w:r>
    </w:p>
    <w:p>
      <w:pPr>
        <w:keepNext w:val="0"/>
        <w:keepLines w:val="0"/>
        <w:widowControl w:val="0"/>
        <w:spacing w:before="0" w:after="100" w:line="288" w:lineRule="auto"/>
        <w:jc w:val="center"/>
      </w:pPr>
      <m:oMathPara>
        <m:oMath>
          <m:r>
            <m:t>XR=[(1+R)QXsec+Mchem−Mout]/(RQ)=10.0815 kg/m³</m:t>
          </m:r>
        </m:oMath>
      </m:oMathPara>
    </w:p>
    <w:p>
      <w:pPr>
        <w:keepNext w:val="0"/>
        <w:keepLines w:val="0"/>
        <w:widowControl w:val="0"/>
        <w:spacing w:before="0" w:after="100" w:line="288" w:lineRule="auto"/>
        <w:jc w:val="center"/>
      </w:pPr>
      <m:oMathPara>
        <m:oMath>
          <m:r>
            <m:t>QW=[Mout−QXe]/(XR−Xe)=1156.27 m³/d</m:t>
          </m:r>
        </m:oMath>
      </m:oMathPara>
    </w:p>
    <w:p>
      <w:pPr>
        <w:pStyle w:val="BodyText"/>
        <w:keepNext w:val="0"/>
        <w:keepLines w:val="0"/>
        <w:widowControl w:val="0"/>
        <w:spacing w:before="0" w:after="120" w:line="288" w:lineRule="auto"/>
        <w:ind w:firstLine="420"/>
      </w:pPr>
      <w:r>
        <w:rPr>
          <w:rFonts w:ascii="Songti SC" w:hAnsi="Songti SC" w:eastAsia="Songti SC" w:cs="Songti SC"/>
          <w:b w:val="0"/>
          <w:sz w:val="24"/>
        </w:rPr>
        <w:t>Qe=Q−QW=106843.7 m³/d，Xe=0.020 kg/m³。二沉控制体残差和全系统排固残差均小于10⁻⁹ kg/d。GB 50014—2021第7.5.5条要求活性污泥法二沉池连续排泥，污泥贮存按不大于2 h污泥量校核。</w:t>
      </w:r>
    </w:p>
    <w:p>
      <w:pPr>
        <w:keepNext w:val="0"/>
        <w:keepLines w:val="0"/>
        <w:widowControl w:val="0"/>
        <w:spacing w:before="0" w:after="100" w:line="288" w:lineRule="auto"/>
        <w:jc w:val="center"/>
      </w:pPr>
      <m:oMathPara>
        <m:oMath>
          <m:r>
            <m:t>V2h=[81000/8+1156.27/8]/24×2=855.79 m³/池</m:t>
          </m:r>
        </m:oMath>
      </m:oMathPara>
    </w:p>
    <w:p>
      <w:pPr>
        <w:keepNext w:val="0"/>
        <w:keepLines w:val="0"/>
        <w:widowControl w:val="0"/>
        <w:spacing w:before="0" w:after="100" w:line="288" w:lineRule="auto"/>
        <w:jc w:val="center"/>
      </w:pPr>
      <m:oMathPara>
        <m:oMath>
          <m:r>
            <m:t>Vwedge=2π×0.05×[17.5(17.5²−3²)/2−(17.5³−3³)/3]=258.70 m³</m:t>
          </m:r>
        </m:oMath>
      </m:oMathPara>
    </w:p>
    <w:p>
      <w:pPr>
        <w:keepNext w:val="0"/>
        <w:keepLines w:val="0"/>
        <w:widowControl w:val="0"/>
        <w:spacing w:before="0" w:after="100" w:line="288" w:lineRule="auto"/>
        <w:jc w:val="center"/>
      </w:pPr>
      <m:oMathPara>
        <m:oMath>
          <m:r>
            <m:t>Vs=933.84×0.40+258.70+π×6²/4×0.50=646.38 m³/池</m:t>
          </m:r>
        </m:oMath>
      </m:oMathPara>
    </w:p>
    <w:p>
      <w:pPr>
        <w:keepNext w:val="0"/>
        <w:keepLines w:val="0"/>
        <w:widowControl w:val="0"/>
        <w:spacing w:before="0" w:after="100" w:line="288" w:lineRule="auto"/>
        <w:jc w:val="center"/>
      </w:pPr>
      <m:oMathPara>
        <m:oMath>
          <m:r>
            <m:t>ts=1.511 h&lt;2 h</m:t>
          </m:r>
        </m:oMath>
      </m:oMathPara>
    </w:p>
    <w:p>
      <w:pPr>
        <w:pStyle w:val="BodyText"/>
        <w:keepNext w:val="0"/>
        <w:keepLines w:val="0"/>
        <w:widowControl w:val="0"/>
        <w:spacing w:before="0" w:after="120" w:line="288" w:lineRule="auto"/>
        <w:ind w:firstLine="420"/>
      </w:pPr>
      <w:r>
        <w:rPr>
          <w:rFonts w:ascii="Songti SC" w:hAnsi="Songti SC" w:eastAsia="Songti SC" w:cs="Songti SC"/>
          <w:b w:val="0"/>
          <w:sz w:val="24"/>
        </w:rPr>
        <w:t>每池有效贮泥由0.40 m水平基准层、坡度0.05的环形坡底楔体258.70 m³，以及D6 m、深0.50 m局部集泥坑组成。沉淀区3.0 m下另设0.50 m缓冲层；缓冲层上缘高出刮泥板0.30 m。周边工艺底EL27.500 m、环形坡底内缘EL26.775 m、局部集泥坑底EL26.275 m。贮泥容积按上述三部分计取，各池连续刮吸泥。</w:t>
      </w:r>
    </w:p>
    <w:p>
      <w:pPr>
        <w:keepNext/>
        <w:keepLines w:val="0"/>
        <w:widowControl w:val="0"/>
        <w:spacing w:before="0" w:after="120" w:line="288" w:lineRule="auto"/>
        <w:jc w:val="center"/>
      </w:pPr>
      <w:r>
        <w:rPr>
          <w:rFonts w:ascii="Songti SC" w:hAnsi="Songti SC" w:eastAsia="Songti SC" w:cs="Songti SC"/>
          <w:b w:val="0"/>
          <w:sz w:val="21"/>
        </w:rPr>
        <w:t>表11-2 二沉池有效贮泥容积组成</w:t>
      </w:r>
    </w:p>
    <w:tbl>
      <w:tblPr>
        <w:tblW w:type="auto" w:w="0"/>
        <w:jc w:val="center"/>
        <w:tblLayout w:type="fixed"/>
        <w:tblLook w:firstColumn="1" w:firstRow="1" w:lastColumn="0" w:lastRow="0" w:noHBand="0" w:noVBand="1" w:val="04A0"/>
      </w:tblPr>
      <w:tblGrid>
        <w:gridCol w:w="3081"/>
        <w:gridCol w:w="3081"/>
        <w:gridCol w:w="3081"/>
      </w:tblGrid>
      <w:tr>
        <w:trPr>
          <w:tblHeader w:val="true"/>
          <w:cantSplit/>
        </w:trPr>
        <w:tc>
          <w:tcPr>
            <w:tcW w:type="dxa" w:w="2381"/>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贮泥组成</w:t>
            </w:r>
          </w:p>
        </w:tc>
        <w:tc>
          <w:tcPr>
            <w:tcW w:type="dxa" w:w="4082"/>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几何或计算参数</w:t>
            </w:r>
          </w:p>
        </w:tc>
        <w:tc>
          <w:tcPr>
            <w:tcW w:type="dxa" w:w="2154"/>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容积 m³/池</w:t>
            </w:r>
          </w:p>
        </w:tc>
      </w:tr>
      <w:tr>
        <w:trPr>
          <w:cantSplit/>
        </w:trPr>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水平基准层</w:t>
            </w:r>
          </w:p>
        </w:tc>
        <w:tc>
          <w:tcPr>
            <w:tcW w:type="dxa" w:w="408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净沉淀面积933.838 m²×0.40 m</w:t>
            </w:r>
          </w:p>
        </w:tc>
        <w:tc>
          <w:tcPr>
            <w:tcW w:type="dxa" w:w="215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373.54</w:t>
            </w:r>
          </w:p>
        </w:tc>
      </w:tr>
      <w:tr>
        <w:trPr>
          <w:cantSplit/>
        </w:trPr>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坡底楔体</w:t>
            </w:r>
          </w:p>
        </w:tc>
        <w:tc>
          <w:tcPr>
            <w:tcW w:type="dxa" w:w="408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环形底坡0.05，r=3.0～17.5 m</w:t>
            </w:r>
          </w:p>
        </w:tc>
        <w:tc>
          <w:tcPr>
            <w:tcW w:type="dxa" w:w="215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258.70</w:t>
            </w:r>
          </w:p>
        </w:tc>
      </w:tr>
      <w:tr>
        <w:trPr>
          <w:cantSplit/>
        </w:trPr>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中心集泥坑</w:t>
            </w:r>
          </w:p>
        </w:tc>
        <w:tc>
          <w:tcPr>
            <w:tcW w:type="dxa" w:w="408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D6 m×0.50 m</w:t>
            </w:r>
          </w:p>
        </w:tc>
        <w:tc>
          <w:tcPr>
            <w:tcW w:type="dxa" w:w="215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14.14</w:t>
            </w:r>
          </w:p>
        </w:tc>
      </w:tr>
      <w:tr>
        <w:trPr>
          <w:cantSplit/>
        </w:trPr>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有效贮泥合计</w:t>
            </w:r>
          </w:p>
        </w:tc>
        <w:tc>
          <w:tcPr>
            <w:tcW w:type="dxa" w:w="408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对应连续排泥量1.511 h</w:t>
            </w:r>
          </w:p>
        </w:tc>
        <w:tc>
          <w:tcPr>
            <w:tcW w:type="dxa" w:w="215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646.38</w:t>
            </w:r>
          </w:p>
        </w:tc>
      </w:tr>
      <w:tr>
        <w:trPr>
          <w:cantSplit/>
        </w:trPr>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2 h校核值</w:t>
            </w:r>
          </w:p>
        </w:tc>
        <w:tc>
          <w:tcPr>
            <w:tcW w:type="dxa" w:w="408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按RAS与WAS合计</w:t>
            </w:r>
          </w:p>
        </w:tc>
        <w:tc>
          <w:tcPr>
            <w:tcW w:type="dxa" w:w="215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855.79</w:t>
            </w:r>
          </w:p>
        </w:tc>
      </w:tr>
    </w:tbl>
    <w:p>
      <w:pPr>
        <w:spacing w:after="20"/>
      </w:pPr>
    </w:p>
    <w:p>
      <w:pPr>
        <w:pStyle w:val="Heading2"/>
        <w:keepNext w:val="0"/>
        <w:keepLines w:val="0"/>
      </w:pPr>
      <w:r>
        <w:t>11.3 进出水与堰</w:t>
      </w:r>
    </w:p>
    <w:p>
      <w:pPr>
        <w:pStyle w:val="BodyText"/>
        <w:keepNext w:val="0"/>
        <w:keepLines w:val="0"/>
        <w:widowControl w:val="0"/>
        <w:spacing w:before="0" w:after="120" w:line="288" w:lineRule="auto"/>
        <w:ind w:firstLine="420"/>
      </w:pPr>
      <w:r>
        <w:rPr>
          <w:rFonts w:ascii="Songti SC" w:hAnsi="Songti SC" w:eastAsia="Songti SC" w:cs="Songti SC"/>
          <w:b w:val="0"/>
          <w:sz w:val="24"/>
        </w:rPr>
        <w:t>中心线D33 m双侧环形堰，每池堰长207.35 m，按泵组合单池0.234375 m³/s，堰负荷1.130 L/(m·s)，小于1.7 L/(m·s)。按0.20 m间距约1037个堰口。单池混合液支管DN900、泵组合下0.4102 m³/s、流速0.645 m/s；出水DN700、0.2344 m³/s、0.609 m/s。</w:t>
      </w:r>
    </w:p>
    <w:p>
      <w:pPr>
        <w:pStyle w:val="Heading1"/>
        <w:keepNext w:val="0"/>
        <w:keepLines w:val="0"/>
        <w:pageBreakBefore/>
      </w:pPr>
      <w:r>
        <w:t>12 连接管渠和配水设施</w:t>
      </w:r>
    </w:p>
    <w:p>
      <w:pPr>
        <w:pStyle w:val="Heading2"/>
        <w:keepNext w:val="0"/>
        <w:keepLines w:val="0"/>
      </w:pPr>
      <w:r>
        <w:t>12.1 计算方法与流量口径</w:t>
      </w:r>
    </w:p>
    <w:p>
      <w:pPr>
        <w:pStyle w:val="BodyText"/>
        <w:keepNext w:val="0"/>
        <w:keepLines w:val="0"/>
        <w:widowControl w:val="0"/>
        <w:spacing w:before="0" w:after="120" w:line="288" w:lineRule="auto"/>
        <w:ind w:firstLine="420"/>
      </w:pPr>
      <w:r>
        <w:rPr>
          <w:rFonts w:ascii="Songti SC" w:hAnsi="Songti SC" w:eastAsia="Songti SC" w:cs="Songti SC"/>
          <w:b w:val="0"/>
          <w:sz w:val="24"/>
        </w:rPr>
        <w:t>压力管采用Darcy-Weisbach式，课程阶段统一λ=0.020；局部损失用Σζ。长度取总平面中心线折线，公共段只计一次、支管取最不利单支。GB 50014—2021第7.1.5条规定水泵提升进厂时，应按工作水泵最大组合流量校核相连管渠及处理设施配水系统，因此本章按6750 m³/h。</w:t>
      </w:r>
    </w:p>
    <w:p>
      <w:pPr>
        <w:keepNext w:val="0"/>
        <w:keepLines w:val="0"/>
        <w:widowControl w:val="0"/>
        <w:spacing w:before="0" w:after="100" w:line="288" w:lineRule="auto"/>
        <w:jc w:val="center"/>
      </w:pPr>
      <m:oMathPara>
        <m:oMath>
          <m:r>
            <m:t>v=Q/A；hf=λ(L/D)v²/(2g)；hj=Σζv²/(2g)</m:t>
          </m:r>
        </m:oMath>
      </m:oMathPara>
    </w:p>
    <w:p>
      <w:pPr>
        <w:keepNext/>
        <w:keepLines w:val="0"/>
        <w:jc w:val="center"/>
      </w:pPr>
      <w:r>
        <w:drawing>
          <wp:inline xmlns:a="http://schemas.openxmlformats.org/drawingml/2006/main" xmlns:pic="http://schemas.openxmlformats.org/drawingml/2006/picture">
            <wp:extent cx="5715000" cy="2857500"/>
            <wp:docPr id="10" name="Picture 10"/>
            <wp:cNvGraphicFramePr>
              <a:graphicFrameLocks noChangeAspect="1"/>
            </wp:cNvGraphicFramePr>
            <a:graphic>
              <a:graphicData uri="http://schemas.openxmlformats.org/drawingml/2006/picture">
                <pic:pic>
                  <pic:nvPicPr>
                    <pic:cNvPr id="0" name="10_pipes.png"/>
                    <pic:cNvPicPr/>
                  </pic:nvPicPr>
                  <pic:blipFill>
                    <a:blip r:embed="rId19"/>
                    <a:stretch>
                      <a:fillRect/>
                    </a:stretch>
                  </pic:blipFill>
                  <pic:spPr>
                    <a:xfrm>
                      <a:off x="0" y="0"/>
                      <a:ext cx="5715000" cy="2857500"/>
                    </a:xfrm>
                    <a:prstGeom prst="rect"/>
                  </pic:spPr>
                </pic:pic>
              </a:graphicData>
            </a:graphic>
          </wp:inline>
        </w:drawing>
      </w:r>
    </w:p>
    <w:p>
      <w:pPr>
        <w:keepNext w:val="0"/>
        <w:keepLines w:val="0"/>
        <w:widowControl w:val="0"/>
        <w:spacing w:before="0" w:after="120" w:line="288" w:lineRule="auto"/>
        <w:jc w:val="center"/>
      </w:pPr>
      <w:r>
        <w:rPr>
          <w:rFonts w:ascii="Songti SC" w:hAnsi="Songti SC" w:eastAsia="Songti SC" w:cs="Songti SC"/>
          <w:b w:val="0"/>
          <w:sz w:val="21"/>
        </w:rPr>
        <w:t>图12-1 主要连接管渠与配水接口</w:t>
      </w:r>
    </w:p>
    <w:p>
      <w:pPr>
        <w:keepNext/>
        <w:keepLines w:val="0"/>
        <w:widowControl w:val="0"/>
        <w:spacing w:before="0" w:after="120" w:line="288" w:lineRule="auto"/>
        <w:jc w:val="center"/>
      </w:pPr>
      <w:r>
        <w:rPr>
          <w:rFonts w:ascii="Songti SC" w:hAnsi="Songti SC" w:eastAsia="Songti SC" w:cs="Songti SC"/>
          <w:b w:val="0"/>
          <w:sz w:val="21"/>
        </w:rPr>
        <w:t>表12-1 管段、Q m³/s汇总</w:t>
      </w:r>
    </w:p>
    <w:tbl>
      <w:tblPr>
        <w:tblW w:type="auto" w:w="0"/>
        <w:jc w:val="center"/>
        <w:tblLayout w:type="fixed"/>
        <w:tblLook w:firstColumn="1" w:firstRow="1" w:lastColumn="0" w:lastRow="0" w:noHBand="0" w:noVBand="1" w:val="04A0"/>
      </w:tblPr>
      <w:tblGrid>
        <w:gridCol w:w="1540"/>
        <w:gridCol w:w="1540"/>
        <w:gridCol w:w="1540"/>
        <w:gridCol w:w="1540"/>
        <w:gridCol w:w="1540"/>
        <w:gridCol w:w="1540"/>
      </w:tblGrid>
      <w:tr>
        <w:trPr>
          <w:tblHeader w:val="true"/>
          <w:cantSplit/>
        </w:trPr>
        <w:tc>
          <w:tcPr>
            <w:tcW w:type="dxa" w:w="2381"/>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9"/>
              </w:rPr>
              <w:t>管段</w:t>
            </w:r>
          </w:p>
        </w:tc>
        <w:tc>
          <w:tcPr>
            <w:tcW w:type="dxa" w:w="1531"/>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9"/>
              </w:rPr>
              <w:t>Q m³/s</w:t>
            </w:r>
          </w:p>
        </w:tc>
        <w:tc>
          <w:tcPr>
            <w:tcW w:type="dxa" w:w="1247"/>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9"/>
              </w:rPr>
              <w:t>管径</w:t>
            </w:r>
          </w:p>
        </w:tc>
        <w:tc>
          <w:tcPr>
            <w:tcW w:type="dxa" w:w="1134"/>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9"/>
              </w:rPr>
              <w:t>L m</w:t>
            </w:r>
          </w:p>
        </w:tc>
        <w:tc>
          <w:tcPr>
            <w:tcW w:type="dxa" w:w="1304"/>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9"/>
              </w:rPr>
              <w:t>v m/s</w:t>
            </w:r>
          </w:p>
        </w:tc>
        <w:tc>
          <w:tcPr>
            <w:tcW w:type="dxa" w:w="1304"/>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9"/>
              </w:rPr>
              <w:t>损失 m</w:t>
            </w:r>
          </w:p>
        </w:tc>
      </w:tr>
      <w:tr>
        <w:trPr>
          <w:cantSplit/>
        </w:trPr>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9"/>
              </w:rPr>
              <w:t>单泵内部支管</w:t>
            </w:r>
          </w:p>
        </w:tc>
        <w:tc>
          <w:tcPr>
            <w:tcW w:type="dxa" w:w="153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0.6250</w:t>
            </w:r>
          </w:p>
        </w:tc>
        <w:tc>
          <w:tcPr>
            <w:tcW w:type="dxa" w:w="124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DN900</w:t>
            </w:r>
          </w:p>
        </w:tc>
        <w:tc>
          <w:tcPr>
            <w:tcW w:type="dxa" w:w="113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12.0</w:t>
            </w:r>
          </w:p>
        </w:tc>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0.982</w:t>
            </w:r>
          </w:p>
        </w:tc>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0.225</w:t>
            </w:r>
          </w:p>
        </w:tc>
      </w:tr>
      <w:tr>
        <w:trPr>
          <w:cantSplit/>
        </w:trPr>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9"/>
              </w:rPr>
              <w:t>泵至细格栅单线</w:t>
            </w:r>
          </w:p>
        </w:tc>
        <w:tc>
          <w:tcPr>
            <w:tcW w:type="dxa" w:w="153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0.9375</w:t>
            </w:r>
          </w:p>
        </w:tc>
        <w:tc>
          <w:tcPr>
            <w:tcW w:type="dxa" w:w="124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DN1000</w:t>
            </w:r>
          </w:p>
        </w:tc>
        <w:tc>
          <w:tcPr>
            <w:tcW w:type="dxa" w:w="113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35.0</w:t>
            </w:r>
          </w:p>
        </w:tc>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1.194</w:t>
            </w:r>
          </w:p>
        </w:tc>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0.196</w:t>
            </w:r>
          </w:p>
        </w:tc>
      </w:tr>
      <w:tr>
        <w:trPr>
          <w:cantSplit/>
        </w:trPr>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9"/>
              </w:rPr>
              <w:t>沉砂A线至最远初沉</w:t>
            </w:r>
          </w:p>
        </w:tc>
        <w:tc>
          <w:tcPr>
            <w:tcW w:type="dxa" w:w="153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0.9375</w:t>
            </w:r>
          </w:p>
        </w:tc>
        <w:tc>
          <w:tcPr>
            <w:tcW w:type="dxa" w:w="124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DN1200</w:t>
            </w:r>
          </w:p>
        </w:tc>
        <w:tc>
          <w:tcPr>
            <w:tcW w:type="dxa" w:w="113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110.0</w:t>
            </w:r>
          </w:p>
        </w:tc>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0.829</w:t>
            </w:r>
          </w:p>
        </w:tc>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0.169</w:t>
            </w:r>
          </w:p>
        </w:tc>
      </w:tr>
      <w:tr>
        <w:trPr>
          <w:cantSplit/>
        </w:trPr>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9"/>
              </w:rPr>
              <w:t>沉砂B线至最远初沉</w:t>
            </w:r>
          </w:p>
        </w:tc>
        <w:tc>
          <w:tcPr>
            <w:tcW w:type="dxa" w:w="153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0.9375</w:t>
            </w:r>
          </w:p>
        </w:tc>
        <w:tc>
          <w:tcPr>
            <w:tcW w:type="dxa" w:w="124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DN1200</w:t>
            </w:r>
          </w:p>
        </w:tc>
        <w:tc>
          <w:tcPr>
            <w:tcW w:type="dxa" w:w="113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115.0</w:t>
            </w:r>
          </w:p>
        </w:tc>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0.829</w:t>
            </w:r>
          </w:p>
        </w:tc>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0.155</w:t>
            </w:r>
          </w:p>
        </w:tc>
      </w:tr>
      <w:tr>
        <w:trPr>
          <w:cantSplit/>
        </w:trPr>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9"/>
              </w:rPr>
              <w:t>初沉至最远A²/O</w:t>
            </w:r>
          </w:p>
        </w:tc>
        <w:tc>
          <w:tcPr>
            <w:tcW w:type="dxa" w:w="153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0.4688</w:t>
            </w:r>
          </w:p>
        </w:tc>
        <w:tc>
          <w:tcPr>
            <w:tcW w:type="dxa" w:w="124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DN900</w:t>
            </w:r>
          </w:p>
        </w:tc>
        <w:tc>
          <w:tcPr>
            <w:tcW w:type="dxa" w:w="113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147.5</w:t>
            </w:r>
          </w:p>
        </w:tc>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0.737</w:t>
            </w:r>
          </w:p>
        </w:tc>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0.132</w:t>
            </w:r>
          </w:p>
        </w:tc>
      </w:tr>
      <w:tr>
        <w:trPr>
          <w:cantSplit/>
        </w:trPr>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9"/>
              </w:rPr>
              <w:t>最远生物池至配水井</w:t>
            </w:r>
          </w:p>
        </w:tc>
        <w:tc>
          <w:tcPr>
            <w:tcW w:type="dxa" w:w="153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0.8203</w:t>
            </w:r>
          </w:p>
        </w:tc>
        <w:tc>
          <w:tcPr>
            <w:tcW w:type="dxa" w:w="124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DN1200</w:t>
            </w:r>
          </w:p>
        </w:tc>
        <w:tc>
          <w:tcPr>
            <w:tcW w:type="dxa" w:w="113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262.5</w:t>
            </w:r>
          </w:p>
        </w:tc>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0.725</w:t>
            </w:r>
          </w:p>
        </w:tc>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0.184</w:t>
            </w:r>
          </w:p>
        </w:tc>
      </w:tr>
      <w:tr>
        <w:trPr>
          <w:cantSplit/>
        </w:trPr>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9"/>
              </w:rPr>
              <w:t>二沉最不利进水支管</w:t>
            </w:r>
          </w:p>
        </w:tc>
        <w:tc>
          <w:tcPr>
            <w:tcW w:type="dxa" w:w="153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0.4102</w:t>
            </w:r>
          </w:p>
        </w:tc>
        <w:tc>
          <w:tcPr>
            <w:tcW w:type="dxa" w:w="124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DN900</w:t>
            </w:r>
          </w:p>
        </w:tc>
        <w:tc>
          <w:tcPr>
            <w:tcW w:type="dxa" w:w="113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175.0</w:t>
            </w:r>
          </w:p>
        </w:tc>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0.645</w:t>
            </w:r>
          </w:p>
        </w:tc>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0.125</w:t>
            </w:r>
          </w:p>
        </w:tc>
      </w:tr>
      <w:tr>
        <w:trPr>
          <w:cantSplit/>
        </w:trPr>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9"/>
              </w:rPr>
              <w:t>二沉最不利出水支管</w:t>
            </w:r>
          </w:p>
        </w:tc>
        <w:tc>
          <w:tcPr>
            <w:tcW w:type="dxa" w:w="153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0.2344</w:t>
            </w:r>
          </w:p>
        </w:tc>
        <w:tc>
          <w:tcPr>
            <w:tcW w:type="dxa" w:w="124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DN700</w:t>
            </w:r>
          </w:p>
        </w:tc>
        <w:tc>
          <w:tcPr>
            <w:tcW w:type="dxa" w:w="113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190.0</w:t>
            </w:r>
          </w:p>
        </w:tc>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0.609</w:t>
            </w:r>
          </w:p>
        </w:tc>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0.140</w:t>
            </w:r>
          </w:p>
        </w:tc>
      </w:tr>
      <w:tr>
        <w:trPr>
          <w:cantSplit/>
        </w:trPr>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9"/>
              </w:rPr>
              <w:t>二沉出水A线汇流管</w:t>
            </w:r>
          </w:p>
        </w:tc>
        <w:tc>
          <w:tcPr>
            <w:tcW w:type="dxa" w:w="153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0.9375</w:t>
            </w:r>
          </w:p>
        </w:tc>
        <w:tc>
          <w:tcPr>
            <w:tcW w:type="dxa" w:w="124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DN1200</w:t>
            </w:r>
          </w:p>
        </w:tc>
        <w:tc>
          <w:tcPr>
            <w:tcW w:type="dxa" w:w="113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75.0</w:t>
            </w:r>
          </w:p>
        </w:tc>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0.829</w:t>
            </w:r>
          </w:p>
        </w:tc>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0.131</w:t>
            </w:r>
          </w:p>
        </w:tc>
      </w:tr>
      <w:tr>
        <w:trPr>
          <w:cantSplit/>
        </w:trPr>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9"/>
              </w:rPr>
              <w:t>终端至厂界</w:t>
            </w:r>
          </w:p>
        </w:tc>
        <w:tc>
          <w:tcPr>
            <w:tcW w:type="dxa" w:w="153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1.8750</w:t>
            </w:r>
          </w:p>
        </w:tc>
        <w:tc>
          <w:tcPr>
            <w:tcW w:type="dxa" w:w="124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DN1500</w:t>
            </w:r>
          </w:p>
        </w:tc>
        <w:tc>
          <w:tcPr>
            <w:tcW w:type="dxa" w:w="113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28.0</w:t>
            </w:r>
          </w:p>
        </w:tc>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1.061</w:t>
            </w:r>
          </w:p>
        </w:tc>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9"/>
              </w:rPr>
              <w:t>0.079</w:t>
            </w:r>
          </w:p>
        </w:tc>
      </w:tr>
    </w:tbl>
    <w:p>
      <w:pPr>
        <w:spacing w:after="20"/>
      </w:pPr>
    </w:p>
    <w:p>
      <w:pPr>
        <w:pStyle w:val="BodyText"/>
        <w:keepNext w:val="0"/>
        <w:keepLines w:val="0"/>
        <w:widowControl w:val="0"/>
        <w:spacing w:before="0" w:after="120" w:line="288" w:lineRule="auto"/>
        <w:ind w:firstLine="420"/>
      </w:pPr>
      <w:r>
        <w:rPr>
          <w:rFonts w:ascii="Songti SC" w:hAnsi="Songti SC" w:eastAsia="Songti SC" w:cs="Songti SC"/>
          <w:b w:val="0"/>
          <w:sz w:val="24"/>
        </w:rPr>
        <w:t>泵至细格栅按0.9375 m³/s计算，DN1000流速1.194 m/s、损失0.196 m。分配和汇流段按所带池数确定流量；单支管采用该支服务的最大组合流量。后续CAD总图若调整中心线长度，管损和高程表应同步更新。</w:t>
      </w:r>
    </w:p>
    <w:p>
      <w:pPr>
        <w:keepNext/>
        <w:keepLines w:val="0"/>
        <w:widowControl w:val="0"/>
        <w:spacing w:before="0" w:after="120" w:line="288" w:lineRule="auto"/>
        <w:jc w:val="center"/>
      </w:pPr>
      <w:r>
        <w:rPr>
          <w:rFonts w:ascii="Songti SC" w:hAnsi="Songti SC" w:eastAsia="Songti SC" w:cs="Songti SC"/>
          <w:b w:val="0"/>
          <w:sz w:val="21"/>
        </w:rPr>
        <w:t>表12-2 控制管段、中心线坐标折线（m）汇总</w:t>
      </w:r>
    </w:p>
    <w:tbl>
      <w:tblPr>
        <w:tblW w:type="auto" w:w="0"/>
        <w:jc w:val="center"/>
        <w:tblLayout w:type="fixed"/>
        <w:tblLook w:firstColumn="1" w:firstRow="1" w:lastColumn="0" w:lastRow="0" w:noHBand="0" w:noVBand="1" w:val="04A0"/>
      </w:tblPr>
      <w:tblGrid>
        <w:gridCol w:w="3081"/>
        <w:gridCol w:w="3081"/>
        <w:gridCol w:w="3081"/>
      </w:tblGrid>
      <w:tr>
        <w:trPr>
          <w:tblHeader w:val="true"/>
          <w:cantSplit/>
        </w:trPr>
        <w:tc>
          <w:tcPr>
            <w:tcW w:type="dxa" w:w="2381"/>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7"/>
              </w:rPr>
              <w:t>控制管段</w:t>
            </w:r>
          </w:p>
        </w:tc>
        <w:tc>
          <w:tcPr>
            <w:tcW w:type="dxa" w:w="4932"/>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7"/>
              </w:rPr>
              <w:t>中心线坐标折线（m）</w:t>
            </w:r>
          </w:p>
        </w:tc>
        <w:tc>
          <w:tcPr>
            <w:tcW w:type="dxa" w:w="1304"/>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7"/>
              </w:rPr>
              <w:t>曼哈顿长度 m</w:t>
            </w:r>
          </w:p>
        </w:tc>
      </w:tr>
      <w:tr>
        <w:trPr>
          <w:cantSplit/>
        </w:trPr>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7"/>
              </w:rPr>
              <w:t>泵至细格栅单线</w:t>
            </w:r>
          </w:p>
        </w:tc>
        <w:tc>
          <w:tcPr>
            <w:tcW w:type="dxa" w:w="493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(360,280)→(360,270)→(335,270)</w:t>
            </w:r>
          </w:p>
        </w:tc>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35.0</w:t>
            </w:r>
          </w:p>
        </w:tc>
      </w:tr>
      <w:tr>
        <w:trPr>
          <w:cantSplit/>
        </w:trPr>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7"/>
              </w:rPr>
              <w:t>沉砂A线至最远初沉</w:t>
            </w:r>
          </w:p>
        </w:tc>
        <w:tc>
          <w:tcPr>
            <w:tcW w:type="dxa" w:w="493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(300,260)→(270,260)→(270,270)→(200,270)</w:t>
            </w:r>
          </w:p>
        </w:tc>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110.0</w:t>
            </w:r>
          </w:p>
        </w:tc>
      </w:tr>
      <w:tr>
        <w:trPr>
          <w:cantSplit/>
        </w:trPr>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7"/>
              </w:rPr>
              <w:t>沉砂B线至最远初沉</w:t>
            </w:r>
          </w:p>
        </w:tc>
        <w:tc>
          <w:tcPr>
            <w:tcW w:type="dxa" w:w="493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(300,245)→(270,245)→(270,230)→(200,230)</w:t>
            </w:r>
          </w:p>
        </w:tc>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115.0</w:t>
            </w:r>
          </w:p>
        </w:tc>
      </w:tr>
      <w:tr>
        <w:trPr>
          <w:cantSplit/>
        </w:trPr>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7"/>
              </w:rPr>
              <w:t>初沉至最远A²/O</w:t>
            </w:r>
          </w:p>
        </w:tc>
        <w:tc>
          <w:tcPr>
            <w:tcW w:type="dxa" w:w="493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(200,230)→(200,177.5)→(155,177.5)→(155,127.5)</w:t>
            </w:r>
          </w:p>
        </w:tc>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147.5</w:t>
            </w:r>
          </w:p>
        </w:tc>
      </w:tr>
      <w:tr>
        <w:trPr>
          <w:cantSplit/>
        </w:trPr>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7"/>
              </w:rPr>
              <w:t>最远生物池至配水井</w:t>
            </w:r>
          </w:p>
        </w:tc>
        <w:tc>
          <w:tcPr>
            <w:tcW w:type="dxa" w:w="493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(85,177.5)→(245,177.5)→(245,145)→(245,75)</w:t>
            </w:r>
          </w:p>
        </w:tc>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262.5</w:t>
            </w:r>
          </w:p>
        </w:tc>
      </w:tr>
      <w:tr>
        <w:trPr>
          <w:cantSplit/>
        </w:trPr>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7"/>
              </w:rPr>
              <w:t>二沉最不利进水支管</w:t>
            </w:r>
          </w:p>
        </w:tc>
        <w:tc>
          <w:tcPr>
            <w:tcW w:type="dxa" w:w="493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(245,45)→(245,35)→(80,35)</w:t>
            </w:r>
          </w:p>
        </w:tc>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175.0</w:t>
            </w:r>
          </w:p>
        </w:tc>
      </w:tr>
      <w:tr>
        <w:trPr>
          <w:cantSplit/>
        </w:trPr>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7"/>
              </w:rPr>
              <w:t>二沉最不利出水支管</w:t>
            </w:r>
          </w:p>
        </w:tc>
        <w:tc>
          <w:tcPr>
            <w:tcW w:type="dxa" w:w="493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(80,80)→(270,80)</w:t>
            </w:r>
          </w:p>
        </w:tc>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190.0</w:t>
            </w:r>
          </w:p>
        </w:tc>
      </w:tr>
      <w:tr>
        <w:trPr>
          <w:cantSplit/>
        </w:trPr>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7"/>
              </w:rPr>
              <w:t>二沉出水A线汇流管</w:t>
            </w:r>
          </w:p>
        </w:tc>
        <w:tc>
          <w:tcPr>
            <w:tcW w:type="dxa" w:w="493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(270,80)→(300,80)→(300,35)</w:t>
            </w:r>
          </w:p>
        </w:tc>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75.0</w:t>
            </w:r>
          </w:p>
        </w:tc>
      </w:tr>
      <w:tr>
        <w:trPr>
          <w:cantSplit/>
        </w:trPr>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7"/>
              </w:rPr>
              <w:t>终端至厂界</w:t>
            </w:r>
          </w:p>
        </w:tc>
        <w:tc>
          <w:tcPr>
            <w:tcW w:type="dxa" w:w="493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(372,30)→(400,30)</w:t>
            </w:r>
          </w:p>
        </w:tc>
        <w:tc>
          <w:tcPr>
            <w:tcW w:type="dxa" w:w="130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28.0</w:t>
            </w:r>
          </w:p>
        </w:tc>
      </w:tr>
    </w:tbl>
    <w:p>
      <w:pPr>
        <w:spacing w:after="20"/>
      </w:pPr>
    </w:p>
    <w:p>
      <w:pPr>
        <w:pStyle w:val="BodyText"/>
        <w:keepNext w:val="0"/>
        <w:keepLines w:val="0"/>
        <w:widowControl w:val="0"/>
        <w:spacing w:before="0" w:after="120" w:line="288" w:lineRule="auto"/>
        <w:ind w:firstLine="420"/>
      </w:pPr>
      <w:r>
        <w:rPr>
          <w:rFonts w:ascii="Songti SC" w:hAnsi="Songti SC" w:eastAsia="Songti SC" w:cs="Songti SC"/>
          <w:b w:val="0"/>
          <w:sz w:val="24"/>
        </w:rPr>
        <w:t>坐标原点为厂区西南角，x向东、y向北。4个初沉、4个A²/O和8个二沉均已建立入口/出口分支；逐支计算后最大值为：初沉至A²/O 147.5 m、生物池至二沉配水井262.5 m、二沉进水支管175.0 m、二沉出水支管190.0 m。总平面图使用同一套坐标和同一比例。</w:t>
      </w:r>
    </w:p>
    <w:p>
      <w:pPr>
        <w:pStyle w:val="Heading2"/>
        <w:keepNext w:val="0"/>
        <w:keepLines w:val="0"/>
      </w:pPr>
      <w:r>
        <w:t>12.2 配水、分流和运行控制</w:t>
      </w:r>
    </w:p>
    <w:p>
      <w:pPr>
        <w:pStyle w:val="BodyText"/>
        <w:keepNext w:val="0"/>
        <w:keepLines w:val="0"/>
        <w:widowControl w:val="0"/>
        <w:spacing w:before="0" w:after="120" w:line="288" w:lineRule="auto"/>
        <w:ind w:firstLine="420"/>
      </w:pPr>
      <w:r>
        <w:rPr>
          <w:rFonts w:ascii="Songti SC" w:hAnsi="Songti SC" w:eastAsia="Songti SC" w:cs="Songti SC"/>
          <w:b w:val="0"/>
          <w:sz w:val="24"/>
        </w:rPr>
        <w:t>初沉每条水线设1座配水井，向2座池分流；二沉设置4座配水井，每井对应1个A²/O系列并向2座二沉池分流。堰顶等高，各支路设闸门和流量测量。正常3泵由变频将工艺流量控制在课程峰值以内；管渠、堰口和配水井入口具备6750 m³/h名义组合过水能力。</w:t>
      </w:r>
    </w:p>
    <w:p>
      <w:pPr>
        <w:keepNext/>
        <w:keepLines w:val="0"/>
        <w:widowControl w:val="0"/>
        <w:spacing w:before="0" w:after="120" w:line="288" w:lineRule="auto"/>
        <w:jc w:val="center"/>
      </w:pPr>
      <w:r>
        <w:rPr>
          <w:rFonts w:ascii="Songti SC" w:hAnsi="Songti SC" w:eastAsia="Songti SC" w:cs="Songti SC"/>
          <w:b w:val="0"/>
          <w:sz w:val="21"/>
        </w:rPr>
        <w:t>表12-3 配水单元、服务对象汇总</w:t>
      </w:r>
    </w:p>
    <w:tbl>
      <w:tblPr>
        <w:tblW w:type="auto" w:w="0"/>
        <w:jc w:val="center"/>
        <w:tblLayout w:type="fixed"/>
        <w:tblLook w:firstColumn="1" w:firstRow="1" w:lastColumn="0" w:lastRow="0" w:noHBand="0" w:noVBand="1" w:val="04A0"/>
      </w:tblPr>
      <w:tblGrid>
        <w:gridCol w:w="2310"/>
        <w:gridCol w:w="2310"/>
        <w:gridCol w:w="2310"/>
        <w:gridCol w:w="2310"/>
      </w:tblGrid>
      <w:tr>
        <w:trPr>
          <w:tblHeader w:val="true"/>
          <w:cantSplit/>
        </w:trPr>
        <w:tc>
          <w:tcPr>
            <w:tcW w:type="dxa" w:w="1701"/>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配水单元</w:t>
            </w:r>
          </w:p>
        </w:tc>
        <w:tc>
          <w:tcPr>
            <w:tcW w:type="dxa" w:w="1701"/>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服务对象</w:t>
            </w:r>
          </w:p>
        </w:tc>
        <w:tc>
          <w:tcPr>
            <w:tcW w:type="dxa" w:w="3005"/>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组合流量分配</w:t>
            </w:r>
          </w:p>
        </w:tc>
        <w:tc>
          <w:tcPr>
            <w:tcW w:type="dxa" w:w="2438"/>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控制</w:t>
            </w:r>
          </w:p>
        </w:tc>
      </w:tr>
      <w:tr>
        <w:trPr>
          <w:cantSplit/>
        </w:trPr>
        <w:tc>
          <w:tcPr>
            <w:tcW w:type="dxa" w:w="170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前处理两线</w:t>
            </w:r>
          </w:p>
        </w:tc>
        <w:tc>
          <w:tcPr>
            <w:tcW w:type="dxa" w:w="170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细格栅、沉砂</w:t>
            </w:r>
          </w:p>
        </w:tc>
        <w:tc>
          <w:tcPr>
            <w:tcW w:type="dxa" w:w="300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2×0.9375 m³/s</w:t>
            </w:r>
          </w:p>
        </w:tc>
        <w:tc>
          <w:tcPr>
            <w:tcW w:type="dxa" w:w="243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跨线联络，正常均分</w:t>
            </w:r>
          </w:p>
        </w:tc>
      </w:tr>
      <w:tr>
        <w:trPr>
          <w:cantSplit/>
        </w:trPr>
        <w:tc>
          <w:tcPr>
            <w:tcW w:type="dxa" w:w="170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初沉配水</w:t>
            </w:r>
          </w:p>
        </w:tc>
        <w:tc>
          <w:tcPr>
            <w:tcW w:type="dxa" w:w="170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2井→4池</w:t>
            </w:r>
          </w:p>
        </w:tc>
        <w:tc>
          <w:tcPr>
            <w:tcW w:type="dxa" w:w="300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0.46875 m³/s·池</w:t>
            </w:r>
          </w:p>
        </w:tc>
        <w:tc>
          <w:tcPr>
            <w:tcW w:type="dxa" w:w="243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2.0m堰+闸门+流量计</w:t>
            </w:r>
          </w:p>
        </w:tc>
      </w:tr>
      <w:tr>
        <w:trPr>
          <w:cantSplit/>
        </w:trPr>
        <w:tc>
          <w:tcPr>
            <w:tcW w:type="dxa" w:w="170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A²/O配水</w:t>
            </w:r>
          </w:p>
        </w:tc>
        <w:tc>
          <w:tcPr>
            <w:tcW w:type="dxa" w:w="170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4系列</w:t>
            </w:r>
          </w:p>
        </w:tc>
        <w:tc>
          <w:tcPr>
            <w:tcW w:type="dxa" w:w="300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0.46875 m³/s·系列</w:t>
            </w:r>
          </w:p>
        </w:tc>
        <w:tc>
          <w:tcPr>
            <w:tcW w:type="dxa" w:w="243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独立进水闸门</w:t>
            </w:r>
          </w:p>
        </w:tc>
      </w:tr>
      <w:tr>
        <w:trPr>
          <w:cantSplit/>
        </w:trPr>
        <w:tc>
          <w:tcPr>
            <w:tcW w:type="dxa" w:w="170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二沉配水</w:t>
            </w:r>
          </w:p>
        </w:tc>
        <w:tc>
          <w:tcPr>
            <w:tcW w:type="dxa" w:w="170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4井→8池</w:t>
            </w:r>
          </w:p>
        </w:tc>
        <w:tc>
          <w:tcPr>
            <w:tcW w:type="dxa" w:w="300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外部0.23438、混合液0.41016 m³/s·池</w:t>
            </w:r>
          </w:p>
        </w:tc>
        <w:tc>
          <w:tcPr>
            <w:tcW w:type="dxa" w:w="243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每井2路等堰、泥位联控</w:t>
            </w:r>
          </w:p>
        </w:tc>
      </w:tr>
      <w:tr>
        <w:trPr>
          <w:cantSplit/>
        </w:trPr>
        <w:tc>
          <w:tcPr>
            <w:tcW w:type="dxa" w:w="170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终端</w:t>
            </w:r>
          </w:p>
        </w:tc>
        <w:tc>
          <w:tcPr>
            <w:tcW w:type="dxa" w:w="170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2格接触池/2计量渠</w:t>
            </w:r>
          </w:p>
        </w:tc>
        <w:tc>
          <w:tcPr>
            <w:tcW w:type="dxa" w:w="3005"/>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2×0.9375 m³/s</w:t>
            </w:r>
          </w:p>
        </w:tc>
        <w:tc>
          <w:tcPr>
            <w:tcW w:type="dxa" w:w="2438"/>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检修时限流</w:t>
            </w:r>
          </w:p>
        </w:tc>
      </w:tr>
    </w:tbl>
    <w:p>
      <w:pPr>
        <w:spacing w:after="20"/>
      </w:pPr>
    </w:p>
    <w:p>
      <w:pPr>
        <w:pStyle w:val="Heading2"/>
        <w:keepNext w:val="0"/>
        <w:keepLines w:val="0"/>
      </w:pPr>
      <w:r>
        <w:t>12.3 进厂管边界</w:t>
      </w:r>
    </w:p>
    <w:p>
      <w:pPr>
        <w:pStyle w:val="BodyText"/>
        <w:keepNext w:val="0"/>
        <w:keepLines w:val="0"/>
        <w:widowControl w:val="0"/>
        <w:spacing w:before="0" w:after="120" w:line="288" w:lineRule="auto"/>
        <w:ind w:firstLine="420"/>
      </w:pPr>
      <w:r>
        <w:rPr>
          <w:rFonts w:ascii="Songti SC" w:hAnsi="Songti SC" w:eastAsia="Songti SC" w:cs="Songti SC"/>
          <w:b w:val="0"/>
          <w:sz w:val="24"/>
        </w:rPr>
        <w:t>进厂D1200由任务书固定，管底EL23.30 m。原复核在课程峰值、h/D=0.75条件下流速约1.786 m/s、坡度约2.089‰。本轮不擅自改变题设管径；施工深化须核上游水位、管材允许流速、冲刷和3泵组合时的壅水，必要时增加并联或限流措施。</w:t>
      </w:r>
    </w:p>
    <w:p>
      <w:pPr>
        <w:pStyle w:val="BodyText"/>
        <w:keepNext w:val="0"/>
        <w:keepLines w:val="0"/>
        <w:widowControl w:val="0"/>
        <w:spacing w:before="40" w:after="120" w:line="288" w:lineRule="auto"/>
      </w:pPr>
      <w:r>
        <w:rPr>
          <w:rFonts w:ascii="Songti SC" w:hAnsi="Songti SC" w:eastAsia="Songti SC" w:cs="Songti SC"/>
          <w:b/>
          <w:sz w:val="22"/>
        </w:rPr>
        <w:t>说明：</w:t>
      </w:r>
      <w:r>
        <w:rPr>
          <w:rFonts w:ascii="Songti SC" w:hAnsi="Songti SC" w:eastAsia="Songti SC" w:cs="Songti SC"/>
          <w:b w:val="0"/>
          <w:sz w:val="22"/>
        </w:rPr>
        <w:t>管网λ、局部阻力和长度为课程阶段输入；阀门、渐变、仪表和厂家设备确定后必须逐段替换。</w:t>
      </w:r>
    </w:p>
    <w:p>
      <w:pPr>
        <w:pStyle w:val="Heading1"/>
        <w:keepNext w:val="0"/>
        <w:keepLines w:val="0"/>
        <w:pageBreakBefore/>
      </w:pPr>
      <w:r>
        <w:t>13 总平面布置</w:t>
      </w:r>
    </w:p>
    <w:p>
      <w:pPr>
        <w:pStyle w:val="Heading2"/>
        <w:keepNext w:val="0"/>
        <w:keepLines w:val="0"/>
      </w:pPr>
      <w:r>
        <w:t>13.1 布置原则</w:t>
      </w:r>
    </w:p>
    <w:p>
      <w:pPr>
        <w:pStyle w:val="BodyText"/>
        <w:keepNext w:val="0"/>
        <w:keepLines w:val="0"/>
        <w:widowControl w:val="0"/>
        <w:spacing w:before="0" w:after="120" w:line="288" w:lineRule="auto"/>
        <w:ind w:firstLine="420"/>
      </w:pPr>
      <w:r>
        <w:rPr>
          <w:rFonts w:ascii="Songti SC" w:hAnsi="Songti SC" w:eastAsia="Songti SC" w:cs="Songti SC"/>
          <w:b w:val="0"/>
          <w:sz w:val="24"/>
        </w:rPr>
        <w:t>厂区按400 m×300 m矩形表达12 ha。进水位于北侧、距东墙40 m；前处理靠近进水，初沉与A²/O沿主流程布置，8座二沉池分两列，终端接触池和计量靠东侧排口。道路形成环线，药剂间靠近投加点，鼓风机房靠近好氧区并避开主导东南风对管理区的不利影响。</w:t>
      </w:r>
    </w:p>
    <w:p>
      <w:pPr>
        <w:keepNext/>
        <w:keepLines w:val="0"/>
        <w:jc w:val="center"/>
      </w:pPr>
      <w:r>
        <w:drawing>
          <wp:inline xmlns:a="http://schemas.openxmlformats.org/drawingml/2006/main" xmlns:pic="http://schemas.openxmlformats.org/drawingml/2006/picture">
            <wp:extent cx="5715000" cy="2857500"/>
            <wp:docPr id="11" name="Picture 11"/>
            <wp:cNvGraphicFramePr>
              <a:graphicFrameLocks noChangeAspect="1"/>
            </wp:cNvGraphicFramePr>
            <a:graphic>
              <a:graphicData uri="http://schemas.openxmlformats.org/drawingml/2006/picture">
                <pic:pic>
                  <pic:nvPicPr>
                    <pic:cNvPr id="0" name="11_site_layout.png"/>
                    <pic:cNvPicPr/>
                  </pic:nvPicPr>
                  <pic:blipFill>
                    <a:blip r:embed="rId20"/>
                    <a:stretch>
                      <a:fillRect/>
                    </a:stretch>
                  </pic:blipFill>
                  <pic:spPr>
                    <a:xfrm>
                      <a:off x="0" y="0"/>
                      <a:ext cx="5715000" cy="2857500"/>
                    </a:xfrm>
                    <a:prstGeom prst="rect"/>
                  </pic:spPr>
                </pic:pic>
              </a:graphicData>
            </a:graphic>
          </wp:inline>
        </w:drawing>
      </w:r>
    </w:p>
    <w:p>
      <w:pPr>
        <w:keepNext w:val="0"/>
        <w:keepLines w:val="0"/>
        <w:widowControl w:val="0"/>
        <w:spacing w:before="0" w:after="120" w:line="288" w:lineRule="auto"/>
        <w:jc w:val="center"/>
      </w:pPr>
      <w:r>
        <w:rPr>
          <w:rFonts w:ascii="Songti SC" w:hAnsi="Songti SC" w:eastAsia="Songti SC" w:cs="Songti SC"/>
          <w:b w:val="0"/>
          <w:sz w:val="21"/>
        </w:rPr>
        <w:t>图13-1 厂区总平面计算草图</w:t>
      </w:r>
    </w:p>
    <w:p>
      <w:pPr>
        <w:pStyle w:val="BodyText"/>
        <w:keepNext w:val="0"/>
        <w:keepLines w:val="0"/>
        <w:widowControl w:val="0"/>
        <w:spacing w:before="0" w:after="120" w:line="288" w:lineRule="auto"/>
        <w:ind w:firstLine="420"/>
      </w:pPr>
      <w:r>
        <w:rPr>
          <w:rFonts w:ascii="Songti SC" w:hAnsi="Songti SC" w:eastAsia="Songti SC" w:cs="Songti SC"/>
          <w:b w:val="0"/>
          <w:sz w:val="24"/>
        </w:rPr>
        <w:t>图中构筑物按确定性几何近似比例绘制，表达数量、相对尺寸和流向。两座湿井单元各16×10 m；A²/O为4系列、每系列净水面70×45 m；二沉池为8座净径35 m。A²/O结构外轮廓另计外墙和隔墙厚度，沉淀池外轮廓另计池壁和走道。总平面仍须在独立CAD/BIM成果中落实道路宽度、建筑物、绿化、地下管线、远期扩建和事故超越。</w:t>
      </w:r>
    </w:p>
    <w:p>
      <w:pPr>
        <w:pStyle w:val="Heading2"/>
        <w:keepNext w:val="0"/>
        <w:keepLines w:val="0"/>
      </w:pPr>
      <w:r>
        <w:t>13.2 检修与扩建</w:t>
      </w:r>
    </w:p>
    <w:p>
      <w:pPr>
        <w:pStyle w:val="BodyText"/>
        <w:keepNext w:val="0"/>
        <w:keepLines w:val="0"/>
        <w:widowControl w:val="0"/>
        <w:spacing w:before="0" w:after="120" w:line="288" w:lineRule="auto"/>
        <w:ind w:firstLine="420"/>
      </w:pPr>
      <w:r>
        <w:rPr>
          <w:rFonts w:ascii="Songti SC" w:hAnsi="Songti SC" w:eastAsia="Songti SC" w:cs="Songti SC"/>
          <w:b w:val="0"/>
          <w:sz w:val="24"/>
        </w:rPr>
        <w:t>前处理两线、湿井两格、生物池四系列、二沉八池均可分单元隔离。任一湿井格检修时只剩2台泵，计划窗口限于不高于平均流量；二沉低流量时可减少运行池数。厂区南侧保留远期用地，事故排放仅预留受控接口，任何直排须依法审批，不能把超越管写成常规运行路线。</w:t>
      </w:r>
    </w:p>
    <w:p>
      <w:pPr>
        <w:pStyle w:val="Heading1"/>
        <w:keepNext w:val="0"/>
        <w:keepLines w:val="0"/>
        <w:pageBreakBefore/>
      </w:pPr>
      <w:r>
        <w:t>14 水力高程与出厂方式</w:t>
      </w:r>
    </w:p>
    <w:p>
      <w:pPr>
        <w:pStyle w:val="Heading2"/>
        <w:keepNext w:val="0"/>
        <w:keepLines w:val="0"/>
      </w:pPr>
      <w:r>
        <w:t>14.1 高程控制</w:t>
      </w:r>
    </w:p>
    <w:p>
      <w:pPr>
        <w:pStyle w:val="BodyText"/>
        <w:keepNext w:val="0"/>
        <w:keepLines w:val="0"/>
        <w:widowControl w:val="0"/>
        <w:spacing w:before="0" w:after="120" w:line="288" w:lineRule="auto"/>
        <w:ind w:firstLine="420"/>
      </w:pPr>
      <w:r>
        <w:rPr>
          <w:rFonts w:ascii="Songti SC" w:hAnsi="Songti SC" w:eastAsia="Songti SC" w:cs="Songti SC"/>
          <w:b w:val="0"/>
          <w:sz w:val="24"/>
        </w:rPr>
        <w:t>以A²/O池工艺内底EL27.30 m为竖向锚点，水深5.0 m，主体水面EL32.30 m。上游反推细格栅前EL34.30 m，下游推至出水控制井EL30.40 m。一次提升后依次重力流经沉砂、初沉、生物、二沉和终端。</w:t>
      </w:r>
    </w:p>
    <w:p>
      <w:pPr>
        <w:keepNext/>
        <w:keepLines w:val="0"/>
        <w:jc w:val="center"/>
      </w:pPr>
      <w:r>
        <w:drawing>
          <wp:inline xmlns:a="http://schemas.openxmlformats.org/drawingml/2006/main" xmlns:pic="http://schemas.openxmlformats.org/drawingml/2006/picture">
            <wp:extent cx="5715000" cy="2857500"/>
            <wp:docPr id="12" name="Picture 12"/>
            <wp:cNvGraphicFramePr>
              <a:graphicFrameLocks noChangeAspect="1"/>
            </wp:cNvGraphicFramePr>
            <a:graphic>
              <a:graphicData uri="http://schemas.openxmlformats.org/drawingml/2006/picture">
                <pic:pic>
                  <pic:nvPicPr>
                    <pic:cNvPr id="0" name="12_elevation.png"/>
                    <pic:cNvPicPr/>
                  </pic:nvPicPr>
                  <pic:blipFill>
                    <a:blip r:embed="rId21"/>
                    <a:stretch>
                      <a:fillRect/>
                    </a:stretch>
                  </pic:blipFill>
                  <pic:spPr>
                    <a:xfrm>
                      <a:off x="0" y="0"/>
                      <a:ext cx="5715000" cy="2857500"/>
                    </a:xfrm>
                    <a:prstGeom prst="rect"/>
                  </pic:spPr>
                </pic:pic>
              </a:graphicData>
            </a:graphic>
          </wp:inline>
        </w:drawing>
      </w:r>
    </w:p>
    <w:p>
      <w:pPr>
        <w:keepNext w:val="0"/>
        <w:keepLines w:val="0"/>
        <w:widowControl w:val="0"/>
        <w:spacing w:before="0" w:after="120" w:line="288" w:lineRule="auto"/>
        <w:jc w:val="center"/>
      </w:pPr>
      <w:r>
        <w:rPr>
          <w:rFonts w:ascii="Songti SC" w:hAnsi="Songti SC" w:eastAsia="Songti SC" w:cs="Songti SC"/>
          <w:b w:val="0"/>
          <w:sz w:val="21"/>
        </w:rPr>
        <w:t>图14-1 全厂水线高程控制草图</w:t>
      </w:r>
    </w:p>
    <w:p>
      <w:pPr>
        <w:keepNext/>
        <w:keepLines w:val="0"/>
        <w:widowControl w:val="0"/>
        <w:spacing w:before="0" w:after="120" w:line="288" w:lineRule="auto"/>
        <w:jc w:val="center"/>
      </w:pPr>
      <w:r>
        <w:rPr>
          <w:rFonts w:ascii="Songti SC" w:hAnsi="Songti SC" w:eastAsia="Songti SC" w:cs="Songti SC"/>
          <w:b w:val="0"/>
          <w:sz w:val="21"/>
        </w:rPr>
        <w:t>表14-1 设施、控制水位 EL m汇总</w:t>
      </w:r>
    </w:p>
    <w:tbl>
      <w:tblPr>
        <w:tblW w:type="auto" w:w="0"/>
        <w:jc w:val="center"/>
        <w:tblLayout w:type="fixed"/>
        <w:tblLook w:firstColumn="1" w:firstRow="1" w:lastColumn="0" w:lastRow="0" w:noHBand="0" w:noVBand="1" w:val="04A0"/>
      </w:tblPr>
      <w:tblGrid>
        <w:gridCol w:w="2310"/>
        <w:gridCol w:w="2310"/>
        <w:gridCol w:w="2310"/>
        <w:gridCol w:w="2310"/>
      </w:tblGrid>
      <w:tr>
        <w:trPr>
          <w:tblHeader w:val="true"/>
          <w:cantSplit/>
        </w:trPr>
        <w:tc>
          <w:tcPr>
            <w:tcW w:type="dxa" w:w="1984"/>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0"/>
              </w:rPr>
              <w:t>设施</w:t>
            </w:r>
          </w:p>
        </w:tc>
        <w:tc>
          <w:tcPr>
            <w:tcW w:type="dxa" w:w="2324"/>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0"/>
              </w:rPr>
              <w:t>控制水位 EL m</w:t>
            </w:r>
          </w:p>
        </w:tc>
        <w:tc>
          <w:tcPr>
            <w:tcW w:type="dxa" w:w="2324"/>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0"/>
              </w:rPr>
              <w:t>工艺内底 EL m</w:t>
            </w:r>
          </w:p>
        </w:tc>
        <w:tc>
          <w:tcPr>
            <w:tcW w:type="dxa" w:w="2154"/>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0"/>
              </w:rPr>
              <w:t>说明</w:t>
            </w:r>
          </w:p>
        </w:tc>
      </w:tr>
      <w:tr>
        <w:trPr>
          <w:cantSplit/>
        </w:trPr>
        <w:tc>
          <w:tcPr>
            <w:tcW w:type="dxa" w:w="198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0"/>
              </w:rPr>
              <w:t>入厂D1200</w:t>
            </w:r>
          </w:p>
        </w:tc>
        <w:tc>
          <w:tcPr>
            <w:tcW w:type="dxa" w:w="232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0"/>
              </w:rPr>
              <w:t>24.20</w:t>
            </w:r>
          </w:p>
        </w:tc>
        <w:tc>
          <w:tcPr>
            <w:tcW w:type="dxa" w:w="232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0"/>
              </w:rPr>
              <w:t>管底23.30</w:t>
            </w:r>
          </w:p>
        </w:tc>
        <w:tc>
          <w:tcPr>
            <w:tcW w:type="dxa" w:w="215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0"/>
              </w:rPr>
              <w:t>题设固定</w:t>
            </w:r>
          </w:p>
        </w:tc>
      </w:tr>
      <w:tr>
        <w:trPr>
          <w:cantSplit/>
        </w:trPr>
        <w:tc>
          <w:tcPr>
            <w:tcW w:type="dxa" w:w="198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0"/>
              </w:rPr>
              <w:t>湿井</w:t>
            </w:r>
          </w:p>
        </w:tc>
        <w:tc>
          <w:tcPr>
            <w:tcW w:type="dxa" w:w="232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0"/>
              </w:rPr>
              <w:t>22.60～23.80</w:t>
            </w:r>
          </w:p>
        </w:tc>
        <w:tc>
          <w:tcPr>
            <w:tcW w:type="dxa" w:w="232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0"/>
              </w:rPr>
              <w:t>20.40</w:t>
            </w:r>
          </w:p>
        </w:tc>
        <w:tc>
          <w:tcPr>
            <w:tcW w:type="dxa" w:w="215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0"/>
              </w:rPr>
              <w:t>局部泵坑19.80</w:t>
            </w:r>
          </w:p>
        </w:tc>
      </w:tr>
      <w:tr>
        <w:trPr>
          <w:cantSplit/>
        </w:trPr>
        <w:tc>
          <w:tcPr>
            <w:tcW w:type="dxa" w:w="198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0"/>
              </w:rPr>
              <w:t>细格栅</w:t>
            </w:r>
          </w:p>
        </w:tc>
        <w:tc>
          <w:tcPr>
            <w:tcW w:type="dxa" w:w="232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0"/>
              </w:rPr>
              <w:t>34.30/34.15</w:t>
            </w:r>
          </w:p>
        </w:tc>
        <w:tc>
          <w:tcPr>
            <w:tcW w:type="dxa" w:w="232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0"/>
              </w:rPr>
              <w:t>后渠底33.15</w:t>
            </w:r>
          </w:p>
        </w:tc>
        <w:tc>
          <w:tcPr>
            <w:tcW w:type="dxa" w:w="215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0"/>
              </w:rPr>
              <w:t>最大水深1.0m</w:t>
            </w:r>
          </w:p>
        </w:tc>
      </w:tr>
      <w:tr>
        <w:trPr>
          <w:cantSplit/>
        </w:trPr>
        <w:tc>
          <w:tcPr>
            <w:tcW w:type="dxa" w:w="198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0"/>
              </w:rPr>
              <w:t>沉砂</w:t>
            </w:r>
          </w:p>
        </w:tc>
        <w:tc>
          <w:tcPr>
            <w:tcW w:type="dxa" w:w="232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0"/>
              </w:rPr>
              <w:t>33.75</w:t>
            </w:r>
          </w:p>
        </w:tc>
        <w:tc>
          <w:tcPr>
            <w:tcW w:type="dxa" w:w="232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0"/>
              </w:rPr>
              <w:t>31.25</w:t>
            </w:r>
          </w:p>
        </w:tc>
        <w:tc>
          <w:tcPr>
            <w:tcW w:type="dxa" w:w="215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0"/>
              </w:rPr>
              <w:t>砂斗另低1.50m</w:t>
            </w:r>
          </w:p>
        </w:tc>
      </w:tr>
      <w:tr>
        <w:trPr>
          <w:cantSplit/>
        </w:trPr>
        <w:tc>
          <w:tcPr>
            <w:tcW w:type="dxa" w:w="198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0"/>
              </w:rPr>
              <w:t>初沉</w:t>
            </w:r>
          </w:p>
        </w:tc>
        <w:tc>
          <w:tcPr>
            <w:tcW w:type="dxa" w:w="232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0"/>
              </w:rPr>
              <w:t>33.00</w:t>
            </w:r>
          </w:p>
        </w:tc>
        <w:tc>
          <w:tcPr>
            <w:tcW w:type="dxa" w:w="232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0"/>
              </w:rPr>
              <w:t>周边29.50</w:t>
            </w:r>
          </w:p>
        </w:tc>
        <w:tc>
          <w:tcPr>
            <w:tcW w:type="dxa" w:w="215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0"/>
              </w:rPr>
              <w:t>沉淀3.0m</w:t>
            </w:r>
          </w:p>
        </w:tc>
      </w:tr>
      <w:tr>
        <w:trPr>
          <w:cantSplit/>
        </w:trPr>
        <w:tc>
          <w:tcPr>
            <w:tcW w:type="dxa" w:w="198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0"/>
              </w:rPr>
              <w:t>A²/O</w:t>
            </w:r>
          </w:p>
        </w:tc>
        <w:tc>
          <w:tcPr>
            <w:tcW w:type="dxa" w:w="232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0"/>
              </w:rPr>
              <w:t>32.30</w:t>
            </w:r>
          </w:p>
        </w:tc>
        <w:tc>
          <w:tcPr>
            <w:tcW w:type="dxa" w:w="232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0"/>
              </w:rPr>
              <w:t>27.30</w:t>
            </w:r>
          </w:p>
        </w:tc>
        <w:tc>
          <w:tcPr>
            <w:tcW w:type="dxa" w:w="215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0"/>
              </w:rPr>
              <w:t>墙顶32.80</w:t>
            </w:r>
          </w:p>
        </w:tc>
      </w:tr>
      <w:tr>
        <w:trPr>
          <w:cantSplit/>
        </w:trPr>
        <w:tc>
          <w:tcPr>
            <w:tcW w:type="dxa" w:w="198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0"/>
              </w:rPr>
              <w:t>二沉</w:t>
            </w:r>
          </w:p>
        </w:tc>
        <w:tc>
          <w:tcPr>
            <w:tcW w:type="dxa" w:w="232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0"/>
              </w:rPr>
              <w:t>31.40</w:t>
            </w:r>
          </w:p>
        </w:tc>
        <w:tc>
          <w:tcPr>
            <w:tcW w:type="dxa" w:w="232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0"/>
              </w:rPr>
              <w:t>周边27.500/内缘26.775/坑底26.275</w:t>
            </w:r>
          </w:p>
        </w:tc>
        <w:tc>
          <w:tcPr>
            <w:tcW w:type="dxa" w:w="215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0"/>
              </w:rPr>
              <w:t>沉淀3.0+缓冲0.5+基准贮泥0.4m</w:t>
            </w:r>
          </w:p>
        </w:tc>
      </w:tr>
      <w:tr>
        <w:trPr>
          <w:cantSplit/>
        </w:trPr>
        <w:tc>
          <w:tcPr>
            <w:tcW w:type="dxa" w:w="198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0"/>
              </w:rPr>
              <w:t>接触池/控制井</w:t>
            </w:r>
          </w:p>
        </w:tc>
        <w:tc>
          <w:tcPr>
            <w:tcW w:type="dxa" w:w="232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0"/>
              </w:rPr>
              <w:t>30.90/30.40</w:t>
            </w:r>
          </w:p>
        </w:tc>
        <w:tc>
          <w:tcPr>
            <w:tcW w:type="dxa" w:w="232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0"/>
              </w:rPr>
              <w:t>26.10/暂27.90</w:t>
            </w:r>
          </w:p>
        </w:tc>
        <w:tc>
          <w:tcPr>
            <w:tcW w:type="dxa" w:w="215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0"/>
              </w:rPr>
              <w:t>接触池净水深4.8m</w:t>
            </w:r>
          </w:p>
        </w:tc>
      </w:tr>
    </w:tbl>
    <w:p>
      <w:pPr>
        <w:spacing w:after="20"/>
      </w:pPr>
    </w:p>
    <w:p>
      <w:pPr>
        <w:keepNext/>
        <w:keepLines w:val="0"/>
        <w:widowControl w:val="0"/>
        <w:spacing w:before="0" w:after="120" w:line="288" w:lineRule="auto"/>
        <w:jc w:val="center"/>
      </w:pPr>
      <w:r>
        <w:rPr>
          <w:rFonts w:ascii="Songti SC" w:hAnsi="Songti SC" w:eastAsia="Songti SC" w:cs="Songti SC"/>
          <w:b w:val="0"/>
          <w:sz w:val="21"/>
        </w:rPr>
        <w:t>表14-2 串联段、上/下游 EL m汇总</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tblHeader w:val="true"/>
          <w:cantSplit/>
        </w:trPr>
        <w:tc>
          <w:tcPr>
            <w:tcW w:type="dxa" w:w="2551"/>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7"/>
              </w:rPr>
              <w:t>串联段</w:t>
            </w:r>
          </w:p>
        </w:tc>
        <w:tc>
          <w:tcPr>
            <w:tcW w:type="dxa" w:w="1984"/>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7"/>
              </w:rPr>
              <w:t>上/下游 EL m</w:t>
            </w:r>
          </w:p>
        </w:tc>
        <w:tc>
          <w:tcPr>
            <w:tcW w:type="dxa" w:w="1361"/>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7"/>
              </w:rPr>
              <w:t>采用落差 m</w:t>
            </w:r>
          </w:p>
        </w:tc>
        <w:tc>
          <w:tcPr>
            <w:tcW w:type="dxa" w:w="1361"/>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7"/>
              </w:rPr>
              <w:t>已算需求 m</w:t>
            </w:r>
          </w:p>
        </w:tc>
        <w:tc>
          <w:tcPr>
            <w:tcW w:type="dxa" w:w="1247"/>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7"/>
              </w:rPr>
              <w:t>剩余 m</w:t>
            </w:r>
          </w:p>
        </w:tc>
      </w:tr>
      <w:tr>
        <w:trPr>
          <w:cantSplit/>
        </w:trPr>
        <w:tc>
          <w:tcPr>
            <w:tcW w:type="dxa" w:w="255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7"/>
              </w:rPr>
              <w:t>细格栅过栅</w:t>
            </w:r>
          </w:p>
        </w:tc>
        <w:tc>
          <w:tcPr>
            <w:tcW w:type="dxa" w:w="198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34.30/34.15</w:t>
            </w:r>
          </w:p>
        </w:tc>
        <w:tc>
          <w:tcPr>
            <w:tcW w:type="dxa" w:w="136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0.150</w:t>
            </w:r>
          </w:p>
        </w:tc>
        <w:tc>
          <w:tcPr>
            <w:tcW w:type="dxa" w:w="136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0.078</w:t>
            </w:r>
          </w:p>
        </w:tc>
        <w:tc>
          <w:tcPr>
            <w:tcW w:type="dxa" w:w="124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0.072</w:t>
            </w:r>
          </w:p>
        </w:tc>
      </w:tr>
      <w:tr>
        <w:trPr>
          <w:cantSplit/>
        </w:trPr>
        <w:tc>
          <w:tcPr>
            <w:tcW w:type="dxa" w:w="255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7"/>
              </w:rPr>
              <w:t>细格栅至沉砂主体</w:t>
            </w:r>
          </w:p>
        </w:tc>
        <w:tc>
          <w:tcPr>
            <w:tcW w:type="dxa" w:w="198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34.15/33.75</w:t>
            </w:r>
          </w:p>
        </w:tc>
        <w:tc>
          <w:tcPr>
            <w:tcW w:type="dxa" w:w="136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0.400</w:t>
            </w:r>
          </w:p>
        </w:tc>
        <w:tc>
          <w:tcPr>
            <w:tcW w:type="dxa" w:w="136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0.150</w:t>
            </w:r>
          </w:p>
        </w:tc>
        <w:tc>
          <w:tcPr>
            <w:tcW w:type="dxa" w:w="124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0.250</w:t>
            </w:r>
          </w:p>
        </w:tc>
      </w:tr>
      <w:tr>
        <w:trPr>
          <w:cantSplit/>
        </w:trPr>
        <w:tc>
          <w:tcPr>
            <w:tcW w:type="dxa" w:w="255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7"/>
              </w:rPr>
              <w:t>沉砂至初沉水面</w:t>
            </w:r>
          </w:p>
        </w:tc>
        <w:tc>
          <w:tcPr>
            <w:tcW w:type="dxa" w:w="198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33.75/33.00</w:t>
            </w:r>
          </w:p>
        </w:tc>
        <w:tc>
          <w:tcPr>
            <w:tcW w:type="dxa" w:w="136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0.750</w:t>
            </w:r>
          </w:p>
        </w:tc>
        <w:tc>
          <w:tcPr>
            <w:tcW w:type="dxa" w:w="136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0.669</w:t>
            </w:r>
          </w:p>
        </w:tc>
        <w:tc>
          <w:tcPr>
            <w:tcW w:type="dxa" w:w="124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0.081</w:t>
            </w:r>
          </w:p>
        </w:tc>
      </w:tr>
      <w:tr>
        <w:trPr>
          <w:cantSplit/>
        </w:trPr>
        <w:tc>
          <w:tcPr>
            <w:tcW w:type="dxa" w:w="255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7"/>
              </w:rPr>
              <w:t>初沉至A2O水面</w:t>
            </w:r>
          </w:p>
        </w:tc>
        <w:tc>
          <w:tcPr>
            <w:tcW w:type="dxa" w:w="198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33.00/32.30</w:t>
            </w:r>
          </w:p>
        </w:tc>
        <w:tc>
          <w:tcPr>
            <w:tcW w:type="dxa" w:w="136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0.700</w:t>
            </w:r>
          </w:p>
        </w:tc>
        <w:tc>
          <w:tcPr>
            <w:tcW w:type="dxa" w:w="136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0.482</w:t>
            </w:r>
          </w:p>
        </w:tc>
        <w:tc>
          <w:tcPr>
            <w:tcW w:type="dxa" w:w="124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0.218</w:t>
            </w:r>
          </w:p>
        </w:tc>
      </w:tr>
      <w:tr>
        <w:trPr>
          <w:cantSplit/>
        </w:trPr>
        <w:tc>
          <w:tcPr>
            <w:tcW w:type="dxa" w:w="255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7"/>
              </w:rPr>
              <w:t>A2O至二沉配水井上游</w:t>
            </w:r>
          </w:p>
        </w:tc>
        <w:tc>
          <w:tcPr>
            <w:tcW w:type="dxa" w:w="198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32.30/31.95</w:t>
            </w:r>
          </w:p>
        </w:tc>
        <w:tc>
          <w:tcPr>
            <w:tcW w:type="dxa" w:w="136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0.350</w:t>
            </w:r>
          </w:p>
        </w:tc>
        <w:tc>
          <w:tcPr>
            <w:tcW w:type="dxa" w:w="136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0.184</w:t>
            </w:r>
          </w:p>
        </w:tc>
        <w:tc>
          <w:tcPr>
            <w:tcW w:type="dxa" w:w="124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0.166</w:t>
            </w:r>
          </w:p>
        </w:tc>
      </w:tr>
      <w:tr>
        <w:trPr>
          <w:cantSplit/>
        </w:trPr>
        <w:tc>
          <w:tcPr>
            <w:tcW w:type="dxa" w:w="255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7"/>
              </w:rPr>
              <w:t>二沉配水堰</w:t>
            </w:r>
          </w:p>
        </w:tc>
        <w:tc>
          <w:tcPr>
            <w:tcW w:type="dxa" w:w="198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31.95/31.55</w:t>
            </w:r>
          </w:p>
        </w:tc>
        <w:tc>
          <w:tcPr>
            <w:tcW w:type="dxa" w:w="136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0.400</w:t>
            </w:r>
          </w:p>
        </w:tc>
        <w:tc>
          <w:tcPr>
            <w:tcW w:type="dxa" w:w="136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0.355</w:t>
            </w:r>
          </w:p>
        </w:tc>
        <w:tc>
          <w:tcPr>
            <w:tcW w:type="dxa" w:w="124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0.045</w:t>
            </w:r>
          </w:p>
        </w:tc>
      </w:tr>
      <w:tr>
        <w:trPr>
          <w:cantSplit/>
        </w:trPr>
        <w:tc>
          <w:tcPr>
            <w:tcW w:type="dxa" w:w="255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7"/>
              </w:rPr>
              <w:t>配水井至二沉水面</w:t>
            </w:r>
          </w:p>
        </w:tc>
        <w:tc>
          <w:tcPr>
            <w:tcW w:type="dxa" w:w="198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31.55/31.40</w:t>
            </w:r>
          </w:p>
        </w:tc>
        <w:tc>
          <w:tcPr>
            <w:tcW w:type="dxa" w:w="136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0.150</w:t>
            </w:r>
          </w:p>
        </w:tc>
        <w:tc>
          <w:tcPr>
            <w:tcW w:type="dxa" w:w="136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0.125</w:t>
            </w:r>
          </w:p>
        </w:tc>
        <w:tc>
          <w:tcPr>
            <w:tcW w:type="dxa" w:w="124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0.025</w:t>
            </w:r>
          </w:p>
        </w:tc>
      </w:tr>
      <w:tr>
        <w:trPr>
          <w:cantSplit/>
        </w:trPr>
        <w:tc>
          <w:tcPr>
            <w:tcW w:type="dxa" w:w="255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7"/>
              </w:rPr>
              <w:t>二沉至接触池</w:t>
            </w:r>
          </w:p>
        </w:tc>
        <w:tc>
          <w:tcPr>
            <w:tcW w:type="dxa" w:w="198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31.40/30.90</w:t>
            </w:r>
          </w:p>
        </w:tc>
        <w:tc>
          <w:tcPr>
            <w:tcW w:type="dxa" w:w="136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0.500</w:t>
            </w:r>
          </w:p>
        </w:tc>
        <w:tc>
          <w:tcPr>
            <w:tcW w:type="dxa" w:w="136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0.472</w:t>
            </w:r>
          </w:p>
        </w:tc>
        <w:tc>
          <w:tcPr>
            <w:tcW w:type="dxa" w:w="124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0.028</w:t>
            </w:r>
          </w:p>
        </w:tc>
      </w:tr>
      <w:tr>
        <w:trPr>
          <w:cantSplit/>
        </w:trPr>
        <w:tc>
          <w:tcPr>
            <w:tcW w:type="dxa" w:w="255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7"/>
              </w:rPr>
              <w:t>接触池至控制井</w:t>
            </w:r>
          </w:p>
        </w:tc>
        <w:tc>
          <w:tcPr>
            <w:tcW w:type="dxa" w:w="198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30.90/30.40</w:t>
            </w:r>
          </w:p>
        </w:tc>
        <w:tc>
          <w:tcPr>
            <w:tcW w:type="dxa" w:w="136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0.500</w:t>
            </w:r>
          </w:p>
        </w:tc>
        <w:tc>
          <w:tcPr>
            <w:tcW w:type="dxa" w:w="136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0.300</w:t>
            </w:r>
          </w:p>
        </w:tc>
        <w:tc>
          <w:tcPr>
            <w:tcW w:type="dxa" w:w="1247"/>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7"/>
              </w:rPr>
              <w:t>0.200</w:t>
            </w:r>
          </w:p>
        </w:tc>
      </w:tr>
    </w:tbl>
    <w:p>
      <w:pPr>
        <w:spacing w:after="20"/>
      </w:pPr>
    </w:p>
    <w:p>
      <w:pPr>
        <w:pStyle w:val="BodyText"/>
        <w:keepNext w:val="0"/>
        <w:keepLines w:val="0"/>
        <w:widowControl w:val="0"/>
        <w:spacing w:before="0" w:after="120" w:line="288" w:lineRule="auto"/>
        <w:ind w:firstLine="420"/>
      </w:pPr>
      <w:r>
        <w:rPr>
          <w:rFonts w:ascii="Songti SC" w:hAnsi="Songti SC" w:eastAsia="Songti SC" w:cs="Songti SC"/>
          <w:b w:val="0"/>
          <w:sz w:val="24"/>
        </w:rPr>
        <w:t>九段采用落差合计3.90 m，等于细格栅前34.30 m至控制井30.40 m的水位差；每段采用落差均不小于当前已计算的管损、堰差或池内损失，剩余范围为0.025～0.250 m。设备和构造确定后，应在相应段内消耗余量，不跨段重复使用。</w:t>
      </w:r>
    </w:p>
    <w:p>
      <w:pPr>
        <w:pStyle w:val="Heading2"/>
        <w:keepNext w:val="0"/>
        <w:keepLines w:val="0"/>
      </w:pPr>
      <w:r>
        <w:t>14.2 泵扬程与重力损失的边界</w:t>
      </w:r>
    </w:p>
    <w:p>
      <w:pPr>
        <w:pStyle w:val="BodyText"/>
        <w:keepNext w:val="0"/>
        <w:keepLines w:val="0"/>
        <w:widowControl w:val="0"/>
        <w:spacing w:before="0" w:after="120" w:line="288" w:lineRule="auto"/>
        <w:ind w:firstLine="420"/>
      </w:pPr>
      <w:r>
        <w:rPr>
          <w:rFonts w:ascii="Songti SC" w:hAnsi="Songti SC" w:eastAsia="Songti SC" w:cs="Songti SC"/>
          <w:b w:val="0"/>
          <w:sz w:val="24"/>
        </w:rPr>
        <w:t>提升泵扬程只含最低湿井水位至细格栅前水位差、泵内DN900损失、泵后DN1000损失和0.80 m余量，得到12.921 m并取13.0 m。后续重力水线逐段分配水位落差，不再把其总落差重复加到泵扬程。A²/O池底保持EL27.30 m，因此曝气淹没和65 kPa压力账与高程一致。</w:t>
      </w:r>
    </w:p>
    <w:p>
      <w:pPr>
        <w:pStyle w:val="Heading2"/>
        <w:keepNext w:val="0"/>
        <w:keepLines w:val="0"/>
      </w:pPr>
      <w:r>
        <w:t>14.3 出厂和洪水边界</w:t>
      </w:r>
    </w:p>
    <w:p>
      <w:pPr>
        <w:pStyle w:val="BodyText"/>
        <w:keepNext w:val="0"/>
        <w:keepLines w:val="0"/>
        <w:widowControl w:val="0"/>
        <w:spacing w:before="0" w:after="120" w:line="288" w:lineRule="auto"/>
        <w:ind w:firstLine="420"/>
      </w:pPr>
      <w:r>
        <w:rPr>
          <w:rFonts w:ascii="Songti SC" w:hAnsi="Songti SC" w:eastAsia="Songti SC" w:cs="Songti SC"/>
          <w:b w:val="0"/>
          <w:sz w:val="24"/>
        </w:rPr>
        <w:t>任务书原文同时给出最高洪水位25.00 m及计算式18+0.5M m，M为组号。组号未提供，因此本设计采用题设25.00 m进行主校核，并保留公式待提交人核对。出水控制井EL30.40 m，厂内DN1500长28 m；厂外长度暂按100 m、同径、λ=0.020估算。记h_in和h_out分别为厂内、厂外水头损失。实际排口坐标、长度、河床和防倒灌构造必须补测。</w:t>
      </w:r>
    </w:p>
    <w:p>
      <w:pPr>
        <w:keepNext w:val="0"/>
        <w:keepLines w:val="0"/>
        <w:widowControl w:val="0"/>
        <w:spacing w:before="0" w:after="100" w:line="288" w:lineRule="auto"/>
        <w:jc w:val="center"/>
      </w:pPr>
      <m:oMathPara>
        <m:oMath>
          <m:r>
            <m:t>ELriver,allow=30.40−hin−hout−0.10≈30.05 m</m:t>
          </m:r>
        </m:oMath>
      </m:oMathPara>
    </w:p>
    <w:p>
      <w:pPr>
        <w:pStyle w:val="BodyText"/>
        <w:keepNext w:val="0"/>
        <w:keepLines w:val="0"/>
        <w:widowControl w:val="0"/>
        <w:spacing w:before="0" w:after="120" w:line="288" w:lineRule="auto"/>
        <w:ind w:firstLine="420"/>
      </w:pPr>
      <w:r>
        <w:rPr>
          <w:rFonts w:ascii="Songti SC" w:hAnsi="Songti SC" w:eastAsia="Songti SC" w:cs="Songti SC"/>
          <w:b w:val="0"/>
          <w:sz w:val="24"/>
        </w:rPr>
        <w:t>在25.00 m洪水情景下具重力出厂水头；若组号公式得到更高水位但仍低于约30.05 m，课程估算仍成立。任何接近上限的情况应重做非恒定流水力分析并设置防倒灌或应急提升。</w:t>
      </w:r>
    </w:p>
    <w:p>
      <w:pPr>
        <w:pStyle w:val="Heading1"/>
        <w:keepNext w:val="0"/>
        <w:keepLines w:val="0"/>
      </w:pPr>
      <w:r>
        <w:t>15 接触消毒与计量</w:t>
      </w:r>
    </w:p>
    <w:p>
      <w:pPr>
        <w:pStyle w:val="BodyText"/>
        <w:keepNext w:val="0"/>
        <w:keepLines w:val="0"/>
        <w:widowControl w:val="0"/>
        <w:spacing w:before="0" w:after="120" w:line="288" w:lineRule="auto"/>
        <w:ind w:firstLine="420"/>
      </w:pPr>
      <w:r>
        <w:rPr>
          <w:rFonts w:ascii="Songti SC" w:hAnsi="Songti SC" w:eastAsia="Songti SC" w:cs="Songti SC"/>
          <w:b w:val="0"/>
          <w:sz w:val="24"/>
        </w:rPr>
        <w:t>设置2格折流接触池，每格45 m×8 m×4.8 m，总有效容积3456 m³。按3泵组合6750 m³/h：</w:t>
      </w:r>
    </w:p>
    <w:p>
      <w:pPr>
        <w:keepNext w:val="0"/>
        <w:keepLines w:val="0"/>
        <w:widowControl w:val="0"/>
        <w:spacing w:before="0" w:after="100" w:line="288" w:lineRule="auto"/>
        <w:jc w:val="center"/>
      </w:pPr>
      <m:oMathPara>
        <m:oMath>
          <m:r>
            <m:t>t=3456/6750×60=30.72 min</m:t>
          </m:r>
        </m:oMath>
      </m:oMathPara>
    </w:p>
    <w:p>
      <w:pPr>
        <w:keepNext/>
        <w:keepLines w:val="0"/>
        <w:jc w:val="center"/>
      </w:pPr>
      <w:r>
        <w:drawing>
          <wp:inline xmlns:a="http://schemas.openxmlformats.org/drawingml/2006/main" xmlns:pic="http://schemas.openxmlformats.org/drawingml/2006/picture">
            <wp:extent cx="5715000" cy="2857500"/>
            <wp:docPr id="13" name="Picture 13"/>
            <wp:cNvGraphicFramePr>
              <a:graphicFrameLocks noChangeAspect="1"/>
            </wp:cNvGraphicFramePr>
            <a:graphic>
              <a:graphicData uri="http://schemas.openxmlformats.org/drawingml/2006/picture">
                <pic:pic>
                  <pic:nvPicPr>
                    <pic:cNvPr id="0" name="13_terminal.png"/>
                    <pic:cNvPicPr/>
                  </pic:nvPicPr>
                  <pic:blipFill>
                    <a:blip r:embed="rId22"/>
                    <a:stretch>
                      <a:fillRect/>
                    </a:stretch>
                  </pic:blipFill>
                  <pic:spPr>
                    <a:xfrm>
                      <a:off x="0" y="0"/>
                      <a:ext cx="5715000" cy="2857500"/>
                    </a:xfrm>
                    <a:prstGeom prst="rect"/>
                  </pic:spPr>
                </pic:pic>
              </a:graphicData>
            </a:graphic>
          </wp:inline>
        </w:drawing>
      </w:r>
    </w:p>
    <w:p>
      <w:pPr>
        <w:keepNext w:val="0"/>
        <w:keepLines w:val="0"/>
        <w:widowControl w:val="0"/>
        <w:spacing w:before="0" w:after="120" w:line="288" w:lineRule="auto"/>
        <w:jc w:val="center"/>
      </w:pPr>
      <w:r>
        <w:rPr>
          <w:rFonts w:ascii="Songti SC" w:hAnsi="Songti SC" w:eastAsia="Songti SC" w:cs="Songti SC"/>
          <w:b w:val="0"/>
          <w:sz w:val="21"/>
        </w:rPr>
        <w:t>图15-1 接触消毒与计量终端计算草图</w:t>
      </w:r>
    </w:p>
    <w:p>
      <w:pPr>
        <w:pStyle w:val="BodyText"/>
        <w:keepNext w:val="0"/>
        <w:keepLines w:val="0"/>
        <w:widowControl w:val="0"/>
        <w:spacing w:before="0" w:after="120" w:line="288" w:lineRule="auto"/>
        <w:ind w:firstLine="420"/>
      </w:pPr>
      <w:r>
        <w:rPr>
          <w:rFonts w:ascii="Songti SC" w:hAnsi="Songti SC" w:eastAsia="Songti SC" w:cs="Songti SC"/>
          <w:b w:val="0"/>
          <w:sz w:val="24"/>
        </w:rPr>
        <w:t>30 min为课程设计假设。由于任务书未给出进水粪大肠菌群、余氯、消毒剂需量或CT试验，本阶段预留药剂投加接口，固定剂量在现场需求试验后确定，并按GB 18918表4瞬时粪大肠菌群限值校准。两条1.50 m长喉道临界流量计各按0.9375 m³/s，矩形临界水深yc=(Q²/gb²)^(1/3)=0.341 m；最终需按选用的标准槽型标定。</w:t>
      </w:r>
    </w:p>
    <w:p>
      <w:pPr>
        <w:pStyle w:val="Heading1"/>
        <w:keepNext w:val="0"/>
        <w:keepLines w:val="0"/>
        <w:pageBreakBefore/>
      </w:pPr>
      <w:r>
        <w:t>16 主要构筑物和设备汇总</w:t>
      </w:r>
    </w:p>
    <w:p>
      <w:pPr>
        <w:keepNext/>
        <w:keepLines w:val="0"/>
        <w:widowControl w:val="0"/>
        <w:spacing w:before="0" w:after="120" w:line="288" w:lineRule="auto"/>
        <w:jc w:val="center"/>
      </w:pPr>
      <w:r>
        <w:rPr>
          <w:rFonts w:ascii="Songti SC" w:hAnsi="Songti SC" w:eastAsia="Songti SC" w:cs="Songti SC"/>
          <w:b w:val="0"/>
          <w:sz w:val="21"/>
        </w:rPr>
        <w:t>表16-1 单元、数量汇总</w:t>
      </w:r>
    </w:p>
    <w:tbl>
      <w:tblPr>
        <w:tblW w:type="auto" w:w="0"/>
        <w:jc w:val="center"/>
        <w:tblLayout w:type="fixed"/>
        <w:tblLook w:firstColumn="1" w:firstRow="1" w:lastColumn="0" w:lastRow="0" w:noHBand="0" w:noVBand="1" w:val="04A0"/>
      </w:tblPr>
      <w:tblGrid>
        <w:gridCol w:w="2310"/>
        <w:gridCol w:w="2310"/>
        <w:gridCol w:w="2310"/>
        <w:gridCol w:w="2310"/>
      </w:tblGrid>
      <w:tr>
        <w:trPr>
          <w:tblHeader w:val="true"/>
          <w:cantSplit/>
        </w:trPr>
        <w:tc>
          <w:tcPr>
            <w:tcW w:type="dxa" w:w="1814"/>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8"/>
              </w:rPr>
              <w:t>单元</w:t>
            </w:r>
          </w:p>
        </w:tc>
        <w:tc>
          <w:tcPr>
            <w:tcW w:type="dxa" w:w="1134"/>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8"/>
              </w:rPr>
              <w:t>数量</w:t>
            </w:r>
          </w:p>
        </w:tc>
        <w:tc>
          <w:tcPr>
            <w:tcW w:type="dxa" w:w="3402"/>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8"/>
              </w:rPr>
              <w:t>采用规格</w:t>
            </w:r>
          </w:p>
        </w:tc>
        <w:tc>
          <w:tcPr>
            <w:tcW w:type="dxa" w:w="2381"/>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18"/>
              </w:rPr>
              <w:t>关键校核</w:t>
            </w:r>
          </w:p>
        </w:tc>
      </w:tr>
      <w:tr>
        <w:trPr>
          <w:cantSplit/>
        </w:trPr>
        <w:tc>
          <w:tcPr>
            <w:tcW w:type="dxa" w:w="181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8"/>
              </w:rPr>
              <w:t>粗格栅</w:t>
            </w:r>
          </w:p>
        </w:tc>
        <w:tc>
          <w:tcPr>
            <w:tcW w:type="dxa" w:w="113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2线</w:t>
            </w:r>
          </w:p>
        </w:tc>
        <w:tc>
          <w:tcPr>
            <w:tcW w:type="dxa" w:w="340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b25mm，44净空隙，B1.53m</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v=0.859m/s；25%堵塞h=0.917m</w:t>
            </w:r>
          </w:p>
        </w:tc>
      </w:tr>
      <w:tr>
        <w:trPr>
          <w:cantSplit/>
        </w:trPr>
        <w:tc>
          <w:tcPr>
            <w:tcW w:type="dxa" w:w="181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8"/>
              </w:rPr>
              <w:t>湿井</w:t>
            </w:r>
          </w:p>
        </w:tc>
        <w:tc>
          <w:tcPr>
            <w:tcW w:type="dxa" w:w="113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2格</w:t>
            </w:r>
          </w:p>
        </w:tc>
        <w:tc>
          <w:tcPr>
            <w:tcW w:type="dxa" w:w="340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每格16×10×1.2m，192m³</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单泵5min需187.5m³</w:t>
            </w:r>
          </w:p>
        </w:tc>
      </w:tr>
      <w:tr>
        <w:trPr>
          <w:cantSplit/>
        </w:trPr>
        <w:tc>
          <w:tcPr>
            <w:tcW w:type="dxa" w:w="181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8"/>
              </w:rPr>
              <w:t>提升泵</w:t>
            </w:r>
          </w:p>
        </w:tc>
        <w:tc>
          <w:tcPr>
            <w:tcW w:type="dxa" w:w="113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4台3用1备</w:t>
            </w:r>
          </w:p>
        </w:tc>
        <w:tc>
          <w:tcPr>
            <w:tcW w:type="dxa" w:w="340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2250m³/h，H13m，132kW</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组合6750m³/h</w:t>
            </w:r>
          </w:p>
        </w:tc>
      </w:tr>
      <w:tr>
        <w:trPr>
          <w:cantSplit/>
        </w:trPr>
        <w:tc>
          <w:tcPr>
            <w:tcW w:type="dxa" w:w="181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8"/>
              </w:rPr>
              <w:t>细格栅</w:t>
            </w:r>
          </w:p>
        </w:tc>
        <w:tc>
          <w:tcPr>
            <w:tcW w:type="dxa" w:w="113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2线</w:t>
            </w:r>
          </w:p>
        </w:tc>
        <w:tc>
          <w:tcPr>
            <w:tcW w:type="dxa" w:w="340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b10mm，122净空隙，B2.10m</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v=0.894m/s；25%堵塞h=0.953m</w:t>
            </w:r>
          </w:p>
        </w:tc>
      </w:tr>
      <w:tr>
        <w:trPr>
          <w:cantSplit/>
        </w:trPr>
        <w:tc>
          <w:tcPr>
            <w:tcW w:type="dxa" w:w="181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8"/>
              </w:rPr>
              <w:t>曝气沉砂池</w:t>
            </w:r>
          </w:p>
        </w:tc>
        <w:tc>
          <w:tcPr>
            <w:tcW w:type="dxa" w:w="113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2座</w:t>
            </w:r>
          </w:p>
        </w:tc>
        <w:tc>
          <w:tcPr>
            <w:tcW w:type="dxa" w:w="340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30×3.3×2.5m</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v0.0985m/s；t5.077min</w:t>
            </w:r>
          </w:p>
        </w:tc>
      </w:tr>
      <w:tr>
        <w:trPr>
          <w:cantSplit/>
        </w:trPr>
        <w:tc>
          <w:tcPr>
            <w:tcW w:type="dxa" w:w="181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8"/>
              </w:rPr>
              <w:t>初沉池</w:t>
            </w:r>
          </w:p>
        </w:tc>
        <w:tc>
          <w:tcPr>
            <w:tcW w:type="dxa" w:w="113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4座</w:t>
            </w:r>
          </w:p>
        </w:tc>
        <w:tc>
          <w:tcPr>
            <w:tcW w:type="dxa" w:w="340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净D31，中心井D4.5，h3m</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峰值q1.979；HRT1.516h</w:t>
            </w:r>
          </w:p>
        </w:tc>
      </w:tr>
      <w:tr>
        <w:trPr>
          <w:cantSplit/>
        </w:trPr>
        <w:tc>
          <w:tcPr>
            <w:tcW w:type="dxa" w:w="181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8"/>
              </w:rPr>
              <w:t>A²/O</w:t>
            </w:r>
          </w:p>
        </w:tc>
        <w:tc>
          <w:tcPr>
            <w:tcW w:type="dxa" w:w="113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4系列</w:t>
            </w:r>
          </w:p>
        </w:tc>
        <w:tc>
          <w:tcPr>
            <w:tcW w:type="dxa" w:w="340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70×45×5m；总63000m³</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HRT14h；SRT20d</w:t>
            </w:r>
          </w:p>
        </w:tc>
      </w:tr>
      <w:tr>
        <w:trPr>
          <w:cantSplit/>
        </w:trPr>
        <w:tc>
          <w:tcPr>
            <w:tcW w:type="dxa" w:w="181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8"/>
              </w:rPr>
              <w:t>甲醇</w:t>
            </w:r>
          </w:p>
        </w:tc>
        <w:tc>
          <w:tcPr>
            <w:tcW w:type="dxa" w:w="113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2×100%计量泵</w:t>
            </w:r>
          </w:p>
        </w:tc>
        <w:tc>
          <w:tcPr>
            <w:tcW w:type="dxa" w:w="340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80%日储供12.0t/d；单泵≥600kg/h</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运行平衡9.315t/d；容量10.323t/d</w:t>
            </w:r>
          </w:p>
        </w:tc>
      </w:tr>
      <w:tr>
        <w:trPr>
          <w:cantSplit/>
        </w:trPr>
        <w:tc>
          <w:tcPr>
            <w:tcW w:type="dxa" w:w="181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8"/>
              </w:rPr>
              <w:t>FeCl₃</w:t>
            </w:r>
          </w:p>
        </w:tc>
        <w:tc>
          <w:tcPr>
            <w:tcW w:type="dxa" w:w="113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2×100%计量泵</w:t>
            </w:r>
          </w:p>
        </w:tc>
        <w:tc>
          <w:tcPr>
            <w:tcW w:type="dxa" w:w="340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40%日储供7.47m³/d；单泵≥0.40m³/h</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计算6.225m³/d；化学固体2.769t/d</w:t>
            </w:r>
          </w:p>
        </w:tc>
      </w:tr>
      <w:tr>
        <w:trPr>
          <w:cantSplit/>
        </w:trPr>
        <w:tc>
          <w:tcPr>
            <w:tcW w:type="dxa" w:w="181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8"/>
              </w:rPr>
              <w:t>NaHCO₃</w:t>
            </w:r>
          </w:p>
        </w:tc>
        <w:tc>
          <w:tcPr>
            <w:tcW w:type="dxa" w:w="113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2套干粉给料+2台溶液泵</w:t>
            </w:r>
          </w:p>
        </w:tc>
        <w:tc>
          <w:tcPr>
            <w:tcW w:type="dxa" w:w="340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99%日储供≤40t/d；单套给料≥2.2t/h</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仅进水碱度100mg/L边界</w:t>
            </w:r>
          </w:p>
        </w:tc>
      </w:tr>
      <w:tr>
        <w:trPr>
          <w:cantSplit/>
        </w:trPr>
        <w:tc>
          <w:tcPr>
            <w:tcW w:type="dxa" w:w="181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8"/>
              </w:rPr>
              <w:t>曝气器</w:t>
            </w:r>
          </w:p>
        </w:tc>
        <w:tc>
          <w:tcPr>
            <w:tcW w:type="dxa" w:w="113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9600盘</w:t>
            </w:r>
          </w:p>
        </w:tc>
        <w:tc>
          <w:tcPr>
            <w:tcW w:type="dxa" w:w="340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229mm，5Nm³/h·盘</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总48000Nm³/h</w:t>
            </w:r>
          </w:p>
        </w:tc>
      </w:tr>
      <w:tr>
        <w:trPr>
          <w:cantSplit/>
        </w:trPr>
        <w:tc>
          <w:tcPr>
            <w:tcW w:type="dxa" w:w="181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8"/>
              </w:rPr>
              <w:t>鼓风机</w:t>
            </w:r>
          </w:p>
        </w:tc>
        <w:tc>
          <w:tcPr>
            <w:tcW w:type="dxa" w:w="113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9台8用1备</w:t>
            </w:r>
          </w:p>
        </w:tc>
        <w:tc>
          <w:tcPr>
            <w:tcW w:type="dxa" w:w="340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AT200-0.8 S G5plus</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6000Nm³/h·台，65kPa</w:t>
            </w:r>
          </w:p>
        </w:tc>
      </w:tr>
      <w:tr>
        <w:trPr>
          <w:cantSplit/>
        </w:trPr>
        <w:tc>
          <w:tcPr>
            <w:tcW w:type="dxa" w:w="181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8"/>
              </w:rPr>
              <w:t>回流污泥泵</w:t>
            </w:r>
          </w:p>
        </w:tc>
        <w:tc>
          <w:tcPr>
            <w:tcW w:type="dxa" w:w="113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8台4用4备</w:t>
            </w:r>
          </w:p>
        </w:tc>
        <w:tc>
          <w:tcPr>
            <w:tcW w:type="dxa" w:w="340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1097m³/h，H3m，15kW</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4系列各1用1备</w:t>
            </w:r>
          </w:p>
        </w:tc>
      </w:tr>
      <w:tr>
        <w:trPr>
          <w:cantSplit/>
        </w:trPr>
        <w:tc>
          <w:tcPr>
            <w:tcW w:type="dxa" w:w="181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8"/>
              </w:rPr>
              <w:t>内回流泵</w:t>
            </w:r>
          </w:p>
        </w:tc>
        <w:tc>
          <w:tcPr>
            <w:tcW w:type="dxa" w:w="113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8台4用4备</w:t>
            </w:r>
          </w:p>
        </w:tc>
        <w:tc>
          <w:tcPr>
            <w:tcW w:type="dxa" w:w="340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3656m³/h，H1m，15kW</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4系列各1用1备</w:t>
            </w:r>
          </w:p>
        </w:tc>
      </w:tr>
      <w:tr>
        <w:trPr>
          <w:cantSplit/>
        </w:trPr>
        <w:tc>
          <w:tcPr>
            <w:tcW w:type="dxa" w:w="181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8"/>
              </w:rPr>
              <w:t>二沉池</w:t>
            </w:r>
          </w:p>
        </w:tc>
        <w:tc>
          <w:tcPr>
            <w:tcW w:type="dxa" w:w="113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8座</w:t>
            </w:r>
          </w:p>
        </w:tc>
        <w:tc>
          <w:tcPr>
            <w:tcW w:type="dxa" w:w="340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净D35，中心井D6，沉淀h3m</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固体144.39kg/(m²·d)</w:t>
            </w:r>
          </w:p>
        </w:tc>
      </w:tr>
      <w:tr>
        <w:trPr>
          <w:cantSplit/>
        </w:trPr>
        <w:tc>
          <w:tcPr>
            <w:tcW w:type="dxa" w:w="181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8"/>
              </w:rPr>
              <w:t>接触池</w:t>
            </w:r>
          </w:p>
        </w:tc>
        <w:tc>
          <w:tcPr>
            <w:tcW w:type="dxa" w:w="113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2格</w:t>
            </w:r>
          </w:p>
        </w:tc>
        <w:tc>
          <w:tcPr>
            <w:tcW w:type="dxa" w:w="340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45×8×4.8m</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组合流量t30.72min</w:t>
            </w:r>
          </w:p>
        </w:tc>
      </w:tr>
      <w:tr>
        <w:trPr>
          <w:cantSplit/>
        </w:trPr>
        <w:tc>
          <w:tcPr>
            <w:tcW w:type="dxa" w:w="181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18"/>
              </w:rPr>
              <w:t>计量渠</w:t>
            </w:r>
          </w:p>
        </w:tc>
        <w:tc>
          <w:tcPr>
            <w:tcW w:type="dxa" w:w="1134"/>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2条</w:t>
            </w:r>
          </w:p>
        </w:tc>
        <w:tc>
          <w:tcPr>
            <w:tcW w:type="dxa" w:w="3402"/>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长喉道，b1.50m</w:t>
            </w:r>
          </w:p>
        </w:tc>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18"/>
              </w:rPr>
              <w:t>组合流量yc0.341m</w:t>
            </w:r>
          </w:p>
        </w:tc>
      </w:tr>
    </w:tbl>
    <w:p>
      <w:pPr>
        <w:spacing w:after="20"/>
      </w:pPr>
    </w:p>
    <w:p>
      <w:pPr>
        <w:pStyle w:val="Heading2"/>
        <w:keepNext w:val="0"/>
        <w:keepLines w:val="0"/>
      </w:pPr>
      <w:r>
        <w:t>16.1 主要核验结论</w:t>
      </w:r>
    </w:p>
    <w:p>
      <w:pPr>
        <w:pStyle w:val="BodyText"/>
        <w:keepNext w:val="0"/>
        <w:keepLines w:val="0"/>
        <w:widowControl w:val="0"/>
        <w:spacing w:before="0" w:after="120" w:line="288" w:lineRule="auto"/>
        <w:ind w:firstLine="420"/>
      </w:pPr>
      <w:r>
        <w:rPr>
          <w:rFonts w:ascii="Songti SC" w:hAnsi="Songti SC" w:eastAsia="Songti SC" w:cs="Songti SC"/>
          <w:b w:val="0"/>
          <w:sz w:val="24"/>
        </w:rPr>
        <w:t>本设计完成38项工艺核验，覆盖格栅流速与堵塞水深、单格湿井容积、泵扬程、沉砂停留、A²/O负荷、低温反硝化、AOB SRT、氮/固体质量平衡、二沉表面/固体/堰负荷与贮泥、曝气容量、风压、入口风量、回流扬程、坐标长度、高程余量和接触时间。采用输入下各项均满足；结果仍须接受工程审核、现场取样与施工图审查。</w:t>
      </w:r>
    </w:p>
    <w:p>
      <w:pPr>
        <w:pStyle w:val="Heading2"/>
        <w:keepNext w:val="0"/>
        <w:keepLines w:val="0"/>
      </w:pPr>
      <w:r>
        <w:t>16.2 待实测或外部确认事项</w:t>
      </w:r>
    </w:p>
    <w:p>
      <w:pPr>
        <w:keepNext/>
        <w:keepLines w:val="0"/>
        <w:widowControl w:val="0"/>
        <w:spacing w:before="0" w:after="120" w:line="288" w:lineRule="auto"/>
        <w:jc w:val="center"/>
      </w:pPr>
      <w:r>
        <w:rPr>
          <w:rFonts w:ascii="Songti SC" w:hAnsi="Songti SC" w:eastAsia="Songti SC" w:cs="Songti SC"/>
          <w:b w:val="0"/>
          <w:sz w:val="21"/>
        </w:rPr>
        <w:t>表16-2 事项、定稿前/实施前要求汇总</w:t>
      </w:r>
    </w:p>
    <w:tbl>
      <w:tblPr>
        <w:tblW w:type="auto" w:w="0"/>
        <w:jc w:val="center"/>
        <w:tblLayout w:type="fixed"/>
        <w:tblLook w:firstColumn="1" w:firstRow="1" w:lastColumn="0" w:lastRow="0" w:noHBand="0" w:noVBand="1" w:val="04A0"/>
      </w:tblPr>
      <w:tblGrid>
        <w:gridCol w:w="4621"/>
        <w:gridCol w:w="4621"/>
      </w:tblGrid>
      <w:tr>
        <w:trPr>
          <w:tblHeader w:val="true"/>
          <w:cantSplit/>
        </w:trPr>
        <w:tc>
          <w:tcPr>
            <w:tcW w:type="dxa" w:w="2381"/>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事项</w:t>
            </w:r>
          </w:p>
        </w:tc>
        <w:tc>
          <w:tcPr>
            <w:tcW w:type="dxa" w:w="6350"/>
            <w:shd w:fill="D9EAF7"/>
            <w:tcBorders>
              <w:top w:val="single" w:sz="6" w:color="9AA7B5"/>
              <w:left w:val="single" w:sz="6" w:color="9AA7B5"/>
              <w:bottom w:val="single" w:sz="6" w:color="9AA7B5"/>
              <w:right w:val="single" w:sz="6" w:color="9AA7B5"/>
              <w:insideH w:val="single" w:sz="6" w:color="9AA7B5"/>
              <w:insideV w:val="single" w:sz="6" w:color="9AA7B5"/>
            </w:tcBorders>
            <w:vAlign w:val="center"/>
          </w:tcPr>
          <w:p>
            <w:pPr>
              <w:jc w:val="center"/>
            </w:pPr>
            <w:r>
              <w:rPr>
                <w:rFonts w:ascii="Songti SC" w:hAnsi="Songti SC" w:eastAsia="Songti SC" w:cs="Songti SC"/>
                <w:b/>
                <w:sz w:val="21"/>
              </w:rPr>
              <w:t>定稿前/实施前要求</w:t>
            </w:r>
          </w:p>
        </w:tc>
      </w:tr>
      <w:tr>
        <w:trPr>
          <w:cantSplit/>
        </w:trPr>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封面资料</w:t>
            </w:r>
          </w:p>
        </w:tc>
        <w:tc>
          <w:tcPr>
            <w:tcW w:type="dxa" w:w="6350"/>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班级、组号、成员、分工和指导教师由提交人填写</w:t>
            </w:r>
          </w:p>
        </w:tc>
      </w:tr>
      <w:tr>
        <w:trPr>
          <w:cantSplit/>
        </w:trPr>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进水组分</w:t>
            </w:r>
          </w:p>
        </w:tc>
        <w:tc>
          <w:tcPr>
            <w:tcW w:type="dxa" w:w="6350"/>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TKN/NH₄-N、可利用COD、碱度、VSS/ISS和温度序列</w:t>
            </w:r>
          </w:p>
        </w:tc>
      </w:tr>
      <w:tr>
        <w:trPr>
          <w:cantSplit/>
        </w:trPr>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投药</w:t>
            </w:r>
          </w:p>
        </w:tc>
        <w:tc>
          <w:tcPr>
            <w:tcW w:type="dxa" w:w="6350"/>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甲醇驯化与残余、FeCl₃烧杯试验、碱度/pH联控</w:t>
            </w:r>
          </w:p>
        </w:tc>
      </w:tr>
      <w:tr>
        <w:trPr>
          <w:cantSplit/>
        </w:trPr>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设备</w:t>
            </w:r>
          </w:p>
        </w:tc>
        <w:tc>
          <w:tcPr>
            <w:tcW w:type="dxa" w:w="6350"/>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泵曲线、NPSH、曝气器现场SOTE、鼓风机入口状态换算</w:t>
            </w:r>
          </w:p>
        </w:tc>
      </w:tr>
      <w:tr>
        <w:trPr>
          <w:cantSplit/>
        </w:trPr>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终端</w:t>
            </w:r>
          </w:p>
        </w:tc>
        <w:tc>
          <w:tcPr>
            <w:tcW w:type="dxa" w:w="6350"/>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消毒需求/CT、计量槽标定、粪大肠菌群在线/化验方案</w:t>
            </w:r>
          </w:p>
        </w:tc>
      </w:tr>
      <w:tr>
        <w:trPr>
          <w:cantSplit/>
        </w:trPr>
        <w:tc>
          <w:tcPr>
            <w:tcW w:type="dxa" w:w="2381"/>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left"/>
            </w:pPr>
            <w:r>
              <w:rPr>
                <w:rFonts w:ascii="Songti SC" w:hAnsi="Songti SC" w:eastAsia="Songti SC" w:cs="Songti SC"/>
                <w:b w:val="0"/>
                <w:sz w:val="21"/>
              </w:rPr>
              <w:t>厂外工程</w:t>
            </w:r>
          </w:p>
        </w:tc>
        <w:tc>
          <w:tcPr>
            <w:tcW w:type="dxa" w:w="6350"/>
            <w:tcBorders>
              <w:top w:val="single" w:sz="6" w:color="9AA7B5"/>
              <w:left w:val="single" w:sz="6" w:color="9AA7B5"/>
              <w:bottom w:val="single" w:sz="6" w:color="9AA7B5"/>
              <w:right w:val="single" w:sz="6" w:color="9AA7B5"/>
              <w:insideH w:val="single" w:sz="6" w:color="9AA7B5"/>
              <w:insideV w:val="single" w:sz="6" w:color="9AA7B5"/>
            </w:tcBorders>
            <w:vAlign w:val="center"/>
          </w:tcPr>
          <w:p>
            <w:pPr>
              <w:keepNext w:val="0"/>
              <w:keepLines w:val="0"/>
              <w:widowControl w:val="0"/>
              <w:spacing w:before="0" w:after="0" w:line="252" w:lineRule="auto"/>
              <w:jc w:val="center"/>
            </w:pPr>
            <w:r>
              <w:rPr>
                <w:rFonts w:ascii="Songti SC" w:hAnsi="Songti SC" w:eastAsia="Songti SC" w:cs="Songti SC"/>
                <w:b w:val="0"/>
                <w:sz w:val="21"/>
              </w:rPr>
              <w:t>组号对应洪水位、排口坐标、厂外管长和防倒灌</w:t>
            </w:r>
          </w:p>
        </w:tc>
      </w:tr>
    </w:tbl>
    <w:p>
      <w:pPr>
        <w:spacing w:after="20"/>
      </w:pPr>
    </w:p>
    <w:p>
      <w:pPr>
        <w:pStyle w:val="Heading1"/>
        <w:keepNext w:val="0"/>
        <w:keepLines w:val="0"/>
        <w:pageBreakBefore/>
      </w:pPr>
      <w:r>
        <w:t>参考文献</w:t>
      </w:r>
    </w:p>
    <w:p>
      <w:pPr>
        <w:keepNext w:val="0"/>
        <w:keepLines w:val="0"/>
        <w:widowControl w:val="0"/>
        <w:spacing w:before="0" w:after="120" w:line="288" w:lineRule="auto"/>
        <w:ind w:left="227" w:hanging="227"/>
      </w:pPr>
      <w:r>
        <w:rPr>
          <w:rFonts w:ascii="Songti SC" w:hAnsi="Songti SC" w:eastAsia="Songti SC" w:cs="Songti SC"/>
          <w:b w:val="0"/>
          <w:sz w:val="22"/>
        </w:rPr>
        <w:t>[1] 中国农业大学环境工程课程组. 本科生课程设计任务书（6）及污水处理厂课程设计指导书, 2026.</w:t>
      </w:r>
    </w:p>
    <w:p>
      <w:pPr>
        <w:keepNext w:val="0"/>
        <w:keepLines w:val="0"/>
        <w:widowControl w:val="0"/>
        <w:spacing w:before="0" w:after="120" w:line="288" w:lineRule="auto"/>
        <w:ind w:left="227" w:hanging="227"/>
      </w:pPr>
      <w:r>
        <w:rPr>
          <w:rFonts w:ascii="Songti SC" w:hAnsi="Songti SC" w:eastAsia="Songti SC" w:cs="Songti SC"/>
          <w:b w:val="0"/>
          <w:sz w:val="22"/>
        </w:rPr>
        <w:t>[2] 中华人民共和国住房和城乡建设部. GB 50014—2021 室外排水设计标准. 北京: 中国计划出版社, 2021.</w:t>
      </w:r>
    </w:p>
    <w:p>
      <w:pPr>
        <w:keepNext w:val="0"/>
        <w:keepLines w:val="0"/>
        <w:widowControl w:val="0"/>
        <w:spacing w:before="0" w:after="120" w:line="288" w:lineRule="auto"/>
        <w:ind w:left="227" w:hanging="227"/>
      </w:pPr>
      <w:r>
        <w:rPr>
          <w:rFonts w:ascii="Songti SC" w:hAnsi="Songti SC" w:eastAsia="Songti SC" w:cs="Songti SC"/>
          <w:b w:val="0"/>
          <w:sz w:val="22"/>
        </w:rPr>
        <w:t>[3] 生态环境部. GB 18918—2002 城镇污水处理厂污染物排放标准（含2025年修改单）.</w:t>
      </w:r>
    </w:p>
    <w:p>
      <w:pPr>
        <w:keepNext w:val="0"/>
        <w:keepLines w:val="0"/>
        <w:widowControl w:val="0"/>
        <w:spacing w:before="0" w:after="120" w:line="288" w:lineRule="auto"/>
        <w:ind w:left="227" w:hanging="227"/>
      </w:pPr>
      <w:r>
        <w:rPr>
          <w:rFonts w:ascii="Songti SC" w:hAnsi="Songti SC" w:eastAsia="Songti SC" w:cs="Songti SC"/>
          <w:b w:val="0"/>
          <w:sz w:val="22"/>
        </w:rPr>
        <w:t>[4] 环境保护部. HJ 576—2010 厌氧-缺氧-好氧活性污泥法污水处理工程技术规范, 2010.</w:t>
      </w:r>
    </w:p>
    <w:p>
      <w:pPr>
        <w:keepNext w:val="0"/>
        <w:keepLines w:val="0"/>
        <w:widowControl w:val="0"/>
        <w:spacing w:before="0" w:after="120" w:line="288" w:lineRule="auto"/>
        <w:ind w:left="227" w:hanging="227"/>
      </w:pPr>
      <w:r>
        <w:rPr>
          <w:rFonts w:ascii="Songti SC" w:hAnsi="Songti SC" w:eastAsia="Songti SC" w:cs="Songti SC"/>
          <w:b w:val="0"/>
          <w:sz w:val="22"/>
        </w:rPr>
        <w:t>[5] U.S. EPA. Nutrient Control Design Manual. EPA/600/R-10/100, August 2010. https://nepis.epa.gov/Exe/ZyPURL.cgi?Dockey=P1008KTD.TXT</w:t>
      </w:r>
    </w:p>
    <w:p>
      <w:pPr>
        <w:keepNext w:val="0"/>
        <w:keepLines w:val="0"/>
        <w:widowControl w:val="0"/>
        <w:spacing w:before="0" w:after="120" w:line="288" w:lineRule="auto"/>
        <w:ind w:left="227" w:hanging="227"/>
      </w:pPr>
      <w:r>
        <w:rPr>
          <w:rFonts w:ascii="Songti SC" w:hAnsi="Songti SC" w:eastAsia="Songti SC" w:cs="Songti SC"/>
          <w:b w:val="0"/>
          <w:sz w:val="22"/>
        </w:rPr>
        <w:t>[6] Xylem. Sanitaire Silver Series II Diffuser Datasheet, Standard 229 mm. https://www.xylem.com/siteassets/brand/sanitaire/resources/brochure/sanitaire-silver-series-ii-diffuser-datasheet-a4-low-en.pdf</w:t>
      </w:r>
    </w:p>
    <w:p>
      <w:pPr>
        <w:keepNext w:val="0"/>
        <w:keepLines w:val="0"/>
        <w:widowControl w:val="0"/>
        <w:spacing w:before="0" w:after="120" w:line="288" w:lineRule="auto"/>
        <w:ind w:left="227" w:hanging="227"/>
      </w:pPr>
      <w:r>
        <w:rPr>
          <w:rFonts w:ascii="Songti SC" w:hAnsi="Songti SC" w:eastAsia="Songti SC" w:cs="Songti SC"/>
          <w:b w:val="0"/>
          <w:sz w:val="22"/>
        </w:rPr>
        <w:t>[7] AERZEN. AERZEN Turbo Generation 5plus / AT 200-0.8 S official brochure. https://www.aerzen.com/fileadmin/user_upload/ifat2022/files/05_aerzen_turbo_g5plus_at60_en_en-GB.pdf</w:t>
      </w:r>
    </w:p>
    <w:p>
      <w:pPr>
        <w:keepNext w:val="0"/>
        <w:keepLines w:val="0"/>
        <w:widowControl w:val="0"/>
        <w:spacing w:before="0" w:after="120" w:line="288" w:lineRule="auto"/>
        <w:ind w:left="227" w:hanging="227"/>
      </w:pPr>
      <w:r>
        <w:rPr>
          <w:rFonts w:ascii="Songti SC" w:hAnsi="Songti SC" w:eastAsia="Songti SC" w:cs="Songti SC"/>
          <w:b w:val="0"/>
          <w:sz w:val="22"/>
        </w:rPr>
        <w:t>[8] 给水排水设计手册编写组. 给水排水设计手册 第5册 城镇排水. 北京: 中国建筑工业出版社.</w:t>
      </w:r>
    </w:p>
    <w:sectPr w:rsidR="00FC693F" w:rsidRPr="0006063C" w:rsidSect="00034616">
      <w:footerReference w:type="default" r:id="rId9"/>
      <w:pgSz w:w="11906" w:h="16838"/>
      <w:pgMar w:top="1247" w:right="1247" w:bottom="1134" w:left="141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ongti SC" w:hAnsi="Songti SC" w:eastAsia="Songti SC" w:cs="Songti SC"/>
        <w:b w:val="0"/>
        <w:sz w:val="20"/>
      </w:rPr>
      <w:t xml:space="preserve">— </w:t>
    </w:r>
    <w:r>
      <w:rPr>
        <w:rFonts w:ascii="Songti SC" w:hAnsi="Songti SC" w:eastAsia="Songti SC" w:cs="Songti SC"/>
        <w:b w:val="0"/>
        <w:sz w:val="20"/>
      </w:rPr>
      <w:fldChar w:fldCharType="begin"/>
      <w:instrText xml:space="preserve">PAGE</w:instrText>
      <w:fldChar w:fldCharType="separate"/>
      <w:t>1</w:t>
      <w:fldChar w:fldCharType="end"/>
    </w:r>
    <w:r>
      <w:rPr>
        <w:rFonts w:ascii="Songti SC" w:hAnsi="Songti SC" w:eastAsia="Songti SC" w:cs="Songti SC"/>
        <w:b w:val="0"/>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Songti SC" w:hAnsi="Songti SC" w:eastAsia="Songti SC" w:cs="Songti SC"/>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eastAsia="Songti SC" w:cs="Songti S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val="0"/>
      <w:spacing w:before="480" w:after="120" w:line="288" w:lineRule="auto"/>
      <w:jc w:val="center"/>
      <w:outlineLvl w:val="0"/>
    </w:pPr>
    <w:rPr>
      <w:rFonts w:ascii="Songti SC" w:hAnsi="Songti SC" w:eastAsia="Songti SC" w:cs="Songti SC"/>
      <w:b/>
      <w:bCs/>
      <w:color w:val="000000"/>
      <w:sz w:val="32"/>
      <w:szCs w:val="32"/>
    </w:rPr>
  </w:style>
  <w:style w:type="paragraph" w:styleId="Heading2">
    <w:name w:val="heading 2"/>
    <w:basedOn w:val="Normal"/>
    <w:next w:val="Normal"/>
    <w:link w:val="Heading2Char"/>
    <w:uiPriority w:val="9"/>
    <w:unhideWhenUsed/>
    <w:qFormat/>
    <w:rsid w:val="00FC693F"/>
    <w:pPr>
      <w:keepNext w:val="0"/>
      <w:keepLines w:val="0"/>
      <w:widowControl w:val="0"/>
      <w:spacing w:before="200" w:after="120" w:line="288" w:lineRule="auto"/>
      <w:outlineLvl w:val="1"/>
    </w:pPr>
    <w:rPr>
      <w:rFonts w:ascii="Songti SC" w:hAnsi="Songti SC" w:eastAsia="Songti SC" w:cs="Songti SC"/>
      <w:b/>
      <w:bCs/>
      <w:color w:val="000000"/>
      <w:sz w:val="28"/>
      <w:szCs w:val="28"/>
    </w:rPr>
  </w:style>
  <w:style w:type="paragraph" w:styleId="Heading3">
    <w:name w:val="heading 3"/>
    <w:basedOn w:val="Normal"/>
    <w:next w:val="Normal"/>
    <w:link w:val="Heading3Char"/>
    <w:uiPriority w:val="9"/>
    <w:unhideWhenUsed/>
    <w:qFormat/>
    <w:rsid w:val="00FC693F"/>
    <w:pPr>
      <w:keepNext w:val="0"/>
      <w:keepLines w:val="0"/>
      <w:widowControl w:val="0"/>
      <w:spacing w:before="200" w:after="120" w:line="288" w:lineRule="auto"/>
      <w:outlineLvl w:val="2"/>
    </w:pPr>
    <w:rPr>
      <w:rFonts w:ascii="Songti SC" w:hAnsi="Songti SC" w:eastAsia="Songti SC" w:cs="Songti SC"/>
      <w:b/>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val="0"/>
      <w:keepLines w:val="0"/>
      <w:widowControl w:val="0"/>
      <w:spacing w:after="120" w:line="288" w:lineRule="auto"/>
      <w:contextualSpacing/>
    </w:pPr>
    <w:rPr>
      <w:rFonts w:ascii="Songti SC" w:hAnsi="Songti SC" w:eastAsia="Songti SC" w:cs="Songti SC"/>
      <w:b/>
      <w:color w:val="000000"/>
      <w:spacing w:val="5"/>
      <w:kern w:val="28"/>
      <w:sz w:val="44"/>
      <w:szCs w:val="44"/>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keepNext w:val="0"/>
      <w:keepLines w:val="0"/>
      <w:widowControl w:val="0"/>
      <w:spacing w:after="120" w:line="288" w:lineRule="auto"/>
    </w:pPr>
    <w:rPr>
      <w:rFonts w:ascii="Songti SC" w:hAnsi="Songti SC" w:eastAsia="Songti SC" w:cs="Songti SC"/>
      <w:b w:val="0"/>
      <w:color w:val="000000"/>
      <w:sz w:val="24"/>
      <w:szCs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