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val="0"/>
        <w:spacing w:before="0" w:after="360" w:line="288" w:lineRule="auto"/>
        <w:jc w:val="center"/>
      </w:pPr>
      <w:r>
        <w:rPr>
          <w:rFonts w:ascii="Songti SC" w:hAnsi="Songti SC" w:eastAsia="Songti SC" w:cs="Songti SC"/>
          <w:b/>
          <w:sz w:val="36"/>
        </w:rPr>
        <w:t>中国农业大学</w:t>
      </w:r>
    </w:p>
    <w:p>
      <w:pPr>
        <w:keepNext w:val="0"/>
        <w:keepLines w:val="0"/>
        <w:widowControl w:val="0"/>
        <w:spacing w:before="0" w:after="240" w:line="288" w:lineRule="auto"/>
        <w:jc w:val="center"/>
      </w:pPr>
      <w:r>
        <w:rPr>
          <w:rFonts w:ascii="Songti SC" w:hAnsi="Songti SC" w:eastAsia="Songti SC" w:cs="Songti SC"/>
          <w:b/>
          <w:sz w:val="40"/>
        </w:rPr>
        <w:t>环境工程课程设计</w:t>
      </w:r>
    </w:p>
    <w:p>
      <w:pPr>
        <w:pStyle w:val="Title"/>
        <w:spacing w:before="1100" w:after="900"/>
        <w:jc w:val="center"/>
      </w:pPr>
      <w:r>
        <w:rPr>
          <w:rFonts w:ascii="Songti SC" w:hAnsi="Songti SC" w:eastAsia="Songti SC" w:cs="Songti SC"/>
          <w:b/>
          <w:color w:val="000000"/>
          <w:sz w:val="48"/>
        </w:rPr>
        <w:t>某污水处理厂设计计算说明书</w:t>
      </w:r>
    </w:p>
    <w:tbl>
      <w:tblPr>
        <w:tblW w:type="auto" w:w="0"/>
        <w:jc w:val="center"/>
        <w:tblLook w:firstColumn="1" w:firstRow="1" w:lastColumn="0" w:lastRow="0" w:noHBand="0" w:noVBand="1" w:val="04A0"/>
      </w:tblPr>
      <w:tblGrid>
        <w:gridCol w:w="4621"/>
        <w:gridCol w:w="4621"/>
      </w:tblGrid>
      <w:tr>
        <w:trPr>
          <w:cantSplit/>
        </w:trPr>
        <w:tc>
          <w:tcPr>
            <w:tcW w:type="dxa" w:w="1814"/>
            <w:tcBorders>
              <w:top w:val="single" w:sz="0" w:color="FFFFFF"/>
              <w:left w:val="single" w:sz="0" w:color="FFFFFF"/>
              <w:bottom w:val="single" w:sz="0" w:color="FFFFFF"/>
              <w:right w:val="single" w:sz="0" w:color="FFFFFF"/>
              <w:insideH w:val="single" w:sz="0" w:color="FFFFFF"/>
              <w:insideV w:val="single" w:sz="0" w:color="FFFFFF"/>
            </w:tcBorders>
          </w:tcPr>
          <w:p>
            <w:pPr>
              <w:keepNext w:val="0"/>
              <w:keepLines w:val="0"/>
              <w:widowControl w:val="0"/>
              <w:spacing w:before="0" w:after="120" w:line="288" w:lineRule="auto"/>
              <w:jc w:val="right"/>
            </w:pPr>
            <w:r>
              <w:rPr>
                <w:rFonts w:ascii="Songti SC" w:hAnsi="Songti SC" w:eastAsia="Songti SC" w:cs="Songti SC"/>
                <w:b/>
                <w:sz w:val="26"/>
              </w:rPr>
              <w:t>学年学期</w:t>
            </w:r>
          </w:p>
        </w:tc>
        <w:tc>
          <w:tcPr>
            <w:tcW w:type="dxa" w:w="5556"/>
            <w:tcBorders>
              <w:top w:val="single" w:sz="0" w:color="FFFFFF"/>
              <w:left w:val="single" w:sz="0" w:color="FFFFFF"/>
              <w:bottom w:val="single" w:sz="0" w:color="FFFFFF"/>
              <w:right w:val="single" w:sz="0" w:color="FFFFFF"/>
              <w:insideH w:val="single" w:sz="0" w:color="FFFFFF"/>
              <w:insideV w:val="single" w:sz="0" w:color="FFFFFF"/>
            </w:tcBorders>
          </w:tcPr>
          <w:p>
            <w:pPr>
              <w:keepNext w:val="0"/>
              <w:keepLines w:val="0"/>
              <w:widowControl w:val="0"/>
              <w:spacing w:before="0" w:after="120" w:line="288" w:lineRule="auto"/>
              <w:jc w:val="left"/>
            </w:pPr>
            <w:r>
              <w:rPr>
                <w:rFonts w:ascii="Songti SC" w:hAnsi="Songti SC" w:eastAsia="Songti SC" w:cs="Songti SC"/>
                <w:b w:val="0"/>
                <w:sz w:val="26"/>
              </w:rPr>
              <w:t>2026—2027学年夏季学期</w:t>
            </w:r>
          </w:p>
        </w:tc>
      </w:tr>
      <w:tr>
        <w:trPr>
          <w:cantSplit/>
        </w:trPr>
        <w:tc>
          <w:tcPr>
            <w:tcW w:type="dxa" w:w="1814"/>
            <w:tcBorders>
              <w:top w:val="single" w:sz="0" w:color="FFFFFF"/>
              <w:left w:val="single" w:sz="0" w:color="FFFFFF"/>
              <w:bottom w:val="single" w:sz="0" w:color="FFFFFF"/>
              <w:right w:val="single" w:sz="0" w:color="FFFFFF"/>
              <w:insideH w:val="single" w:sz="0" w:color="FFFFFF"/>
              <w:insideV w:val="single" w:sz="0" w:color="FFFFFF"/>
            </w:tcBorders>
          </w:tcPr>
          <w:p>
            <w:pPr>
              <w:keepNext w:val="0"/>
              <w:keepLines w:val="0"/>
              <w:widowControl w:val="0"/>
              <w:spacing w:before="0" w:after="120" w:line="288" w:lineRule="auto"/>
              <w:jc w:val="right"/>
            </w:pPr>
            <w:r>
              <w:rPr>
                <w:rFonts w:ascii="Songti SC" w:hAnsi="Songti SC" w:eastAsia="Songti SC" w:cs="Songti SC"/>
                <w:b/>
                <w:sz w:val="26"/>
              </w:rPr>
              <w:t>学院</w:t>
            </w:r>
          </w:p>
        </w:tc>
        <w:tc>
          <w:tcPr>
            <w:tcW w:type="dxa" w:w="5556"/>
            <w:tcBorders>
              <w:top w:val="single" w:sz="0" w:color="FFFFFF"/>
              <w:left w:val="single" w:sz="0" w:color="FFFFFF"/>
              <w:bottom w:val="single" w:sz="0" w:color="FFFFFF"/>
              <w:right w:val="single" w:sz="0" w:color="FFFFFF"/>
              <w:insideH w:val="single" w:sz="0" w:color="FFFFFF"/>
              <w:insideV w:val="single" w:sz="0" w:color="FFFFFF"/>
            </w:tcBorders>
          </w:tcPr>
          <w:p>
            <w:pPr>
              <w:keepNext w:val="0"/>
              <w:keepLines w:val="0"/>
              <w:widowControl w:val="0"/>
              <w:spacing w:before="0" w:after="120" w:line="288" w:lineRule="auto"/>
              <w:jc w:val="left"/>
            </w:pPr>
            <w:r>
              <w:rPr>
                <w:rFonts w:ascii="Songti SC" w:hAnsi="Songti SC" w:eastAsia="Songti SC" w:cs="Songti SC"/>
                <w:b w:val="0"/>
                <w:sz w:val="26"/>
              </w:rPr>
              <w:t>资源与环境学院</w:t>
            </w:r>
          </w:p>
        </w:tc>
      </w:tr>
      <w:tr>
        <w:trPr>
          <w:cantSplit/>
        </w:trPr>
        <w:tc>
          <w:tcPr>
            <w:tcW w:type="dxa" w:w="1814"/>
            <w:tcBorders>
              <w:top w:val="single" w:sz="0" w:color="FFFFFF"/>
              <w:left w:val="single" w:sz="0" w:color="FFFFFF"/>
              <w:bottom w:val="single" w:sz="0" w:color="FFFFFF"/>
              <w:right w:val="single" w:sz="0" w:color="FFFFFF"/>
              <w:insideH w:val="single" w:sz="0" w:color="FFFFFF"/>
              <w:insideV w:val="single" w:sz="0" w:color="FFFFFF"/>
            </w:tcBorders>
          </w:tcPr>
          <w:p>
            <w:pPr>
              <w:keepNext w:val="0"/>
              <w:keepLines w:val="0"/>
              <w:widowControl w:val="0"/>
              <w:spacing w:before="0" w:after="120" w:line="288" w:lineRule="auto"/>
              <w:jc w:val="right"/>
            </w:pPr>
            <w:r>
              <w:rPr>
                <w:rFonts w:ascii="Songti SC" w:hAnsi="Songti SC" w:eastAsia="Songti SC" w:cs="Songti SC"/>
                <w:b/>
                <w:sz w:val="26"/>
              </w:rPr>
              <w:t>专业</w:t>
            </w:r>
          </w:p>
        </w:tc>
        <w:tc>
          <w:tcPr>
            <w:tcW w:type="dxa" w:w="5556"/>
            <w:tcBorders>
              <w:top w:val="single" w:sz="0" w:color="FFFFFF"/>
              <w:left w:val="single" w:sz="0" w:color="FFFFFF"/>
              <w:bottom w:val="single" w:sz="0" w:color="FFFFFF"/>
              <w:right w:val="single" w:sz="0" w:color="FFFFFF"/>
              <w:insideH w:val="single" w:sz="0" w:color="FFFFFF"/>
              <w:insideV w:val="single" w:sz="0" w:color="FFFFFF"/>
            </w:tcBorders>
          </w:tcPr>
          <w:p>
            <w:pPr>
              <w:keepNext w:val="0"/>
              <w:keepLines w:val="0"/>
              <w:widowControl w:val="0"/>
              <w:spacing w:before="0" w:after="120" w:line="288" w:lineRule="auto"/>
              <w:jc w:val="left"/>
            </w:pPr>
            <w:r>
              <w:rPr>
                <w:rFonts w:ascii="Songti SC" w:hAnsi="Songti SC" w:eastAsia="Songti SC" w:cs="Songti SC"/>
                <w:b w:val="0"/>
                <w:sz w:val="26"/>
              </w:rPr>
              <w:t>环境工程</w:t>
            </w:r>
          </w:p>
        </w:tc>
      </w:tr>
      <w:tr>
        <w:trPr>
          <w:cantSplit/>
        </w:trPr>
        <w:tc>
          <w:tcPr>
            <w:tcW w:type="dxa" w:w="1814"/>
            <w:tcBorders>
              <w:top w:val="single" w:sz="0" w:color="FFFFFF"/>
              <w:left w:val="single" w:sz="0" w:color="FFFFFF"/>
              <w:bottom w:val="single" w:sz="0" w:color="FFFFFF"/>
              <w:right w:val="single" w:sz="0" w:color="FFFFFF"/>
              <w:insideH w:val="single" w:sz="0" w:color="FFFFFF"/>
              <w:insideV w:val="single" w:sz="0" w:color="FFFFFF"/>
            </w:tcBorders>
          </w:tcPr>
          <w:p>
            <w:pPr>
              <w:keepNext w:val="0"/>
              <w:keepLines w:val="0"/>
              <w:widowControl w:val="0"/>
              <w:spacing w:before="0" w:after="120" w:line="288" w:lineRule="auto"/>
              <w:jc w:val="right"/>
            </w:pPr>
            <w:r>
              <w:rPr>
                <w:rFonts w:ascii="Songti SC" w:hAnsi="Songti SC" w:eastAsia="Songti SC" w:cs="Songti SC"/>
                <w:b/>
                <w:sz w:val="26"/>
              </w:rPr>
              <w:t>班级</w:t>
            </w:r>
          </w:p>
        </w:tc>
        <w:tc>
          <w:tcPr>
            <w:tcW w:type="dxa" w:w="5556"/>
            <w:tcBorders>
              <w:top w:val="single" w:sz="0" w:color="FFFFFF"/>
              <w:left w:val="single" w:sz="0" w:color="FFFFFF"/>
              <w:bottom w:val="single" w:sz="0" w:color="FFFFFF"/>
              <w:right w:val="single" w:sz="0" w:color="FFFFFF"/>
              <w:insideH w:val="single" w:sz="0" w:color="FFFFFF"/>
              <w:insideV w:val="single" w:sz="0" w:color="FFFFFF"/>
            </w:tcBorders>
          </w:tcPr>
          <w:p>
            <w:pPr>
              <w:keepNext w:val="0"/>
              <w:keepLines w:val="0"/>
              <w:widowControl w:val="0"/>
              <w:spacing w:before="0" w:after="120" w:line="288" w:lineRule="auto"/>
              <w:jc w:val="left"/>
            </w:pPr>
            <w:r>
              <w:rPr>
                <w:rFonts w:ascii="Songti SC" w:hAnsi="Songti SC" w:eastAsia="Songti SC" w:cs="Songti SC"/>
                <w:b w:val="0"/>
                <w:sz w:val="26"/>
              </w:rPr>
              <w:t>________________</w:t>
            </w:r>
          </w:p>
        </w:tc>
      </w:tr>
      <w:tr>
        <w:trPr>
          <w:cantSplit/>
        </w:trPr>
        <w:tc>
          <w:tcPr>
            <w:tcW w:type="dxa" w:w="1814"/>
            <w:tcBorders>
              <w:top w:val="single" w:sz="0" w:color="FFFFFF"/>
              <w:left w:val="single" w:sz="0" w:color="FFFFFF"/>
              <w:bottom w:val="single" w:sz="0" w:color="FFFFFF"/>
              <w:right w:val="single" w:sz="0" w:color="FFFFFF"/>
              <w:insideH w:val="single" w:sz="0" w:color="FFFFFF"/>
              <w:insideV w:val="single" w:sz="0" w:color="FFFFFF"/>
            </w:tcBorders>
          </w:tcPr>
          <w:p>
            <w:pPr>
              <w:keepNext w:val="0"/>
              <w:keepLines w:val="0"/>
              <w:widowControl w:val="0"/>
              <w:spacing w:before="0" w:after="120" w:line="288" w:lineRule="auto"/>
              <w:jc w:val="right"/>
            </w:pPr>
            <w:r>
              <w:rPr>
                <w:rFonts w:ascii="Songti SC" w:hAnsi="Songti SC" w:eastAsia="Songti SC" w:cs="Songti SC"/>
                <w:b/>
                <w:sz w:val="26"/>
              </w:rPr>
              <w:t>组号</w:t>
            </w:r>
          </w:p>
        </w:tc>
        <w:tc>
          <w:tcPr>
            <w:tcW w:type="dxa" w:w="5556"/>
            <w:tcBorders>
              <w:top w:val="single" w:sz="0" w:color="FFFFFF"/>
              <w:left w:val="single" w:sz="0" w:color="FFFFFF"/>
              <w:bottom w:val="single" w:sz="0" w:color="FFFFFF"/>
              <w:right w:val="single" w:sz="0" w:color="FFFFFF"/>
              <w:insideH w:val="single" w:sz="0" w:color="FFFFFF"/>
              <w:insideV w:val="single" w:sz="0" w:color="FFFFFF"/>
            </w:tcBorders>
          </w:tcPr>
          <w:p>
            <w:pPr>
              <w:keepNext w:val="0"/>
              <w:keepLines w:val="0"/>
              <w:widowControl w:val="0"/>
              <w:spacing w:before="0" w:after="120" w:line="288" w:lineRule="auto"/>
              <w:jc w:val="left"/>
            </w:pPr>
            <w:r>
              <w:rPr>
                <w:rFonts w:ascii="Songti SC" w:hAnsi="Songti SC" w:eastAsia="Songti SC" w:cs="Songti SC"/>
                <w:b w:val="0"/>
                <w:sz w:val="26"/>
              </w:rPr>
              <w:t>________________</w:t>
            </w:r>
          </w:p>
        </w:tc>
      </w:tr>
      <w:tr>
        <w:trPr>
          <w:cantSplit/>
        </w:trPr>
        <w:tc>
          <w:tcPr>
            <w:tcW w:type="dxa" w:w="1814"/>
            <w:tcBorders>
              <w:top w:val="single" w:sz="0" w:color="FFFFFF"/>
              <w:left w:val="single" w:sz="0" w:color="FFFFFF"/>
              <w:bottom w:val="single" w:sz="0" w:color="FFFFFF"/>
              <w:right w:val="single" w:sz="0" w:color="FFFFFF"/>
              <w:insideH w:val="single" w:sz="0" w:color="FFFFFF"/>
              <w:insideV w:val="single" w:sz="0" w:color="FFFFFF"/>
            </w:tcBorders>
          </w:tcPr>
          <w:p>
            <w:pPr>
              <w:keepNext w:val="0"/>
              <w:keepLines w:val="0"/>
              <w:widowControl w:val="0"/>
              <w:spacing w:before="0" w:after="120" w:line="288" w:lineRule="auto"/>
              <w:jc w:val="right"/>
            </w:pPr>
            <w:r>
              <w:rPr>
                <w:rFonts w:ascii="Songti SC" w:hAnsi="Songti SC" w:eastAsia="Songti SC" w:cs="Songti SC"/>
                <w:b/>
                <w:sz w:val="26"/>
              </w:rPr>
              <w:t>成员</w:t>
            </w:r>
          </w:p>
        </w:tc>
        <w:tc>
          <w:tcPr>
            <w:tcW w:type="dxa" w:w="5556"/>
            <w:tcBorders>
              <w:top w:val="single" w:sz="0" w:color="FFFFFF"/>
              <w:left w:val="single" w:sz="0" w:color="FFFFFF"/>
              <w:bottom w:val="single" w:sz="0" w:color="FFFFFF"/>
              <w:right w:val="single" w:sz="0" w:color="FFFFFF"/>
              <w:insideH w:val="single" w:sz="0" w:color="FFFFFF"/>
              <w:insideV w:val="single" w:sz="0" w:color="FFFFFF"/>
            </w:tcBorders>
          </w:tcPr>
          <w:p>
            <w:pPr>
              <w:keepNext w:val="0"/>
              <w:keepLines w:val="0"/>
              <w:widowControl w:val="0"/>
              <w:spacing w:before="0" w:after="120" w:line="288" w:lineRule="auto"/>
              <w:jc w:val="left"/>
            </w:pPr>
            <w:r>
              <w:rPr>
                <w:rFonts w:ascii="Songti SC" w:hAnsi="Songti SC" w:eastAsia="Songti SC" w:cs="Songti SC"/>
                <w:b w:val="0"/>
                <w:sz w:val="26"/>
              </w:rPr>
              <w:t>________________</w:t>
            </w:r>
          </w:p>
        </w:tc>
      </w:tr>
      <w:tr>
        <w:trPr>
          <w:cantSplit/>
        </w:trPr>
        <w:tc>
          <w:tcPr>
            <w:tcW w:type="dxa" w:w="1814"/>
            <w:tcBorders>
              <w:top w:val="single" w:sz="0" w:color="FFFFFF"/>
              <w:left w:val="single" w:sz="0" w:color="FFFFFF"/>
              <w:bottom w:val="single" w:sz="0" w:color="FFFFFF"/>
              <w:right w:val="single" w:sz="0" w:color="FFFFFF"/>
              <w:insideH w:val="single" w:sz="0" w:color="FFFFFF"/>
              <w:insideV w:val="single" w:sz="0" w:color="FFFFFF"/>
            </w:tcBorders>
          </w:tcPr>
          <w:p>
            <w:pPr>
              <w:keepNext w:val="0"/>
              <w:keepLines w:val="0"/>
              <w:widowControl w:val="0"/>
              <w:spacing w:before="0" w:after="120" w:line="288" w:lineRule="auto"/>
              <w:jc w:val="right"/>
            </w:pPr>
            <w:r>
              <w:rPr>
                <w:rFonts w:ascii="Songti SC" w:hAnsi="Songti SC" w:eastAsia="Songti SC" w:cs="Songti SC"/>
                <w:b/>
                <w:sz w:val="26"/>
              </w:rPr>
              <w:t>组内分工</w:t>
            </w:r>
          </w:p>
        </w:tc>
        <w:tc>
          <w:tcPr>
            <w:tcW w:type="dxa" w:w="5556"/>
            <w:tcBorders>
              <w:top w:val="single" w:sz="0" w:color="FFFFFF"/>
              <w:left w:val="single" w:sz="0" w:color="FFFFFF"/>
              <w:bottom w:val="single" w:sz="0" w:color="FFFFFF"/>
              <w:right w:val="single" w:sz="0" w:color="FFFFFF"/>
              <w:insideH w:val="single" w:sz="0" w:color="FFFFFF"/>
              <w:insideV w:val="single" w:sz="0" w:color="FFFFFF"/>
            </w:tcBorders>
          </w:tcPr>
          <w:p>
            <w:pPr>
              <w:keepNext w:val="0"/>
              <w:keepLines w:val="0"/>
              <w:widowControl w:val="0"/>
              <w:spacing w:before="0" w:after="120" w:line="288" w:lineRule="auto"/>
              <w:jc w:val="left"/>
            </w:pPr>
            <w:r>
              <w:rPr>
                <w:rFonts w:ascii="Songti SC" w:hAnsi="Songti SC" w:eastAsia="Songti SC" w:cs="Songti SC"/>
                <w:b w:val="0"/>
                <w:sz w:val="26"/>
              </w:rPr>
              <w:t>________________</w:t>
            </w:r>
          </w:p>
        </w:tc>
      </w:tr>
      <w:tr>
        <w:trPr>
          <w:cantSplit/>
        </w:trPr>
        <w:tc>
          <w:tcPr>
            <w:tcW w:type="dxa" w:w="1814"/>
            <w:tcBorders>
              <w:top w:val="single" w:sz="0" w:color="FFFFFF"/>
              <w:left w:val="single" w:sz="0" w:color="FFFFFF"/>
              <w:bottom w:val="single" w:sz="0" w:color="FFFFFF"/>
              <w:right w:val="single" w:sz="0" w:color="FFFFFF"/>
              <w:insideH w:val="single" w:sz="0" w:color="FFFFFF"/>
              <w:insideV w:val="single" w:sz="0" w:color="FFFFFF"/>
            </w:tcBorders>
          </w:tcPr>
          <w:p>
            <w:pPr>
              <w:keepNext w:val="0"/>
              <w:keepLines w:val="0"/>
              <w:widowControl w:val="0"/>
              <w:spacing w:before="0" w:after="120" w:line="288" w:lineRule="auto"/>
              <w:jc w:val="right"/>
            </w:pPr>
            <w:r>
              <w:rPr>
                <w:rFonts w:ascii="Songti SC" w:hAnsi="Songti SC" w:eastAsia="Songti SC" w:cs="Songti SC"/>
                <w:b/>
                <w:sz w:val="26"/>
              </w:rPr>
              <w:t>指导教师</w:t>
            </w:r>
          </w:p>
        </w:tc>
        <w:tc>
          <w:tcPr>
            <w:tcW w:type="dxa" w:w="5556"/>
            <w:tcBorders>
              <w:top w:val="single" w:sz="0" w:color="FFFFFF"/>
              <w:left w:val="single" w:sz="0" w:color="FFFFFF"/>
              <w:bottom w:val="single" w:sz="0" w:color="FFFFFF"/>
              <w:right w:val="single" w:sz="0" w:color="FFFFFF"/>
              <w:insideH w:val="single" w:sz="0" w:color="FFFFFF"/>
              <w:insideV w:val="single" w:sz="0" w:color="FFFFFF"/>
            </w:tcBorders>
          </w:tcPr>
          <w:p>
            <w:pPr>
              <w:keepNext w:val="0"/>
              <w:keepLines w:val="0"/>
              <w:widowControl w:val="0"/>
              <w:spacing w:before="0" w:after="120" w:line="288" w:lineRule="auto"/>
              <w:jc w:val="left"/>
            </w:pPr>
            <w:r>
              <w:rPr>
                <w:rFonts w:ascii="Songti SC" w:hAnsi="Songti SC" w:eastAsia="Songti SC" w:cs="Songti SC"/>
                <w:b w:val="0"/>
                <w:sz w:val="26"/>
              </w:rPr>
              <w:t>________________</w:t>
            </w:r>
          </w:p>
        </w:tc>
      </w:tr>
      <w:tr>
        <w:trPr>
          <w:cantSplit/>
        </w:trPr>
        <w:tc>
          <w:tcPr>
            <w:tcW w:type="dxa" w:w="1814"/>
            <w:tcBorders>
              <w:top w:val="single" w:sz="0" w:color="FFFFFF"/>
              <w:left w:val="single" w:sz="0" w:color="FFFFFF"/>
              <w:bottom w:val="single" w:sz="0" w:color="FFFFFF"/>
              <w:right w:val="single" w:sz="0" w:color="FFFFFF"/>
              <w:insideH w:val="single" w:sz="0" w:color="FFFFFF"/>
              <w:insideV w:val="single" w:sz="0" w:color="FFFFFF"/>
            </w:tcBorders>
          </w:tcPr>
          <w:p>
            <w:pPr>
              <w:keepNext w:val="0"/>
              <w:keepLines w:val="0"/>
              <w:widowControl w:val="0"/>
              <w:spacing w:before="0" w:after="120" w:line="288" w:lineRule="auto"/>
              <w:jc w:val="right"/>
            </w:pPr>
            <w:r>
              <w:rPr>
                <w:rFonts w:ascii="Songti SC" w:hAnsi="Songti SC" w:eastAsia="Songti SC" w:cs="Songti SC"/>
                <w:b/>
                <w:sz w:val="26"/>
              </w:rPr>
              <w:t>完成日期</w:t>
            </w:r>
          </w:p>
        </w:tc>
        <w:tc>
          <w:tcPr>
            <w:tcW w:type="dxa" w:w="5556"/>
            <w:tcBorders>
              <w:top w:val="single" w:sz="0" w:color="FFFFFF"/>
              <w:left w:val="single" w:sz="0" w:color="FFFFFF"/>
              <w:bottom w:val="single" w:sz="0" w:color="FFFFFF"/>
              <w:right w:val="single" w:sz="0" w:color="FFFFFF"/>
              <w:insideH w:val="single" w:sz="0" w:color="FFFFFF"/>
              <w:insideV w:val="single" w:sz="0" w:color="FFFFFF"/>
            </w:tcBorders>
          </w:tcPr>
          <w:p>
            <w:pPr>
              <w:keepNext w:val="0"/>
              <w:keepLines w:val="0"/>
              <w:widowControl w:val="0"/>
              <w:spacing w:before="0" w:after="120" w:line="288" w:lineRule="auto"/>
              <w:jc w:val="left"/>
            </w:pPr>
            <w:r>
              <w:rPr>
                <w:rFonts w:ascii="Songti SC" w:hAnsi="Songti SC" w:eastAsia="Songti SC" w:cs="Songti SC"/>
                <w:b w:val="0"/>
                <w:sz w:val="26"/>
              </w:rPr>
              <w:t>2026年9月</w:t>
            </w:r>
          </w:p>
        </w:tc>
      </w:tr>
    </w:tbl>
    <w:p>
      <w:pPr>
        <w:keepNext w:val="0"/>
        <w:keepLines w:val="0"/>
        <w:widowControl w:val="0"/>
        <w:spacing w:before="0" w:after="0" w:line="288" w:lineRule="auto"/>
        <w:jc w:val="center"/>
      </w:pPr>
      <w:r>
        <w:rPr>
          <w:rFonts w:ascii="Songti SC" w:hAnsi="Songti SC" w:eastAsia="Songti SC" w:cs="Songti SC"/>
          <w:b w:val="0"/>
          <w:sz w:val="20"/>
        </w:rPr>
        <w:t>本说明书为课程设计水线成果；封面空栏由提交人核实后填写。</w:t>
      </w:r>
    </w:p>
    <w:p>
      <w:r>
        <w:br w:type="page"/>
      </w:r>
    </w:p>
    <w:p>
      <w:pPr>
        <w:pStyle w:val="Heading1"/>
        <w:keepNext/>
        <w:keepLines w:val="0"/>
      </w:pPr>
      <w:r>
        <w:t>摘要</w:t>
      </w:r>
    </w:p>
    <w:p>
      <w:pPr>
        <w:pStyle w:val="BodyText"/>
        <w:keepNext w:val="0"/>
        <w:keepLines w:val="0"/>
        <w:widowControl w:val="0"/>
        <w:spacing w:before="0" w:after="120" w:line="288" w:lineRule="auto"/>
        <w:ind w:firstLine="420"/>
      </w:pPr>
      <w:r>
        <w:rPr>
          <w:rFonts w:ascii="Songti SC" w:hAnsi="Songti SC" w:eastAsia="Songti SC" w:cs="Songti SC"/>
          <w:b w:val="0"/>
          <w:sz w:val="24"/>
        </w:rPr>
        <w:t>本设计面向江苏省西南部某60万人城市污水处理厂，按人均排水量180 L/(人·d)确定平均日设计水量108000 m³/d（1.25 m³/s）。设计流量按GB 50014—2021第4.1.4条及表4.1.15取总变化系数Kz=1.50，最高时流量6750 m³/h（1.875 m³/s）；提升泵3台工作泵组合与最高时流量相同，构筑物工艺负荷与相连管渠采用同一峰值口径。处理目标按课程设计任务书所列GB 18918—2002（含2025修改单）一级B日均限值：BOD₅、SS、TN、NH₄⁺-N、TP分别为20、20、20、8、1 mg/L。</w:t>
      </w:r>
    </w:p>
    <w:p>
      <w:pPr>
        <w:pStyle w:val="BodyText"/>
        <w:keepNext w:val="0"/>
        <w:keepLines w:val="0"/>
        <w:widowControl w:val="0"/>
        <w:spacing w:before="0" w:after="120" w:line="288" w:lineRule="auto"/>
        <w:ind w:firstLine="420"/>
      </w:pPr>
      <w:r>
        <w:rPr>
          <w:rFonts w:ascii="Songti SC" w:hAnsi="Songti SC" w:eastAsia="Songti SC" w:cs="Songti SC"/>
          <w:b w:val="0"/>
          <w:sz w:val="24"/>
        </w:rPr>
        <w:t>水线采用粗格栅—四格进水井—提升泵—细格栅—曝气沉砂—初沉—A²/O—二沉—接触消毒与计量。A²/O池4系列、每系列净水面70 m×45 m、净水深5 m，总有效容积63000 m³，总HRT 14 h、系统SRT 20 d，池底与厂坪EL27.30 m齐平。15℃甲醇反硝化能力2483 kgN/d，高于保守容量工况2297 kgN/d。计入2.5Q内回流携氧后，80%甲醇运行物料平衡值9315 kg/d，计算容量10323 kg/d并取12000 kg/d。40% FeCl₃容量7.47 m³/d。化学固体建立20 d库存后，二沉进泥总MLSS为4.379 kg/m³，采用8座净径37 m池，最高时固体负荷148.55 kg/(m²·d)。</w:t>
      </w:r>
    </w:p>
    <w:p>
      <w:pPr>
        <w:pStyle w:val="BodyText"/>
        <w:keepNext w:val="0"/>
        <w:keepLines w:val="0"/>
        <w:widowControl w:val="0"/>
        <w:spacing w:before="0" w:after="120" w:line="288" w:lineRule="auto"/>
        <w:ind w:firstLine="420"/>
      </w:pPr>
      <w:r>
        <w:rPr>
          <w:rFonts w:ascii="Songti SC" w:hAnsi="Songti SC" w:eastAsia="Songti SC" w:cs="Songti SC"/>
          <w:b w:val="0"/>
          <w:sz w:val="24"/>
        </w:rPr>
        <w:t>需氧量按“原水反硝化碳贡献为零”的外加碳最不利边界重算，不再从原水BOD氧需求中扣除2.86倍反硝化氧当量；设计标准空气量48808 Nm³/h，取54000 Nm³/h，配置10800只229 mm盘式微孔曝气器和10台鼓风机（9用1备）。全部核心数值已完成氮、磷、固体和水力平衡。本文所称处理目标是设计限值，不是实测出水结果；甲醇、铁盐、消毒剂和设备工作点仍须以现场试验及厂家曲线校准。</w:t>
      </w:r>
    </w:p>
    <w:p>
      <w:pPr>
        <w:keepNext w:val="0"/>
        <w:keepLines w:val="0"/>
        <w:widowControl w:val="0"/>
        <w:spacing w:before="0" w:after="200" w:line="288" w:lineRule="auto"/>
        <w:jc w:val="left"/>
      </w:pPr>
      <w:r>
        <w:rPr>
          <w:rFonts w:ascii="Songti SC" w:hAnsi="Songti SC" w:eastAsia="Songti SC" w:cs="Songti SC"/>
          <w:b w:val="0"/>
          <w:sz w:val="22"/>
        </w:rPr>
        <w:t>关键词：城市污水；A²/O；反硝化碳源；化学除磷；固体平衡；水力高程</w:t>
      </w:r>
    </w:p>
    <w:p>
      <w:r>
        <w:br w:type="page"/>
      </w:r>
    </w:p>
    <w:p>
      <w:pPr>
        <w:keepNext w:val="0"/>
        <w:keepLines w:val="0"/>
        <w:widowControl w:val="0"/>
        <w:spacing w:before="0" w:after="120" w:line="288" w:lineRule="auto"/>
        <w:jc w:val="center"/>
      </w:pPr>
      <w:r>
        <w:rPr>
          <w:rFonts w:ascii="Songti SC" w:hAnsi="Songti SC" w:eastAsia="Songti SC" w:cs="Songti SC"/>
          <w:b/>
          <w:sz w:val="32"/>
        </w:rPr>
        <w:t>目录</w:t>
      </w:r>
    </w:p>
    <w:p>
      <w:pPr>
        <w:keepNext w:val="0"/>
        <w:keepLines w:val="0"/>
        <w:tabs>
          <w:tab w:pos="8561" w:val="right" w:leader="dot"/>
        </w:tabs>
        <w:spacing w:before="20" w:after="40" w:line="240" w:lineRule="auto"/>
        <w:ind w:left="0" w:right="113"/>
      </w:pPr>
      <w:r>
        <w:rPr>
          <w:rFonts w:ascii="Songti SC" w:hAnsi="Songti SC" w:eastAsia="Songti SC" w:cs="Songti SC"/>
          <w:b/>
          <w:sz w:val="22"/>
        </w:rPr>
        <w:t>摘要</w:t>
      </w:r>
      <w:r>
        <w:rPr>
          <w:rFonts w:ascii="Songti SC" w:hAnsi="Songti SC" w:eastAsia="Songti SC" w:cs="Songti SC"/>
          <w:b/>
          <w:sz w:val="22"/>
        </w:rPr>
        <w:tab/>
        <w:t>2</w:t>
      </w:r>
    </w:p>
    <w:p>
      <w:pPr>
        <w:keepNext w:val="0"/>
        <w:keepLines w:val="0"/>
        <w:tabs>
          <w:tab w:pos="8561" w:val="right" w:leader="dot"/>
        </w:tabs>
        <w:spacing w:before="20" w:after="40" w:line="240" w:lineRule="auto"/>
        <w:ind w:left="0" w:right="113"/>
      </w:pPr>
      <w:r>
        <w:rPr>
          <w:rFonts w:ascii="Songti SC" w:hAnsi="Songti SC" w:eastAsia="Songti SC" w:cs="Songti SC"/>
          <w:b/>
          <w:sz w:val="22"/>
        </w:rPr>
        <w:t>1 前言</w:t>
      </w:r>
      <w:r>
        <w:rPr>
          <w:rFonts w:ascii="Songti SC" w:hAnsi="Songti SC" w:eastAsia="Songti SC" w:cs="Songti SC"/>
          <w:b/>
          <w:sz w:val="22"/>
        </w:rPr>
        <w:tab/>
        <w:t>5</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1.1 设计任务与成果边界</w:t>
      </w:r>
      <w:r>
        <w:rPr>
          <w:rFonts w:ascii="Songti SC" w:hAnsi="Songti SC" w:eastAsia="Songti SC" w:cs="Songti SC"/>
          <w:b w:val="0"/>
          <w:sz w:val="21"/>
        </w:rPr>
        <w:tab/>
        <w:t>5</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1.2 依据层级与适用范围</w:t>
      </w:r>
      <w:r>
        <w:rPr>
          <w:rFonts w:ascii="Songti SC" w:hAnsi="Songti SC" w:eastAsia="Songti SC" w:cs="Songti SC"/>
          <w:b w:val="0"/>
          <w:sz w:val="21"/>
        </w:rPr>
        <w:tab/>
        <w:t>5</w:t>
      </w:r>
    </w:p>
    <w:p>
      <w:pPr>
        <w:keepNext w:val="0"/>
        <w:keepLines w:val="0"/>
        <w:tabs>
          <w:tab w:pos="8561" w:val="right" w:leader="dot"/>
        </w:tabs>
        <w:spacing w:before="20" w:after="40" w:line="240" w:lineRule="auto"/>
        <w:ind w:left="0" w:right="113"/>
      </w:pPr>
      <w:r>
        <w:rPr>
          <w:rFonts w:ascii="Songti SC" w:hAnsi="Songti SC" w:eastAsia="Songti SC" w:cs="Songti SC"/>
          <w:b/>
          <w:sz w:val="22"/>
        </w:rPr>
        <w:t>2 设计水量、水质与处理程度</w:t>
      </w:r>
      <w:r>
        <w:rPr>
          <w:rFonts w:ascii="Songti SC" w:hAnsi="Songti SC" w:eastAsia="Songti SC" w:cs="Songti SC"/>
          <w:b/>
          <w:sz w:val="22"/>
        </w:rPr>
        <w:tab/>
        <w:t>6</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2.1 设计流量</w:t>
      </w:r>
      <w:r>
        <w:rPr>
          <w:rFonts w:ascii="Songti SC" w:hAnsi="Songti SC" w:eastAsia="Songti SC" w:cs="Songti SC"/>
          <w:b w:val="0"/>
          <w:sz w:val="21"/>
        </w:rPr>
        <w:tab/>
        <w:t>6</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2.2 设计水质</w:t>
      </w:r>
      <w:r>
        <w:rPr>
          <w:rFonts w:ascii="Songti SC" w:hAnsi="Songti SC" w:eastAsia="Songti SC" w:cs="Songti SC"/>
          <w:b w:val="0"/>
          <w:sz w:val="21"/>
        </w:rPr>
        <w:tab/>
        <w:t>7</w:t>
      </w:r>
    </w:p>
    <w:p>
      <w:pPr>
        <w:keepNext w:val="0"/>
        <w:keepLines w:val="0"/>
        <w:tabs>
          <w:tab w:pos="8561" w:val="right" w:leader="dot"/>
        </w:tabs>
        <w:spacing w:before="20" w:after="40" w:line="240" w:lineRule="auto"/>
        <w:ind w:left="0" w:right="113"/>
      </w:pPr>
      <w:r>
        <w:rPr>
          <w:rFonts w:ascii="Songti SC" w:hAnsi="Songti SC" w:eastAsia="Songti SC" w:cs="Songti SC"/>
          <w:b/>
          <w:sz w:val="22"/>
        </w:rPr>
        <w:t>3 工艺方案与总体流程</w:t>
      </w:r>
      <w:r>
        <w:rPr>
          <w:rFonts w:ascii="Songti SC" w:hAnsi="Songti SC" w:eastAsia="Songti SC" w:cs="Songti SC"/>
          <w:b/>
          <w:sz w:val="22"/>
        </w:rPr>
        <w:tab/>
        <w:t>8</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3.1 方案确定</w:t>
      </w:r>
      <w:r>
        <w:rPr>
          <w:rFonts w:ascii="Songti SC" w:hAnsi="Songti SC" w:eastAsia="Songti SC" w:cs="Songti SC"/>
          <w:b w:val="0"/>
          <w:sz w:val="21"/>
        </w:rPr>
        <w:tab/>
        <w:t>8</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3.2 主要设计假设</w:t>
      </w:r>
      <w:r>
        <w:rPr>
          <w:rFonts w:ascii="Songti SC" w:hAnsi="Songti SC" w:eastAsia="Songti SC" w:cs="Songti SC"/>
          <w:b w:val="0"/>
          <w:sz w:val="21"/>
        </w:rPr>
        <w:tab/>
        <w:t>9</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3.3 统一设计参数与数据属性</w:t>
      </w:r>
      <w:r>
        <w:rPr>
          <w:rFonts w:ascii="Songti SC" w:hAnsi="Songti SC" w:eastAsia="Songti SC" w:cs="Songti SC"/>
          <w:b w:val="0"/>
          <w:sz w:val="21"/>
        </w:rPr>
        <w:tab/>
        <w:t>10</w:t>
      </w:r>
    </w:p>
    <w:p>
      <w:pPr>
        <w:keepNext w:val="0"/>
        <w:keepLines w:val="0"/>
        <w:tabs>
          <w:tab w:pos="8561" w:val="right" w:leader="dot"/>
        </w:tabs>
        <w:spacing w:before="20" w:after="40" w:line="240" w:lineRule="auto"/>
        <w:ind w:left="0" w:right="113"/>
      </w:pPr>
      <w:r>
        <w:rPr>
          <w:rFonts w:ascii="Songti SC" w:hAnsi="Songti SC" w:eastAsia="Songti SC" w:cs="Songti SC"/>
          <w:b/>
          <w:sz w:val="22"/>
        </w:rPr>
        <w:t>4 格栅</w:t>
      </w:r>
      <w:r>
        <w:rPr>
          <w:rFonts w:ascii="Songti SC" w:hAnsi="Songti SC" w:eastAsia="Songti SC" w:cs="Songti SC"/>
          <w:b/>
          <w:sz w:val="22"/>
        </w:rPr>
        <w:tab/>
        <w:t>11</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4.1 布置与流量</w:t>
      </w:r>
      <w:r>
        <w:rPr>
          <w:rFonts w:ascii="Songti SC" w:hAnsi="Songti SC" w:eastAsia="Songti SC" w:cs="Songti SC"/>
          <w:b w:val="0"/>
          <w:sz w:val="21"/>
        </w:rPr>
        <w:tab/>
        <w:t>11</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4.2 过栅流速和堵塞工况</w:t>
      </w:r>
      <w:r>
        <w:rPr>
          <w:rFonts w:ascii="Songti SC" w:hAnsi="Songti SC" w:eastAsia="Songti SC" w:cs="Songti SC"/>
          <w:b w:val="0"/>
          <w:sz w:val="21"/>
        </w:rPr>
        <w:tab/>
        <w:t>11</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4.3 栅条组合、槽长与水头损失</w:t>
      </w:r>
      <w:r>
        <w:rPr>
          <w:rFonts w:ascii="Songti SC" w:hAnsi="Songti SC" w:eastAsia="Songti SC" w:cs="Songti SC"/>
          <w:b w:val="0"/>
          <w:sz w:val="21"/>
        </w:rPr>
        <w:tab/>
        <w:t>11</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4.4 栅渣量与设备接口</w:t>
      </w:r>
      <w:r>
        <w:rPr>
          <w:rFonts w:ascii="Songti SC" w:hAnsi="Songti SC" w:eastAsia="Songti SC" w:cs="Songti SC"/>
          <w:b w:val="0"/>
          <w:sz w:val="21"/>
        </w:rPr>
        <w:tab/>
        <w:t>12</w:t>
      </w:r>
    </w:p>
    <w:p>
      <w:pPr>
        <w:keepNext w:val="0"/>
        <w:keepLines w:val="0"/>
        <w:tabs>
          <w:tab w:pos="8561" w:val="right" w:leader="dot"/>
        </w:tabs>
        <w:spacing w:before="20" w:after="40" w:line="240" w:lineRule="auto"/>
        <w:ind w:left="0" w:right="113"/>
      </w:pPr>
      <w:r>
        <w:rPr>
          <w:rFonts w:ascii="Songti SC" w:hAnsi="Songti SC" w:eastAsia="Songti SC" w:cs="Songti SC"/>
          <w:b/>
          <w:sz w:val="22"/>
        </w:rPr>
        <w:t>5 进水井与提升泵</w:t>
      </w:r>
      <w:r>
        <w:rPr>
          <w:rFonts w:ascii="Songti SC" w:hAnsi="Songti SC" w:eastAsia="Songti SC" w:cs="Songti SC"/>
          <w:b/>
          <w:sz w:val="22"/>
        </w:rPr>
        <w:tab/>
        <w:t>12</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5.1 四格容积和检修运行</w:t>
      </w:r>
      <w:r>
        <w:rPr>
          <w:rFonts w:ascii="Songti SC" w:hAnsi="Songti SC" w:eastAsia="Songti SC" w:cs="Songti SC"/>
          <w:b w:val="0"/>
          <w:sz w:val="21"/>
        </w:rPr>
        <w:tab/>
        <w:t>12</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5.2 扬程和功率</w:t>
      </w:r>
      <w:r>
        <w:rPr>
          <w:rFonts w:ascii="Songti SC" w:hAnsi="Songti SC" w:eastAsia="Songti SC" w:cs="Songti SC"/>
          <w:b w:val="0"/>
          <w:sz w:val="21"/>
        </w:rPr>
        <w:tab/>
        <w:t>13</w:t>
      </w:r>
    </w:p>
    <w:p>
      <w:pPr>
        <w:keepNext w:val="0"/>
        <w:keepLines w:val="0"/>
        <w:tabs>
          <w:tab w:pos="8561" w:val="right" w:leader="dot"/>
        </w:tabs>
        <w:spacing w:before="20" w:after="40" w:line="240" w:lineRule="auto"/>
        <w:ind w:left="0" w:right="113"/>
      </w:pPr>
      <w:r>
        <w:rPr>
          <w:rFonts w:ascii="Songti SC" w:hAnsi="Songti SC" w:eastAsia="Songti SC" w:cs="Songti SC"/>
          <w:b/>
          <w:sz w:val="22"/>
        </w:rPr>
        <w:t>6 曝气沉砂池</w:t>
      </w:r>
      <w:r>
        <w:rPr>
          <w:rFonts w:ascii="Songti SC" w:hAnsi="Songti SC" w:eastAsia="Songti SC" w:cs="Songti SC"/>
          <w:b/>
          <w:sz w:val="22"/>
        </w:rPr>
        <w:tab/>
        <w:t>14</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6.1 池体尺寸</w:t>
      </w:r>
      <w:r>
        <w:rPr>
          <w:rFonts w:ascii="Songti SC" w:hAnsi="Songti SC" w:eastAsia="Songti SC" w:cs="Songti SC"/>
          <w:b w:val="0"/>
          <w:sz w:val="21"/>
        </w:rPr>
        <w:tab/>
        <w:t>14</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6.2 供气与储砂</w:t>
      </w:r>
      <w:r>
        <w:rPr>
          <w:rFonts w:ascii="Songti SC" w:hAnsi="Songti SC" w:eastAsia="Songti SC" w:cs="Songti SC"/>
          <w:b w:val="0"/>
          <w:sz w:val="21"/>
        </w:rPr>
        <w:tab/>
        <w:t>15</w:t>
      </w:r>
    </w:p>
    <w:p>
      <w:pPr>
        <w:keepNext w:val="0"/>
        <w:keepLines w:val="0"/>
        <w:tabs>
          <w:tab w:pos="8561" w:val="right" w:leader="dot"/>
        </w:tabs>
        <w:spacing w:before="20" w:after="40" w:line="240" w:lineRule="auto"/>
        <w:ind w:left="0" w:right="113"/>
      </w:pPr>
      <w:r>
        <w:rPr>
          <w:rFonts w:ascii="Songti SC" w:hAnsi="Songti SC" w:eastAsia="Songti SC" w:cs="Songti SC"/>
          <w:b/>
          <w:sz w:val="22"/>
        </w:rPr>
        <w:t>7 初次沉淀池</w:t>
      </w:r>
      <w:r>
        <w:rPr>
          <w:rFonts w:ascii="Songti SC" w:hAnsi="Songti SC" w:eastAsia="Songti SC" w:cs="Songti SC"/>
          <w:b/>
          <w:sz w:val="22"/>
        </w:rPr>
        <w:tab/>
        <w:t>16</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7.1 池数、面积与沉淀时间</w:t>
      </w:r>
      <w:r>
        <w:rPr>
          <w:rFonts w:ascii="Songti SC" w:hAnsi="Songti SC" w:eastAsia="Songti SC" w:cs="Songti SC"/>
          <w:b w:val="0"/>
          <w:sz w:val="21"/>
        </w:rPr>
        <w:tab/>
        <w:t>16</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7.2 出水堰和污泥</w:t>
      </w:r>
      <w:r>
        <w:rPr>
          <w:rFonts w:ascii="Songti SC" w:hAnsi="Songti SC" w:eastAsia="Songti SC" w:cs="Songti SC"/>
          <w:b w:val="0"/>
          <w:sz w:val="21"/>
        </w:rPr>
        <w:tab/>
        <w:t>17</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7.3 初沉出水负荷</w:t>
      </w:r>
      <w:r>
        <w:rPr>
          <w:rFonts w:ascii="Songti SC" w:hAnsi="Songti SC" w:eastAsia="Songti SC" w:cs="Songti SC"/>
          <w:b w:val="0"/>
          <w:sz w:val="21"/>
        </w:rPr>
        <w:tab/>
        <w:t>17</w:t>
      </w:r>
    </w:p>
    <w:p>
      <w:pPr>
        <w:keepNext w:val="0"/>
        <w:keepLines w:val="0"/>
        <w:tabs>
          <w:tab w:pos="8561" w:val="right" w:leader="dot"/>
        </w:tabs>
        <w:spacing w:before="20" w:after="40" w:line="240" w:lineRule="auto"/>
        <w:ind w:left="0" w:right="113"/>
      </w:pPr>
      <w:r>
        <w:rPr>
          <w:rFonts w:ascii="Songti SC" w:hAnsi="Songti SC" w:eastAsia="Songti SC" w:cs="Songti SC"/>
          <w:b/>
          <w:sz w:val="22"/>
        </w:rPr>
        <w:t>8 A²/O生物反应池与回流</w:t>
      </w:r>
      <w:r>
        <w:rPr>
          <w:rFonts w:ascii="Songti SC" w:hAnsi="Songti SC" w:eastAsia="Songti SC" w:cs="Songti SC"/>
          <w:b/>
          <w:sz w:val="22"/>
        </w:rPr>
        <w:tab/>
        <w:t>18</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8.1 容积与分区</w:t>
      </w:r>
      <w:r>
        <w:rPr>
          <w:rFonts w:ascii="Songti SC" w:hAnsi="Songti SC" w:eastAsia="Songti SC" w:cs="Songti SC"/>
          <w:b w:val="0"/>
          <w:sz w:val="21"/>
        </w:rPr>
        <w:tab/>
        <w:t>18</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8.2 MLSS、负荷和SRT</w:t>
      </w:r>
      <w:r>
        <w:rPr>
          <w:rFonts w:ascii="Songti SC" w:hAnsi="Songti SC" w:eastAsia="Songti SC" w:cs="Songti SC"/>
          <w:b w:val="0"/>
          <w:sz w:val="21"/>
        </w:rPr>
        <w:tab/>
        <w:t>18</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8.3 回流系统</w:t>
      </w:r>
      <w:r>
        <w:rPr>
          <w:rFonts w:ascii="Songti SC" w:hAnsi="Songti SC" w:eastAsia="Songti SC" w:cs="Songti SC"/>
          <w:b w:val="0"/>
          <w:sz w:val="21"/>
        </w:rPr>
        <w:tab/>
        <w:t>19</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8.4 15℃硝化动力学校核</w:t>
      </w:r>
      <w:r>
        <w:rPr>
          <w:rFonts w:ascii="Songti SC" w:hAnsi="Songti SC" w:eastAsia="Songti SC" w:cs="Songti SC"/>
          <w:b w:val="0"/>
          <w:sz w:val="21"/>
        </w:rPr>
        <w:tab/>
        <w:t>20</w:t>
      </w:r>
    </w:p>
    <w:p>
      <w:pPr>
        <w:keepNext w:val="0"/>
        <w:keepLines w:val="0"/>
        <w:tabs>
          <w:tab w:pos="8561" w:val="right" w:leader="dot"/>
        </w:tabs>
        <w:spacing w:before="20" w:after="40" w:line="240" w:lineRule="auto"/>
        <w:ind w:left="0" w:right="113"/>
      </w:pPr>
      <w:r>
        <w:rPr>
          <w:rFonts w:ascii="Songti SC" w:hAnsi="Songti SC" w:eastAsia="Songti SC" w:cs="Songti SC"/>
          <w:b/>
          <w:sz w:val="22"/>
        </w:rPr>
        <w:t>9 脱氮碳源、除磷与碱度</w:t>
      </w:r>
      <w:r>
        <w:rPr>
          <w:rFonts w:ascii="Songti SC" w:hAnsi="Songti SC" w:eastAsia="Songti SC" w:cs="Songti SC"/>
          <w:b/>
          <w:sz w:val="22"/>
        </w:rPr>
        <w:tab/>
        <w:t>20</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9.1 反硝化容量工况</w:t>
      </w:r>
      <w:r>
        <w:rPr>
          <w:rFonts w:ascii="Songti SC" w:hAnsi="Songti SC" w:eastAsia="Songti SC" w:cs="Songti SC"/>
          <w:b w:val="0"/>
          <w:sz w:val="21"/>
        </w:rPr>
        <w:tab/>
        <w:t>20</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9.2 运行氮平衡</w:t>
      </w:r>
      <w:r>
        <w:rPr>
          <w:rFonts w:ascii="Songti SC" w:hAnsi="Songti SC" w:eastAsia="Songti SC" w:cs="Songti SC"/>
          <w:b w:val="0"/>
          <w:sz w:val="21"/>
        </w:rPr>
        <w:tab/>
        <w:t>21</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9.3 15℃反硝化能力</w:t>
      </w:r>
      <w:r>
        <w:rPr>
          <w:rFonts w:ascii="Songti SC" w:hAnsi="Songti SC" w:eastAsia="Songti SC" w:cs="Songti SC"/>
          <w:b w:val="0"/>
          <w:sz w:val="21"/>
        </w:rPr>
        <w:tab/>
        <w:t>21</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9.4 铁盐除磷</w:t>
      </w:r>
      <w:r>
        <w:rPr>
          <w:rFonts w:ascii="Songti SC" w:hAnsi="Songti SC" w:eastAsia="Songti SC" w:cs="Songti SC"/>
          <w:b w:val="0"/>
          <w:sz w:val="21"/>
        </w:rPr>
        <w:tab/>
        <w:t>21</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9.5 化学固体与碱度</w:t>
      </w:r>
      <w:r>
        <w:rPr>
          <w:rFonts w:ascii="Songti SC" w:hAnsi="Songti SC" w:eastAsia="Songti SC" w:cs="Songti SC"/>
          <w:b w:val="0"/>
          <w:sz w:val="21"/>
        </w:rPr>
        <w:tab/>
        <w:t>22</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9.6 总固体库存与排泥</w:t>
      </w:r>
      <w:r>
        <w:rPr>
          <w:rFonts w:ascii="Songti SC" w:hAnsi="Songti SC" w:eastAsia="Songti SC" w:cs="Songti SC"/>
          <w:b w:val="0"/>
          <w:sz w:val="21"/>
        </w:rPr>
        <w:tab/>
        <w:t>23</w:t>
      </w:r>
    </w:p>
    <w:p>
      <w:pPr>
        <w:keepNext w:val="0"/>
        <w:keepLines w:val="0"/>
        <w:tabs>
          <w:tab w:pos="8561" w:val="right" w:leader="dot"/>
        </w:tabs>
        <w:spacing w:before="20" w:after="40" w:line="240" w:lineRule="auto"/>
        <w:ind w:left="0" w:right="113"/>
      </w:pPr>
      <w:r>
        <w:rPr>
          <w:rFonts w:ascii="Songti SC" w:hAnsi="Songti SC" w:eastAsia="Songti SC" w:cs="Songti SC"/>
          <w:b/>
          <w:sz w:val="22"/>
        </w:rPr>
        <w:t>10 需氧量、曝气器与鼓风机</w:t>
      </w:r>
      <w:r>
        <w:rPr>
          <w:rFonts w:ascii="Songti SC" w:hAnsi="Songti SC" w:eastAsia="Songti SC" w:cs="Songti SC"/>
          <w:b/>
          <w:sz w:val="22"/>
        </w:rPr>
        <w:tab/>
        <w:t>23</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10.1 最不利需氧情景</w:t>
      </w:r>
      <w:r>
        <w:rPr>
          <w:rFonts w:ascii="Songti SC" w:hAnsi="Songti SC" w:eastAsia="Songti SC" w:cs="Songti SC"/>
          <w:b w:val="0"/>
          <w:sz w:val="21"/>
        </w:rPr>
        <w:tab/>
        <w:t>23</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10.2 标准供气量</w:t>
      </w:r>
      <w:r>
        <w:rPr>
          <w:rFonts w:ascii="Songti SC" w:hAnsi="Songti SC" w:eastAsia="Songti SC" w:cs="Songti SC"/>
          <w:b w:val="0"/>
          <w:sz w:val="21"/>
        </w:rPr>
        <w:tab/>
        <w:t>24</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10.3 鼓风机和压力</w:t>
      </w:r>
      <w:r>
        <w:rPr>
          <w:rFonts w:ascii="Songti SC" w:hAnsi="Songti SC" w:eastAsia="Songti SC" w:cs="Songti SC"/>
          <w:b w:val="0"/>
          <w:sz w:val="21"/>
        </w:rPr>
        <w:tab/>
        <w:t>25</w:t>
      </w:r>
    </w:p>
    <w:p>
      <w:pPr>
        <w:keepNext w:val="0"/>
        <w:keepLines w:val="0"/>
        <w:tabs>
          <w:tab w:pos="8561" w:val="right" w:leader="dot"/>
        </w:tabs>
        <w:spacing w:before="20" w:after="40" w:line="240" w:lineRule="auto"/>
        <w:ind w:left="0" w:right="113"/>
      </w:pPr>
      <w:r>
        <w:rPr>
          <w:rFonts w:ascii="Songti SC" w:hAnsi="Songti SC" w:eastAsia="Songti SC" w:cs="Songti SC"/>
          <w:b/>
          <w:sz w:val="22"/>
        </w:rPr>
        <w:t>11 二次沉淀池与固体平衡</w:t>
      </w:r>
      <w:r>
        <w:rPr>
          <w:rFonts w:ascii="Songti SC" w:hAnsi="Songti SC" w:eastAsia="Songti SC" w:cs="Songti SC"/>
          <w:b/>
          <w:sz w:val="22"/>
        </w:rPr>
        <w:tab/>
        <w:t>26</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11.1 几何与水力负荷</w:t>
      </w:r>
      <w:r>
        <w:rPr>
          <w:rFonts w:ascii="Songti SC" w:hAnsi="Songti SC" w:eastAsia="Songti SC" w:cs="Songti SC"/>
          <w:b w:val="0"/>
          <w:sz w:val="21"/>
        </w:rPr>
        <w:tab/>
        <w:t>26</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11.2 固体负荷与二沉控制体</w:t>
      </w:r>
      <w:r>
        <w:rPr>
          <w:rFonts w:ascii="Songti SC" w:hAnsi="Songti SC" w:eastAsia="Songti SC" w:cs="Songti SC"/>
          <w:b w:val="0"/>
          <w:sz w:val="21"/>
        </w:rPr>
        <w:tab/>
        <w:t>27</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11.3 进出水与堰</w:t>
      </w:r>
      <w:r>
        <w:rPr>
          <w:rFonts w:ascii="Songti SC" w:hAnsi="Songti SC" w:eastAsia="Songti SC" w:cs="Songti SC"/>
          <w:b w:val="0"/>
          <w:sz w:val="21"/>
        </w:rPr>
        <w:tab/>
        <w:t>28</w:t>
      </w:r>
    </w:p>
    <w:p>
      <w:pPr>
        <w:keepNext w:val="0"/>
        <w:keepLines w:val="0"/>
        <w:tabs>
          <w:tab w:pos="8561" w:val="right" w:leader="dot"/>
        </w:tabs>
        <w:spacing w:before="20" w:after="40" w:line="240" w:lineRule="auto"/>
        <w:ind w:left="0" w:right="113"/>
      </w:pPr>
      <w:r>
        <w:rPr>
          <w:rFonts w:ascii="Songti SC" w:hAnsi="Songti SC" w:eastAsia="Songti SC" w:cs="Songti SC"/>
          <w:b/>
          <w:sz w:val="22"/>
        </w:rPr>
        <w:t>12 连接管渠和配水设施</w:t>
      </w:r>
      <w:r>
        <w:rPr>
          <w:rFonts w:ascii="Songti SC" w:hAnsi="Songti SC" w:eastAsia="Songti SC" w:cs="Songti SC"/>
          <w:b/>
          <w:sz w:val="22"/>
        </w:rPr>
        <w:tab/>
        <w:t>28</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12.1 计算方法与流量口径</w:t>
      </w:r>
      <w:r>
        <w:rPr>
          <w:rFonts w:ascii="Songti SC" w:hAnsi="Songti SC" w:eastAsia="Songti SC" w:cs="Songti SC"/>
          <w:b w:val="0"/>
          <w:sz w:val="21"/>
        </w:rPr>
        <w:tab/>
        <w:t>28</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12.2 配水、分流和运行控制</w:t>
      </w:r>
      <w:r>
        <w:rPr>
          <w:rFonts w:ascii="Songti SC" w:hAnsi="Songti SC" w:eastAsia="Songti SC" w:cs="Songti SC"/>
          <w:b w:val="0"/>
          <w:sz w:val="21"/>
        </w:rPr>
        <w:tab/>
        <w:t>30</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12.3 进厂管边界</w:t>
      </w:r>
      <w:r>
        <w:rPr>
          <w:rFonts w:ascii="Songti SC" w:hAnsi="Songti SC" w:eastAsia="Songti SC" w:cs="Songti SC"/>
          <w:b w:val="0"/>
          <w:sz w:val="21"/>
        </w:rPr>
        <w:tab/>
        <w:t>30</w:t>
      </w:r>
    </w:p>
    <w:p>
      <w:pPr>
        <w:keepNext w:val="0"/>
        <w:keepLines w:val="0"/>
        <w:tabs>
          <w:tab w:pos="8561" w:val="right" w:leader="dot"/>
        </w:tabs>
        <w:spacing w:before="20" w:after="40" w:line="240" w:lineRule="auto"/>
        <w:ind w:left="0" w:right="113"/>
      </w:pPr>
      <w:r>
        <w:rPr>
          <w:rFonts w:ascii="Songti SC" w:hAnsi="Songti SC" w:eastAsia="Songti SC" w:cs="Songti SC"/>
          <w:b/>
          <w:sz w:val="22"/>
        </w:rPr>
        <w:t>13 总平面布置</w:t>
      </w:r>
      <w:r>
        <w:rPr>
          <w:rFonts w:ascii="Songti SC" w:hAnsi="Songti SC" w:eastAsia="Songti SC" w:cs="Songti SC"/>
          <w:b/>
          <w:sz w:val="22"/>
        </w:rPr>
        <w:tab/>
        <w:t>31</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13.1 布置原则</w:t>
      </w:r>
      <w:r>
        <w:rPr>
          <w:rFonts w:ascii="Songti SC" w:hAnsi="Songti SC" w:eastAsia="Songti SC" w:cs="Songti SC"/>
          <w:b w:val="0"/>
          <w:sz w:val="21"/>
        </w:rPr>
        <w:tab/>
        <w:t>31</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13.2 检修与扩建</w:t>
      </w:r>
      <w:r>
        <w:rPr>
          <w:rFonts w:ascii="Songti SC" w:hAnsi="Songti SC" w:eastAsia="Songti SC" w:cs="Songti SC"/>
          <w:b w:val="0"/>
          <w:sz w:val="21"/>
        </w:rPr>
        <w:tab/>
        <w:t>31</w:t>
      </w:r>
    </w:p>
    <w:p>
      <w:pPr>
        <w:keepNext w:val="0"/>
        <w:keepLines w:val="0"/>
        <w:tabs>
          <w:tab w:pos="8561" w:val="right" w:leader="dot"/>
        </w:tabs>
        <w:spacing w:before="20" w:after="40" w:line="240" w:lineRule="auto"/>
        <w:ind w:left="0" w:right="113"/>
      </w:pPr>
      <w:r>
        <w:rPr>
          <w:rFonts w:ascii="Songti SC" w:hAnsi="Songti SC" w:eastAsia="Songti SC" w:cs="Songti SC"/>
          <w:b/>
          <w:sz w:val="22"/>
        </w:rPr>
        <w:t>14 水力高程与出厂方式</w:t>
      </w:r>
      <w:r>
        <w:rPr>
          <w:rFonts w:ascii="Songti SC" w:hAnsi="Songti SC" w:eastAsia="Songti SC" w:cs="Songti SC"/>
          <w:b/>
          <w:sz w:val="22"/>
        </w:rPr>
        <w:tab/>
        <w:t>32</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14.1 高程控制</w:t>
      </w:r>
      <w:r>
        <w:rPr>
          <w:rFonts w:ascii="Songti SC" w:hAnsi="Songti SC" w:eastAsia="Songti SC" w:cs="Songti SC"/>
          <w:b w:val="0"/>
          <w:sz w:val="21"/>
        </w:rPr>
        <w:tab/>
        <w:t>32</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14.2 泵扬程与重力损失的边界</w:t>
      </w:r>
      <w:r>
        <w:rPr>
          <w:rFonts w:ascii="Songti SC" w:hAnsi="Songti SC" w:eastAsia="Songti SC" w:cs="Songti SC"/>
          <w:b w:val="0"/>
          <w:sz w:val="21"/>
        </w:rPr>
        <w:tab/>
        <w:t>33</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14.3 出厂和洪水边界</w:t>
      </w:r>
      <w:r>
        <w:rPr>
          <w:rFonts w:ascii="Songti SC" w:hAnsi="Songti SC" w:eastAsia="Songti SC" w:cs="Songti SC"/>
          <w:b w:val="0"/>
          <w:sz w:val="21"/>
        </w:rPr>
        <w:tab/>
        <w:t>34</w:t>
      </w:r>
    </w:p>
    <w:p>
      <w:pPr>
        <w:keepNext w:val="0"/>
        <w:keepLines w:val="0"/>
        <w:tabs>
          <w:tab w:pos="8561" w:val="right" w:leader="dot"/>
        </w:tabs>
        <w:spacing w:before="20" w:after="40" w:line="240" w:lineRule="auto"/>
        <w:ind w:left="0" w:right="113"/>
      </w:pPr>
      <w:r>
        <w:rPr>
          <w:rFonts w:ascii="Songti SC" w:hAnsi="Songti SC" w:eastAsia="Songti SC" w:cs="Songti SC"/>
          <w:b/>
          <w:sz w:val="22"/>
        </w:rPr>
        <w:t>15 接触消毒与计量</w:t>
      </w:r>
      <w:r>
        <w:rPr>
          <w:rFonts w:ascii="Songti SC" w:hAnsi="Songti SC" w:eastAsia="Songti SC" w:cs="Songti SC"/>
          <w:b/>
          <w:sz w:val="22"/>
        </w:rPr>
        <w:tab/>
        <w:t>34</w:t>
      </w:r>
    </w:p>
    <w:p>
      <w:pPr>
        <w:keepNext w:val="0"/>
        <w:keepLines w:val="0"/>
        <w:tabs>
          <w:tab w:pos="8561" w:val="right" w:leader="dot"/>
        </w:tabs>
        <w:spacing w:before="20" w:after="40" w:line="240" w:lineRule="auto"/>
        <w:ind w:left="0" w:right="113"/>
      </w:pPr>
      <w:r>
        <w:rPr>
          <w:rFonts w:ascii="Songti SC" w:hAnsi="Songti SC" w:eastAsia="Songti SC" w:cs="Songti SC"/>
          <w:b/>
          <w:sz w:val="22"/>
        </w:rPr>
        <w:t>16 主要构筑物和设备汇总</w:t>
      </w:r>
      <w:r>
        <w:rPr>
          <w:rFonts w:ascii="Songti SC" w:hAnsi="Songti SC" w:eastAsia="Songti SC" w:cs="Songti SC"/>
          <w:b/>
          <w:sz w:val="22"/>
        </w:rPr>
        <w:tab/>
        <w:t>35</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16.1 主要设备厂家与参考型号</w:t>
      </w:r>
      <w:r>
        <w:rPr>
          <w:rFonts w:ascii="Songti SC" w:hAnsi="Songti SC" w:eastAsia="Songti SC" w:cs="Songti SC"/>
          <w:b w:val="0"/>
          <w:sz w:val="21"/>
        </w:rPr>
        <w:tab/>
        <w:t>36</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16.2 主要核验结论</w:t>
      </w:r>
      <w:r>
        <w:rPr>
          <w:rFonts w:ascii="Songti SC" w:hAnsi="Songti SC" w:eastAsia="Songti SC" w:cs="Songti SC"/>
          <w:b w:val="0"/>
          <w:sz w:val="21"/>
        </w:rPr>
        <w:tab/>
        <w:t>36</w:t>
      </w:r>
    </w:p>
    <w:p>
      <w:pPr>
        <w:keepNext w:val="0"/>
        <w:keepLines w:val="0"/>
        <w:tabs>
          <w:tab w:pos="8561" w:val="right" w:leader="dot"/>
        </w:tabs>
        <w:spacing w:before="20" w:after="40" w:line="240" w:lineRule="auto"/>
        <w:ind w:left="420" w:right="113"/>
      </w:pPr>
      <w:r>
        <w:rPr>
          <w:rFonts w:ascii="Songti SC" w:hAnsi="Songti SC" w:eastAsia="Songti SC" w:cs="Songti SC"/>
          <w:b w:val="0"/>
          <w:sz w:val="21"/>
        </w:rPr>
        <w:t>16.3 检修工况与待确认事项</w:t>
      </w:r>
      <w:r>
        <w:rPr>
          <w:rFonts w:ascii="Songti SC" w:hAnsi="Songti SC" w:eastAsia="Songti SC" w:cs="Songti SC"/>
          <w:b w:val="0"/>
          <w:sz w:val="21"/>
        </w:rPr>
        <w:tab/>
        <w:t>37</w:t>
      </w:r>
    </w:p>
    <w:p>
      <w:pPr>
        <w:keepNext w:val="0"/>
        <w:keepLines w:val="0"/>
        <w:tabs>
          <w:tab w:pos="8561" w:val="right" w:leader="dot"/>
        </w:tabs>
        <w:spacing w:before="20" w:after="40" w:line="240" w:lineRule="auto"/>
        <w:ind w:left="0" w:right="113"/>
      </w:pPr>
      <w:r>
        <w:rPr>
          <w:rFonts w:ascii="Songti SC" w:hAnsi="Songti SC" w:eastAsia="Songti SC" w:cs="Songti SC"/>
          <w:b/>
          <w:sz w:val="22"/>
        </w:rPr>
        <w:t>参考文献</w:t>
      </w:r>
      <w:r>
        <w:rPr>
          <w:rFonts w:ascii="Songti SC" w:hAnsi="Songti SC" w:eastAsia="Songti SC" w:cs="Songti SC"/>
          <w:b/>
          <w:sz w:val="22"/>
        </w:rPr>
        <w:tab/>
        <w:t>38</w:t>
      </w:r>
    </w:p>
    <w:p>
      <w:pPr>
        <w:pStyle w:val="Heading1"/>
        <w:keepNext/>
        <w:keepLines w:val="0"/>
        <w:pageBreakBefore/>
      </w:pPr>
      <w:r>
        <w:t>1 前言</w:t>
      </w:r>
    </w:p>
    <w:p>
      <w:pPr>
        <w:pStyle w:val="Heading2"/>
        <w:keepNext/>
        <w:keepLines w:val="0"/>
      </w:pPr>
      <w:r>
        <w:t>1.1 设计任务与成果边界</w:t>
      </w:r>
    </w:p>
    <w:p>
      <w:pPr>
        <w:pStyle w:val="BodyText"/>
        <w:keepNext w:val="0"/>
        <w:keepLines w:val="0"/>
        <w:widowControl w:val="0"/>
        <w:spacing w:before="0" w:after="120" w:line="288" w:lineRule="auto"/>
        <w:ind w:firstLine="420"/>
      </w:pPr>
      <w:r>
        <w:rPr>
          <w:rFonts w:ascii="Songti SC" w:hAnsi="Songti SC" w:eastAsia="Songti SC" w:cs="Songti SC"/>
          <w:b w:val="0"/>
          <w:sz w:val="24"/>
        </w:rPr>
        <w:t>任务书要求完成城市二级污水处理厂水线工艺设计，含主要构筑物计算、必要草图、平面和高程关系。厂址面积12 ha，厂坪标高EL 27.30 m，进水位于北侧，进厂管D1200、管底埋深4.0 m。本说明书按水线先后顺序给出设计输入、公式、代入、结果和校核。</w:t>
      </w:r>
    </w:p>
    <w:p>
      <w:pPr>
        <w:pStyle w:val="BodyText"/>
        <w:keepNext w:val="0"/>
        <w:keepLines w:val="0"/>
        <w:widowControl w:val="0"/>
        <w:spacing w:before="0" w:after="120" w:line="288" w:lineRule="auto"/>
        <w:ind w:firstLine="420"/>
      </w:pPr>
      <w:r>
        <w:rPr>
          <w:rFonts w:ascii="Songti SC" w:hAnsi="Songti SC" w:eastAsia="Songti SC" w:cs="Songti SC"/>
          <w:b w:val="0"/>
          <w:sz w:val="24"/>
        </w:rPr>
        <w:t>任务书明确不含完整污泥路线和辅助构筑物设计。因水线计算必须闭合，本文仍计算初沉污泥、剩余污泥、补碳生物固体、化学固体、回流与排泥接口；这些结果止于排泥边界，不代表已完成浓缩、消化、脱水或外运系统设计。说明书内图为计算草图，不替代任务书另列的CAD/BIM图纸成果。</w:t>
      </w:r>
    </w:p>
    <w:p>
      <w:pPr>
        <w:pStyle w:val="Heading2"/>
        <w:keepNext/>
        <w:keepLines w:val="0"/>
      </w:pPr>
      <w:r>
        <w:t>1.2 依据层级与适用范围</w:t>
      </w:r>
    </w:p>
    <w:p>
      <w:pPr>
        <w:keepNext/>
        <w:keepLines w:val="0"/>
        <w:widowControl w:val="0"/>
        <w:spacing w:before="0" w:after="120" w:line="288" w:lineRule="auto"/>
        <w:jc w:val="center"/>
      </w:pPr>
      <w:r>
        <w:rPr>
          <w:rFonts w:ascii="Songti SC" w:hAnsi="Songti SC" w:eastAsia="Songti SC" w:cs="Songti SC"/>
          <w:b w:val="0"/>
          <w:sz w:val="21"/>
        </w:rPr>
        <w:t>表1-1 类别、采用依据汇总</w:t>
      </w:r>
    </w:p>
    <w:tbl>
      <w:tblPr>
        <w:tblW w:type="auto" w:w="0"/>
        <w:jc w:val="center"/>
        <w:tblLayout w:type="fixed"/>
        <w:tblLook w:firstColumn="1" w:firstRow="1" w:lastColumn="0" w:lastRow="0" w:noHBand="0" w:noVBand="1" w:val="04A0"/>
      </w:tblPr>
      <w:tblGrid>
        <w:gridCol w:w="3081"/>
        <w:gridCol w:w="3081"/>
        <w:gridCol w:w="3081"/>
      </w:tblGrid>
      <w:tr>
        <w:trPr>
          <w:tblHeader w:val="true"/>
          <w:cantSplit/>
        </w:trPr>
        <w:tc>
          <w:tcPr>
            <w:tcW w:type="dxa" w:w="1304"/>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9"/>
              </w:rPr>
              <w:t>类别</w:t>
            </w:r>
          </w:p>
        </w:tc>
        <w:tc>
          <w:tcPr>
            <w:tcW w:type="dxa" w:w="3231"/>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9"/>
              </w:rPr>
              <w:t>采用依据</w:t>
            </w:r>
          </w:p>
        </w:tc>
        <w:tc>
          <w:tcPr>
            <w:tcW w:type="dxa" w:w="4082"/>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9"/>
              </w:rPr>
              <w:t>用途</w:t>
            </w:r>
          </w:p>
        </w:tc>
      </w:tr>
      <w:tr>
        <w:trPr>
          <w:cantSplit/>
        </w:trPr>
        <w:tc>
          <w:tcPr>
            <w:tcW w:type="dxa" w:w="130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9"/>
              </w:rPr>
              <w:t>原始资料</w:t>
            </w:r>
          </w:p>
        </w:tc>
        <w:tc>
          <w:tcPr>
            <w:tcW w:type="dxa" w:w="323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课程设计任务书6(2)</w:t>
            </w:r>
          </w:p>
        </w:tc>
        <w:tc>
          <w:tcPr>
            <w:tcW w:type="dxa" w:w="408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人口、水量负荷、气象、水文、厂址与排放目标</w:t>
            </w:r>
          </w:p>
        </w:tc>
      </w:tr>
      <w:tr>
        <w:trPr>
          <w:cantSplit/>
        </w:trPr>
        <w:tc>
          <w:tcPr>
            <w:tcW w:type="dxa" w:w="130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9"/>
              </w:rPr>
              <w:t>强制性规范</w:t>
            </w:r>
          </w:p>
        </w:tc>
        <w:tc>
          <w:tcPr>
            <w:tcW w:type="dxa" w:w="323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GB 55027—2022《城乡排水工程项目规范》</w:t>
            </w:r>
          </w:p>
        </w:tc>
        <w:tc>
          <w:tcPr>
            <w:tcW w:type="dxa" w:w="408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全文强制；平均日规模与旱雨季能力、检修维护、消毒、进出水计量</w:t>
            </w:r>
          </w:p>
        </w:tc>
      </w:tr>
      <w:tr>
        <w:trPr>
          <w:cantSplit/>
        </w:trPr>
        <w:tc>
          <w:tcPr>
            <w:tcW w:type="dxa" w:w="130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9"/>
              </w:rPr>
              <w:t>国家标准</w:t>
            </w:r>
          </w:p>
        </w:tc>
        <w:tc>
          <w:tcPr>
            <w:tcW w:type="dxa" w:w="323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GB 50014—2021《室外排水设计标准》</w:t>
            </w:r>
          </w:p>
        </w:tc>
        <w:tc>
          <w:tcPr>
            <w:tcW w:type="dxa" w:w="408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泵站、沉砂、沉淀、生物处理及配水校核；设计流量与参数</w:t>
            </w:r>
          </w:p>
        </w:tc>
      </w:tr>
      <w:tr>
        <w:trPr>
          <w:cantSplit/>
        </w:trPr>
        <w:tc>
          <w:tcPr>
            <w:tcW w:type="dxa" w:w="130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9"/>
              </w:rPr>
              <w:t>国家标准</w:t>
            </w:r>
          </w:p>
        </w:tc>
        <w:tc>
          <w:tcPr>
            <w:tcW w:type="dxa" w:w="323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GB 18918—2002及2025修改单（2026-03-01实施）</w:t>
            </w:r>
          </w:p>
        </w:tc>
        <w:tc>
          <w:tcPr>
            <w:tcW w:type="dxa" w:w="408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日均与瞬时排放限值边界；编号仍为GB 18918—2002</w:t>
            </w:r>
          </w:p>
        </w:tc>
      </w:tr>
      <w:tr>
        <w:trPr>
          <w:cantSplit/>
        </w:trPr>
        <w:tc>
          <w:tcPr>
            <w:tcW w:type="dxa" w:w="130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9"/>
              </w:rPr>
              <w:t>行业标准</w:t>
            </w:r>
          </w:p>
        </w:tc>
        <w:tc>
          <w:tcPr>
            <w:tcW w:type="dxa" w:w="323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HJ 576—2010《厌氧—缺氧—好氧活性污泥法污水处理工程技术规范》</w:t>
            </w:r>
          </w:p>
        </w:tc>
        <w:tc>
          <w:tcPr>
            <w:tcW w:type="dxa" w:w="408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A²/O工程参数对照</w:t>
            </w:r>
          </w:p>
        </w:tc>
      </w:tr>
      <w:tr>
        <w:trPr>
          <w:cantSplit/>
        </w:trPr>
        <w:tc>
          <w:tcPr>
            <w:tcW w:type="dxa" w:w="130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9"/>
              </w:rPr>
              <w:t>地方标准</w:t>
            </w:r>
          </w:p>
        </w:tc>
        <w:tc>
          <w:tcPr>
            <w:tcW w:type="dxa" w:w="323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DB32/4440—2022《城镇污水处理厂污染物排放标准》</w:t>
            </w:r>
          </w:p>
        </w:tc>
        <w:tc>
          <w:tcPr>
            <w:tcW w:type="dxa" w:w="408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江苏现行强制性地方标准；本项目按新建、108000 m³/d执行A标准，仅列差异</w:t>
            </w:r>
          </w:p>
        </w:tc>
      </w:tr>
      <w:tr>
        <w:trPr>
          <w:cantSplit/>
        </w:trPr>
        <w:tc>
          <w:tcPr>
            <w:tcW w:type="dxa" w:w="130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9"/>
              </w:rPr>
              <w:t>技术手册</w:t>
            </w:r>
          </w:p>
        </w:tc>
        <w:tc>
          <w:tcPr>
            <w:tcW w:type="dxa" w:w="323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US EPA/600/R-10/100</w:t>
            </w:r>
          </w:p>
        </w:tc>
        <w:tc>
          <w:tcPr>
            <w:tcW w:type="dxa" w:w="408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甲醇反硝化、AOB动力学、氧与碱度（技术参考，非中国国家标准）</w:t>
            </w:r>
          </w:p>
        </w:tc>
      </w:tr>
      <w:tr>
        <w:trPr>
          <w:cantSplit/>
        </w:trPr>
        <w:tc>
          <w:tcPr>
            <w:tcW w:type="dxa" w:w="130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9"/>
              </w:rPr>
              <w:t>产品样本</w:t>
            </w:r>
          </w:p>
        </w:tc>
        <w:tc>
          <w:tcPr>
            <w:tcW w:type="dxa" w:w="323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Xylem、AERZEN等官方数据表</w:t>
            </w:r>
          </w:p>
        </w:tc>
        <w:tc>
          <w:tcPr>
            <w:tcW w:type="dxa" w:w="408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曝气器、鼓风机等设备能力包络</w:t>
            </w:r>
          </w:p>
        </w:tc>
      </w:tr>
    </w:tbl>
    <w:p>
      <w:pPr>
        <w:spacing w:after="20"/>
      </w:pPr>
    </w:p>
    <w:p>
      <w:pPr>
        <w:pStyle w:val="BodyText"/>
        <w:keepNext w:val="0"/>
        <w:keepLines w:val="0"/>
        <w:widowControl w:val="0"/>
        <w:spacing w:before="0" w:after="120" w:line="288" w:lineRule="auto"/>
        <w:ind w:firstLine="420"/>
      </w:pPr>
      <w:r>
        <w:rPr>
          <w:rFonts w:ascii="Songti SC" w:hAnsi="Songti SC" w:eastAsia="Songti SC" w:cs="Songti SC"/>
          <w:b w:val="0"/>
          <w:sz w:val="24"/>
        </w:rPr>
        <w:t>依据层级为“现行全文强制通用规范＋现行专业设计标准＋适用排放标准”。GB 55027—2022自2022-10-01实施、全文强制，与其他标准冲突时优先；它并未废止整本GB 50014—2021，只废止公告列明的原强制性条文。计算书保留任务书出水目标，同时在2.2节列出与江苏现行排放标准的差异和限制性结论。</w:t>
      </w:r>
    </w:p>
    <w:p>
      <w:pPr>
        <w:pStyle w:val="BodyText"/>
        <w:keepNext w:val="0"/>
        <w:keepLines w:val="0"/>
        <w:widowControl w:val="0"/>
        <w:spacing w:before="0" w:after="120" w:line="288" w:lineRule="auto"/>
        <w:ind w:firstLine="420"/>
      </w:pPr>
      <w:r>
        <w:rPr>
          <w:rFonts w:ascii="Songti SC" w:hAnsi="Songti SC" w:eastAsia="Songti SC" w:cs="Songti SC"/>
          <w:b w:val="0"/>
          <w:sz w:val="24"/>
        </w:rPr>
        <w:t>进水TKN组分、可生化COD分级、碱度、挥发性比例、消毒需量和厂外实测线路尚缺实测资料。本文用有来源的课程假设建立保守容量边界，并逐项注明。硝化容量以TN负荷为上界计算；处理目标均为设计限值，尚不构成试运行或实测达标结论。</w:t>
      </w:r>
    </w:p>
    <w:p>
      <w:pPr>
        <w:pStyle w:val="Heading1"/>
        <w:keepNext/>
        <w:keepLines w:val="0"/>
      </w:pPr>
      <w:r>
        <w:t>2 设计水量、水质与处理程度</w:t>
      </w:r>
    </w:p>
    <w:p>
      <w:pPr>
        <w:pStyle w:val="Heading2"/>
        <w:keepNext/>
        <w:keepLines w:val="0"/>
      </w:pPr>
      <w:r>
        <w:t>2.1 设计流量</w:t>
      </w:r>
    </w:p>
    <w:p>
      <w:pPr>
        <w:pStyle w:val="BodyText"/>
        <w:keepNext w:val="0"/>
        <w:keepLines w:val="0"/>
        <w:widowControl w:val="0"/>
        <w:spacing w:before="0" w:after="120" w:line="288" w:lineRule="auto"/>
        <w:ind w:firstLine="420"/>
      </w:pPr>
      <w:r>
        <w:rPr>
          <w:rFonts w:ascii="Songti SC" w:hAnsi="Songti SC" w:eastAsia="Songti SC" w:cs="Songti SC"/>
          <w:b w:val="0"/>
          <w:sz w:val="24"/>
        </w:rPr>
        <w:t>设计人口N=600000人，人均排水量q=180 L/(人·d)。平均水量为：</w:t>
      </w:r>
    </w:p>
    <w:p>
      <w:pPr>
        <w:keepNext w:val="0"/>
        <w:keepLines w:val="0"/>
        <w:widowControl w:val="0"/>
        <w:spacing w:before="0" w:after="100" w:line="288" w:lineRule="auto"/>
        <w:jc w:val="center"/>
      </w:pPr>
      <m:oMathPara>
        <m:oMath>
          <m:r>
            <m:t>Qavg=Nq/1000=600000×180/1000=108000 m³/d=1.250 m³/s</m:t>
          </m:r>
        </m:oMath>
      </m:oMathPara>
    </w:p>
    <w:p>
      <w:pPr>
        <w:pStyle w:val="BodyText"/>
        <w:keepNext w:val="0"/>
        <w:keepLines w:val="0"/>
        <w:widowControl w:val="0"/>
        <w:spacing w:before="0" w:after="120" w:line="288" w:lineRule="auto"/>
        <w:ind w:firstLine="420"/>
      </w:pPr>
      <w:r>
        <w:rPr>
          <w:rFonts w:ascii="Songti SC" w:hAnsi="Songti SC" w:eastAsia="Songti SC" w:cs="Songti SC"/>
          <w:b w:val="0"/>
          <w:sz w:val="24"/>
        </w:rPr>
        <w:t>设计流量按GB 50014—2021第4.1.4条及表4.1.15取总变化系数Kz=1.50，故最高时流量Qmax=1.50×4500=6750 m³/h=1.875 m³/s。进水井提升泵3台工作泵额定组合亦为1.875 m³/s=6750 m³/h，构筑物工艺负荷与提升后相连管渠、配水系统采用同一峰值口径。Kz=1.50为本次确定的设计输入，不写成规范对任意工况强制固定取1.5。</w:t>
      </w:r>
    </w:p>
    <w:p>
      <w:pPr>
        <w:keepNext/>
        <w:keepLines w:val="0"/>
        <w:widowControl w:val="0"/>
        <w:spacing w:before="0" w:after="120" w:line="288" w:lineRule="auto"/>
        <w:jc w:val="center"/>
      </w:pPr>
      <w:r>
        <w:rPr>
          <w:rFonts w:ascii="Songti SC" w:hAnsi="Songti SC" w:eastAsia="Songti SC" w:cs="Songti SC"/>
          <w:b w:val="0"/>
          <w:sz w:val="21"/>
        </w:rPr>
        <w:t>表2-1 流量口径、全厂汇总</w:t>
      </w:r>
    </w:p>
    <w:tbl>
      <w:tblPr>
        <w:tblW w:type="auto" w:w="0"/>
        <w:jc w:val="center"/>
        <w:tblLayout w:type="fixed"/>
        <w:tblLook w:firstColumn="1" w:firstRow="1" w:lastColumn="0" w:lastRow="0" w:noHBand="0" w:noVBand="1" w:val="04A0"/>
      </w:tblPr>
      <w:tblGrid>
        <w:gridCol w:w="2310"/>
        <w:gridCol w:w="2310"/>
        <w:gridCol w:w="2310"/>
        <w:gridCol w:w="2310"/>
      </w:tblGrid>
      <w:tr>
        <w:trPr>
          <w:tblHeader w:val="true"/>
          <w:cantSplit/>
        </w:trPr>
        <w:tc>
          <w:tcPr>
            <w:tcW w:type="dxa" w:w="1928"/>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流量口径</w:t>
            </w:r>
          </w:p>
        </w:tc>
        <w:tc>
          <w:tcPr>
            <w:tcW w:type="dxa" w:w="2268"/>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全厂</w:t>
            </w:r>
          </w:p>
        </w:tc>
        <w:tc>
          <w:tcPr>
            <w:tcW w:type="dxa" w:w="1928"/>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单水线</w:t>
            </w:r>
          </w:p>
        </w:tc>
        <w:tc>
          <w:tcPr>
            <w:tcW w:type="dxa" w:w="2268"/>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用途</w:t>
            </w:r>
          </w:p>
        </w:tc>
      </w:tr>
      <w:tr>
        <w:trPr>
          <w:cantSplit/>
        </w:trPr>
        <w:tc>
          <w:tcPr>
            <w:tcW w:type="dxa" w:w="192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平均日</w:t>
            </w:r>
          </w:p>
        </w:tc>
        <w:tc>
          <w:tcPr>
            <w:tcW w:type="dxa" w:w="226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108000 m³/d；1.250 m³/s</w:t>
            </w:r>
          </w:p>
        </w:tc>
        <w:tc>
          <w:tcPr>
            <w:tcW w:type="dxa" w:w="192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0.6250 m³/s</w:t>
            </w:r>
          </w:p>
        </w:tc>
        <w:tc>
          <w:tcPr>
            <w:tcW w:type="dxa" w:w="226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日负荷、HRT和物料平衡</w:t>
            </w:r>
          </w:p>
        </w:tc>
      </w:tr>
      <w:tr>
        <w:trPr>
          <w:cantSplit/>
        </w:trPr>
        <w:tc>
          <w:tcPr>
            <w:tcW w:type="dxa" w:w="192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最高时 Kz=1.50</w:t>
            </w:r>
          </w:p>
        </w:tc>
        <w:tc>
          <w:tcPr>
            <w:tcW w:type="dxa" w:w="226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6750 m³/h；1.875 m³/s</w:t>
            </w:r>
          </w:p>
        </w:tc>
        <w:tc>
          <w:tcPr>
            <w:tcW w:type="dxa" w:w="192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0.9375 m³/s</w:t>
            </w:r>
          </w:p>
        </w:tc>
        <w:tc>
          <w:tcPr>
            <w:tcW w:type="dxa" w:w="226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构筑物工艺负荷主算（GB 50014—2021表4.1.15）</w:t>
            </w:r>
          </w:p>
        </w:tc>
      </w:tr>
      <w:tr>
        <w:trPr>
          <w:cantSplit/>
        </w:trPr>
        <w:tc>
          <w:tcPr>
            <w:tcW w:type="dxa" w:w="192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3台工作泵组合</w:t>
            </w:r>
          </w:p>
        </w:tc>
        <w:tc>
          <w:tcPr>
            <w:tcW w:type="dxa" w:w="226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6750 m³/h；1.875 m³/s</w:t>
            </w:r>
          </w:p>
        </w:tc>
        <w:tc>
          <w:tcPr>
            <w:tcW w:type="dxa" w:w="192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0.9375 m³/s</w:t>
            </w:r>
          </w:p>
        </w:tc>
        <w:tc>
          <w:tcPr>
            <w:tcW w:type="dxa" w:w="226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提升后管渠与配水系统水力能力</w:t>
            </w:r>
          </w:p>
        </w:tc>
      </w:tr>
      <w:tr>
        <w:trPr>
          <w:cantSplit/>
        </w:trPr>
        <w:tc>
          <w:tcPr>
            <w:tcW w:type="dxa" w:w="192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峰时流量日换算</w:t>
            </w:r>
          </w:p>
        </w:tc>
        <w:tc>
          <w:tcPr>
            <w:tcW w:type="dxa" w:w="226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162000 m³/d</w:t>
            </w:r>
          </w:p>
        </w:tc>
        <w:tc>
          <w:tcPr>
            <w:tcW w:type="dxa" w:w="192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w:t>
            </w:r>
          </w:p>
        </w:tc>
        <w:tc>
          <w:tcPr>
            <w:tcW w:type="dxa" w:w="226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峰时流量的日单位换算，非新的平均日处理规模</w:t>
            </w:r>
          </w:p>
        </w:tc>
      </w:tr>
    </w:tbl>
    <w:p>
      <w:pPr>
        <w:spacing w:after="20"/>
      </w:pPr>
    </w:p>
    <w:p>
      <w:pPr>
        <w:pStyle w:val="Heading2"/>
        <w:keepNext/>
        <w:keepLines w:val="0"/>
      </w:pPr>
      <w:r>
        <w:t>2.2 设计水质</w:t>
      </w:r>
    </w:p>
    <w:p>
      <w:pPr>
        <w:keepNext/>
        <w:keepLines w:val="0"/>
        <w:widowControl w:val="0"/>
        <w:spacing w:before="0" w:after="120" w:line="288" w:lineRule="auto"/>
        <w:jc w:val="center"/>
      </w:pPr>
      <w:r>
        <w:rPr>
          <w:rFonts w:ascii="Songti SC" w:hAnsi="Songti SC" w:eastAsia="Songti SC" w:cs="Songti SC"/>
          <w:b w:val="0"/>
          <w:sz w:val="21"/>
        </w:rPr>
        <w:t>表2-2 指标、进水负荷 kg/d汇总</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tblHeader w:val="true"/>
          <w:cantSplit/>
        </w:trPr>
        <w:tc>
          <w:tcPr>
            <w:tcW w:type="dxa" w:w="1247"/>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指标</w:t>
            </w:r>
          </w:p>
        </w:tc>
        <w:tc>
          <w:tcPr>
            <w:tcW w:type="dxa" w:w="1814"/>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进水负荷 kg/d</w:t>
            </w:r>
          </w:p>
        </w:tc>
        <w:tc>
          <w:tcPr>
            <w:tcW w:type="dxa" w:w="1757"/>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计算浓度 mg/L</w:t>
            </w:r>
          </w:p>
        </w:tc>
        <w:tc>
          <w:tcPr>
            <w:tcW w:type="dxa" w:w="1701"/>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日均目标 mg/L</w:t>
            </w:r>
          </w:p>
        </w:tc>
        <w:tc>
          <w:tcPr>
            <w:tcW w:type="dxa" w:w="2268"/>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最低去除率 %</w:t>
            </w:r>
          </w:p>
        </w:tc>
      </w:tr>
      <w:tr>
        <w:trPr>
          <w:cantSplit/>
        </w:trPr>
        <w:tc>
          <w:tcPr>
            <w:tcW w:type="dxa" w:w="124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BOD5</w:t>
            </w:r>
          </w:p>
        </w:tc>
        <w:tc>
          <w:tcPr>
            <w:tcW w:type="dxa" w:w="181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18,000</w:t>
            </w:r>
          </w:p>
        </w:tc>
        <w:tc>
          <w:tcPr>
            <w:tcW w:type="dxa" w:w="175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166.67</w:t>
            </w:r>
          </w:p>
        </w:tc>
        <w:tc>
          <w:tcPr>
            <w:tcW w:type="dxa" w:w="170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20.0</w:t>
            </w:r>
          </w:p>
        </w:tc>
        <w:tc>
          <w:tcPr>
            <w:tcW w:type="dxa" w:w="226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88.0</w:t>
            </w:r>
          </w:p>
        </w:tc>
      </w:tr>
      <w:tr>
        <w:trPr>
          <w:cantSplit/>
        </w:trPr>
        <w:tc>
          <w:tcPr>
            <w:tcW w:type="dxa" w:w="124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SS</w:t>
            </w:r>
          </w:p>
        </w:tc>
        <w:tc>
          <w:tcPr>
            <w:tcW w:type="dxa" w:w="181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30,000</w:t>
            </w:r>
          </w:p>
        </w:tc>
        <w:tc>
          <w:tcPr>
            <w:tcW w:type="dxa" w:w="175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277.78</w:t>
            </w:r>
          </w:p>
        </w:tc>
        <w:tc>
          <w:tcPr>
            <w:tcW w:type="dxa" w:w="170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20.0</w:t>
            </w:r>
          </w:p>
        </w:tc>
        <w:tc>
          <w:tcPr>
            <w:tcW w:type="dxa" w:w="226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92.8</w:t>
            </w:r>
          </w:p>
        </w:tc>
      </w:tr>
      <w:tr>
        <w:trPr>
          <w:cantSplit/>
        </w:trPr>
        <w:tc>
          <w:tcPr>
            <w:tcW w:type="dxa" w:w="124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TN</w:t>
            </w:r>
          </w:p>
        </w:tc>
        <w:tc>
          <w:tcPr>
            <w:tcW w:type="dxa" w:w="181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4,800</w:t>
            </w:r>
          </w:p>
        </w:tc>
        <w:tc>
          <w:tcPr>
            <w:tcW w:type="dxa" w:w="175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44.44</w:t>
            </w:r>
          </w:p>
        </w:tc>
        <w:tc>
          <w:tcPr>
            <w:tcW w:type="dxa" w:w="170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20.0</w:t>
            </w:r>
          </w:p>
        </w:tc>
        <w:tc>
          <w:tcPr>
            <w:tcW w:type="dxa" w:w="226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55.0</w:t>
            </w:r>
          </w:p>
        </w:tc>
      </w:tr>
      <w:tr>
        <w:trPr>
          <w:cantSplit/>
        </w:trPr>
        <w:tc>
          <w:tcPr>
            <w:tcW w:type="dxa" w:w="124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TP</w:t>
            </w:r>
          </w:p>
        </w:tc>
        <w:tc>
          <w:tcPr>
            <w:tcW w:type="dxa" w:w="181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600</w:t>
            </w:r>
          </w:p>
        </w:tc>
        <w:tc>
          <w:tcPr>
            <w:tcW w:type="dxa" w:w="175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5.56</w:t>
            </w:r>
          </w:p>
        </w:tc>
        <w:tc>
          <w:tcPr>
            <w:tcW w:type="dxa" w:w="170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1.0</w:t>
            </w:r>
          </w:p>
        </w:tc>
        <w:tc>
          <w:tcPr>
            <w:tcW w:type="dxa" w:w="226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82.0</w:t>
            </w:r>
          </w:p>
        </w:tc>
      </w:tr>
      <w:tr>
        <w:trPr>
          <w:cantSplit/>
        </w:trPr>
        <w:tc>
          <w:tcPr>
            <w:tcW w:type="dxa" w:w="124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NH₄⁺-N</w:t>
            </w:r>
          </w:p>
        </w:tc>
        <w:tc>
          <w:tcPr>
            <w:tcW w:type="dxa" w:w="181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未给定</w:t>
            </w:r>
          </w:p>
        </w:tc>
        <w:tc>
          <w:tcPr>
            <w:tcW w:type="dxa" w:w="175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未给定</w:t>
            </w:r>
          </w:p>
        </w:tc>
        <w:tc>
          <w:tcPr>
            <w:tcW w:type="dxa" w:w="170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8.0</w:t>
            </w:r>
          </w:p>
        </w:tc>
        <w:tc>
          <w:tcPr>
            <w:tcW w:type="dxa" w:w="226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以TN负荷作硝化容量上界</w:t>
            </w:r>
          </w:p>
        </w:tc>
      </w:tr>
    </w:tbl>
    <w:p>
      <w:pPr>
        <w:spacing w:after="20"/>
      </w:pPr>
    </w:p>
    <w:p>
      <w:pPr>
        <w:pStyle w:val="BodyText"/>
        <w:keepNext w:val="0"/>
        <w:keepLines w:val="0"/>
        <w:widowControl w:val="0"/>
        <w:spacing w:before="0" w:after="120" w:line="288" w:lineRule="auto"/>
        <w:ind w:firstLine="420"/>
      </w:pPr>
      <w:r>
        <w:rPr>
          <w:rFonts w:ascii="Songti SC" w:hAnsi="Songti SC" w:eastAsia="Songti SC" w:cs="Songti SC"/>
          <w:b w:val="0"/>
          <w:sz w:val="24"/>
        </w:rPr>
        <w:t>表中“日均目标”取自课程设计任务书的出水水质要求，其指标口径对应GB 18918—2002《城镇污水处理厂污染物排放标准》（含2025修改单，自2026-03-01实施，标准编号不变）表1一级B日均限值；表4另列瞬时限值，一级B TN、NH₄-N、TP分别为25、15(20)、1.5 mg/L，pH 6～9，粪大肠菌群10⁴ MPN/L。浓度由当量人口负荷除以平均水量得到：BOD₅=166.67 mg/L，SS=277.78 mg/L，TN=44.44 mg/L，TP=5.56 mg/L。消毒与监测应同时识别瞬时控制，但本文日负荷主算保持任务书日均目标。</w:t>
      </w:r>
    </w:p>
    <w:p>
      <w:pPr>
        <w:pStyle w:val="BodyText"/>
        <w:keepNext w:val="0"/>
        <w:keepLines w:val="0"/>
        <w:widowControl w:val="0"/>
        <w:spacing w:before="0" w:after="120" w:line="288" w:lineRule="auto"/>
        <w:ind w:firstLine="420"/>
      </w:pPr>
      <w:r>
        <w:rPr>
          <w:rFonts w:ascii="Songti SC" w:hAnsi="Songti SC" w:eastAsia="Songti SC" w:cs="Songti SC"/>
          <w:b w:val="0"/>
          <w:sz w:val="24"/>
        </w:rPr>
        <w:t>本项目位于江苏省，按新建、处理规模108000 m³/d且处于一般区域，依DB32/4440—2022《城镇污水处理厂污染物排放标准》第4.1.3.2条，应执行A标准。该地方标准严于任务书目标，现列出差异：</w:t>
      </w:r>
    </w:p>
    <w:p>
      <w:pPr>
        <w:keepNext/>
        <w:keepLines w:val="0"/>
        <w:widowControl w:val="0"/>
        <w:spacing w:before="0" w:after="120" w:line="288" w:lineRule="auto"/>
        <w:jc w:val="center"/>
      </w:pPr>
      <w:r>
        <w:rPr>
          <w:rFonts w:ascii="Songti SC" w:hAnsi="Songti SC" w:eastAsia="Songti SC" w:cs="Songti SC"/>
          <w:b w:val="0"/>
          <w:sz w:val="21"/>
        </w:rPr>
        <w:t>表2-3 指标、任务书目标（本计算保留） mg/L汇总</w:t>
      </w:r>
    </w:p>
    <w:tbl>
      <w:tblPr>
        <w:tblW w:type="auto" w:w="0"/>
        <w:jc w:val="center"/>
        <w:tblLayout w:type="fixed"/>
        <w:tblLook w:firstColumn="1" w:firstRow="1" w:lastColumn="0" w:lastRow="0" w:noHBand="0" w:noVBand="1" w:val="04A0"/>
      </w:tblPr>
      <w:tblGrid>
        <w:gridCol w:w="2310"/>
        <w:gridCol w:w="2310"/>
        <w:gridCol w:w="2310"/>
        <w:gridCol w:w="2310"/>
      </w:tblGrid>
      <w:tr>
        <w:trPr>
          <w:tblHeader w:val="true"/>
          <w:cantSplit/>
        </w:trPr>
        <w:tc>
          <w:tcPr>
            <w:tcW w:type="dxa" w:w="1077"/>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8"/>
              </w:rPr>
              <w:t>指标</w:t>
            </w:r>
          </w:p>
        </w:tc>
        <w:tc>
          <w:tcPr>
            <w:tcW w:type="dxa" w:w="2438"/>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8"/>
              </w:rPr>
              <w:t>任务书目标（本计算保留） mg/L</w:t>
            </w:r>
          </w:p>
        </w:tc>
        <w:tc>
          <w:tcPr>
            <w:tcW w:type="dxa" w:w="1814"/>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8"/>
              </w:rPr>
              <w:t>江苏A标准日均限值 mg/L</w:t>
            </w:r>
          </w:p>
        </w:tc>
        <w:tc>
          <w:tcPr>
            <w:tcW w:type="dxa" w:w="3288"/>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8"/>
              </w:rPr>
              <w:t>说明</w:t>
            </w:r>
          </w:p>
        </w:tc>
      </w:tr>
      <w:tr>
        <w:trPr>
          <w:cantSplit/>
        </w:trPr>
        <w:tc>
          <w:tcPr>
            <w:tcW w:type="dxa" w:w="107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CODCr</w:t>
            </w:r>
          </w:p>
        </w:tc>
        <w:tc>
          <w:tcPr>
            <w:tcW w:type="dxa" w:w="243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任务书未提供计算用进水COD及明确出水目标</w:t>
            </w:r>
          </w:p>
        </w:tc>
        <w:tc>
          <w:tcPr>
            <w:tcW w:type="dxa" w:w="181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30</w:t>
            </w:r>
          </w:p>
        </w:tc>
        <w:tc>
          <w:tcPr>
            <w:tcW w:type="dxa" w:w="328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不补造进水COD，不能宣称已满足COD去除要求</w:t>
            </w:r>
          </w:p>
        </w:tc>
      </w:tr>
      <w:tr>
        <w:trPr>
          <w:cantSplit/>
        </w:trPr>
        <w:tc>
          <w:tcPr>
            <w:tcW w:type="dxa" w:w="107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BOD₅</w:t>
            </w:r>
          </w:p>
        </w:tc>
        <w:tc>
          <w:tcPr>
            <w:tcW w:type="dxa" w:w="243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20</w:t>
            </w:r>
          </w:p>
        </w:tc>
        <w:tc>
          <w:tcPr>
            <w:tcW w:type="dxa" w:w="181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10</w:t>
            </w:r>
          </w:p>
        </w:tc>
        <w:tc>
          <w:tcPr>
            <w:tcW w:type="dxa" w:w="328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课程目标较宽松</w:t>
            </w:r>
          </w:p>
        </w:tc>
      </w:tr>
      <w:tr>
        <w:trPr>
          <w:cantSplit/>
        </w:trPr>
        <w:tc>
          <w:tcPr>
            <w:tcW w:type="dxa" w:w="107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SS</w:t>
            </w:r>
          </w:p>
        </w:tc>
        <w:tc>
          <w:tcPr>
            <w:tcW w:type="dxa" w:w="243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20</w:t>
            </w:r>
          </w:p>
        </w:tc>
        <w:tc>
          <w:tcPr>
            <w:tcW w:type="dxa" w:w="181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10</w:t>
            </w:r>
          </w:p>
        </w:tc>
        <w:tc>
          <w:tcPr>
            <w:tcW w:type="dxa" w:w="328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课程目标较宽松</w:t>
            </w:r>
          </w:p>
        </w:tc>
      </w:tr>
      <w:tr>
        <w:trPr>
          <w:cantSplit/>
        </w:trPr>
        <w:tc>
          <w:tcPr>
            <w:tcW w:type="dxa" w:w="107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TN</w:t>
            </w:r>
          </w:p>
        </w:tc>
        <w:tc>
          <w:tcPr>
            <w:tcW w:type="dxa" w:w="243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20</w:t>
            </w:r>
          </w:p>
        </w:tc>
        <w:tc>
          <w:tcPr>
            <w:tcW w:type="dxa" w:w="181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10（12）</w:t>
            </w:r>
          </w:p>
        </w:tc>
        <w:tc>
          <w:tcPr>
            <w:tcW w:type="dxa" w:w="328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括号为每年11月1日至次年3月31日限值</w:t>
            </w:r>
          </w:p>
        </w:tc>
      </w:tr>
      <w:tr>
        <w:trPr>
          <w:cantSplit/>
        </w:trPr>
        <w:tc>
          <w:tcPr>
            <w:tcW w:type="dxa" w:w="107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氨氮</w:t>
            </w:r>
          </w:p>
        </w:tc>
        <w:tc>
          <w:tcPr>
            <w:tcW w:type="dxa" w:w="243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8</w:t>
            </w:r>
          </w:p>
        </w:tc>
        <w:tc>
          <w:tcPr>
            <w:tcW w:type="dxa" w:w="181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1.5（3）</w:t>
            </w:r>
          </w:p>
        </w:tc>
        <w:tc>
          <w:tcPr>
            <w:tcW w:type="dxa" w:w="328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地方标准按日历季节，不照搬GB 18918水温分界</w:t>
            </w:r>
          </w:p>
        </w:tc>
      </w:tr>
      <w:tr>
        <w:trPr>
          <w:cantSplit/>
        </w:trPr>
        <w:tc>
          <w:tcPr>
            <w:tcW w:type="dxa" w:w="107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TP</w:t>
            </w:r>
          </w:p>
        </w:tc>
        <w:tc>
          <w:tcPr>
            <w:tcW w:type="dxa" w:w="243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1</w:t>
            </w:r>
          </w:p>
        </w:tc>
        <w:tc>
          <w:tcPr>
            <w:tcW w:type="dxa" w:w="181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0.3</w:t>
            </w:r>
          </w:p>
        </w:tc>
        <w:tc>
          <w:tcPr>
            <w:tcW w:type="dxa" w:w="328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课程目标较宽松</w:t>
            </w:r>
          </w:p>
        </w:tc>
      </w:tr>
      <w:tr>
        <w:trPr>
          <w:cantSplit/>
        </w:trPr>
        <w:tc>
          <w:tcPr>
            <w:tcW w:type="dxa" w:w="107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粪大肠菌群</w:t>
            </w:r>
          </w:p>
        </w:tc>
        <w:tc>
          <w:tcPr>
            <w:tcW w:type="dxa" w:w="243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任务书未给出定量目标</w:t>
            </w:r>
          </w:p>
        </w:tc>
        <w:tc>
          <w:tcPr>
            <w:tcW w:type="dxa" w:w="181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1000 MPN/L或CFU/L</w:t>
            </w:r>
          </w:p>
        </w:tc>
        <w:tc>
          <w:tcPr>
            <w:tcW w:type="dxa" w:w="328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应设消毒设施，仅有接触池容积不构成达标证明</w:t>
            </w:r>
          </w:p>
        </w:tc>
      </w:tr>
    </w:tbl>
    <w:p>
      <w:pPr>
        <w:spacing w:after="20"/>
      </w:pPr>
    </w:p>
    <w:p>
      <w:pPr>
        <w:pStyle w:val="BodyText"/>
        <w:keepNext w:val="0"/>
        <w:keepLines w:val="0"/>
        <w:widowControl w:val="0"/>
        <w:spacing w:before="40" w:after="120" w:line="288" w:lineRule="auto"/>
      </w:pPr>
      <w:r>
        <w:rPr>
          <w:rFonts w:ascii="Songti SC" w:hAnsi="Songti SC" w:eastAsia="Songti SC" w:cs="Songti SC"/>
          <w:b/>
          <w:sz w:val="22"/>
        </w:rPr>
        <w:t>说明：</w:t>
      </w:r>
      <w:r>
        <w:rPr>
          <w:rFonts w:ascii="Songti SC" w:hAnsi="Songti SC" w:eastAsia="Songti SC" w:cs="Songti SC"/>
          <w:b w:val="0"/>
          <w:sz w:val="22"/>
        </w:rPr>
        <w:t>限制性结论：本说明书是按任务书出水目标复核的课程设计。该目标低于项目按现址、规模和新建属性应适用的江苏A标准，不作为实际建设项目达标设计或排放许可的证明。若按实际工程执行，须以更严格目标重新确定脱氮除磷与深度处理能力，并补齐进水COD、氨氮/TKN、碱度、可利用碳源、最低设计水温和消毒试验资料。DB32/4440—2022表2的A标准COD、氨氮、TN、TP瞬时限值分别为50、3（6）、12（15）、0.5 mg/L，不得用瞬时限值放宽日均设计目标。</w:t>
      </w:r>
    </w:p>
    <w:p>
      <w:pPr>
        <w:pStyle w:val="BodyText"/>
        <w:keepNext w:val="0"/>
        <w:keepLines w:val="0"/>
        <w:widowControl w:val="0"/>
        <w:spacing w:before="40" w:after="120" w:line="288" w:lineRule="auto"/>
      </w:pPr>
      <w:r>
        <w:rPr>
          <w:rFonts w:ascii="Songti SC" w:hAnsi="Songti SC" w:eastAsia="Songti SC" w:cs="Songti SC"/>
          <w:b/>
          <w:sz w:val="22"/>
        </w:rPr>
        <w:t>说明：</w:t>
      </w:r>
      <w:r>
        <w:rPr>
          <w:rFonts w:ascii="Songti SC" w:hAnsi="Songti SC" w:eastAsia="Songti SC" w:cs="Songti SC"/>
          <w:b w:val="0"/>
          <w:sz w:val="22"/>
        </w:rPr>
        <w:t>N/P日负荷按Qavg计算，忽略约1%的排泥减水，为课程级近似；NH₄-N进水组分、碱度和温度连续分布缺失，硝化按上界容量校核。</w:t>
      </w:r>
    </w:p>
    <w:p>
      <w:pPr>
        <w:pStyle w:val="Heading1"/>
        <w:keepNext/>
        <w:keepLines w:val="0"/>
      </w:pPr>
      <w:r>
        <w:t>3 工艺方案与总体流程</w:t>
      </w:r>
    </w:p>
    <w:p>
      <w:pPr>
        <w:pStyle w:val="Heading2"/>
        <w:keepNext/>
        <w:keepLines w:val="0"/>
      </w:pPr>
      <w:r>
        <w:t>3.1 方案确定</w:t>
      </w:r>
    </w:p>
    <w:p>
      <w:pPr>
        <w:pStyle w:val="BodyText"/>
        <w:keepNext w:val="0"/>
        <w:keepLines w:val="0"/>
        <w:widowControl w:val="0"/>
        <w:spacing w:before="0" w:after="120" w:line="288" w:lineRule="auto"/>
        <w:ind w:firstLine="420"/>
      </w:pPr>
      <w:r>
        <w:rPr>
          <w:rFonts w:ascii="Songti SC" w:hAnsi="Songti SC" w:eastAsia="Songti SC" w:cs="Songti SC"/>
          <w:b w:val="0"/>
          <w:sz w:val="24"/>
        </w:rPr>
        <w:t>进水BOD₅/TN约3.75（按HJ 576—2010的BOD₅/TN口径；GB 50014—2021第7.6.16条用BOD₅/TKN，因任务书未给TKN，本设计不采用该口径，也不把该筛分比值当作商品碳源投加量），若用全部BOD作为反硝化碳会高估可利用碳。工艺采用A²/O，并预留外加甲醇，以厌氧段释放磷、缺氧段反硝化、好氧段去除有机物和硝化。初沉降低悬浮物和部分BOD；为满足TP=1 mg/L的稳定容量，生物除磷后设FeCl₃强化除磷。</w:t>
      </w:r>
    </w:p>
    <w:p>
      <w:pPr>
        <w:pStyle w:val="BodyText"/>
        <w:keepNext w:val="0"/>
        <w:keepLines w:val="0"/>
        <w:widowControl w:val="0"/>
        <w:spacing w:before="0" w:after="120" w:line="288" w:lineRule="auto"/>
        <w:ind w:firstLine="420"/>
      </w:pPr>
      <w:r>
        <w:rPr>
          <w:rFonts w:ascii="Songti SC" w:hAnsi="Songti SC" w:eastAsia="Songti SC" w:cs="Songti SC"/>
          <w:b w:val="0"/>
          <w:sz w:val="24"/>
        </w:rPr>
        <w:t>水线设两条前处理线、4座初沉池、4个A²/O系列和8座二沉池。进水井设4格、每格1台泵，全厂4台同型潜污泵按3用1备运行（平均日运行2台、最高时运行3台）。接触消毒和计量构成出水终点，药剂剂量由实际消毒需求试验确定。</w:t>
      </w:r>
    </w:p>
    <w:p>
      <w:pPr>
        <w:pStyle w:val="BodyText"/>
        <w:keepNext w:val="0"/>
        <w:keepLines w:val="0"/>
        <w:widowControl w:val="0"/>
        <w:spacing w:before="0" w:after="120" w:line="288" w:lineRule="auto"/>
        <w:ind w:firstLine="420"/>
      </w:pPr>
      <w:r>
        <w:rPr>
          <w:rFonts w:ascii="Songti SC" w:hAnsi="Songti SC" w:eastAsia="Songti SC" w:cs="Songti SC"/>
          <w:b w:val="0"/>
          <w:sz w:val="24"/>
        </w:rPr>
        <w:t>工艺比选与选择理由：A²/O在同一污泥系统内串联厌氧、缺氧、好氧区，可同时完成有机物去除、硝化和反硝化，并借厌氧释磷—好氧吸磷实现生物除磷，流程短、运行成熟、污泥产量相对低，适合本工程BOD₅/TN约3.75、需同步脱氮除磷的城市污水。其局限是进水碳源不足时反硝化受限、生物除磷受碳源和硝酸盐竞争影响：本设计以初沉池适度去除SS和部分BOD保留可生化碳、预留甲醇外加碳源、并在生物除磷后串接FeCl₃化学除磷作补充措施。若改用氧化沟或SBR，占地、设备和控制复杂度在本规模下不占优，故确定A²/O方案。回流去向见流程图：混合液内回流自好氧末端返回缺氧区，回流污泥自二沉池返回厌氧区，剩余污泥排至污泥处理边界。</w:t>
      </w:r>
    </w:p>
    <w:p>
      <w:pPr>
        <w:keepNext/>
        <w:keepLines w:val="0"/>
        <w:jc w:val="center"/>
      </w:pPr>
      <w:r>
        <w:drawing>
          <wp:inline xmlns:a="http://schemas.openxmlformats.org/drawingml/2006/main" xmlns:pic="http://schemas.openxmlformats.org/drawingml/2006/picture">
            <wp:extent cx="5715000" cy="2857500"/>
            <wp:docPr id="1" name="Picture 1"/>
            <wp:cNvGraphicFramePr>
              <a:graphicFrameLocks noChangeAspect="1"/>
            </wp:cNvGraphicFramePr>
            <a:graphic>
              <a:graphicData uri="http://schemas.openxmlformats.org/drawingml/2006/picture">
                <pic:pic>
                  <pic:nvPicPr>
                    <pic:cNvPr id="0" name="01_process_flow.png"/>
                    <pic:cNvPicPr/>
                  </pic:nvPicPr>
                  <pic:blipFill>
                    <a:blip r:embed="rId10"/>
                    <a:stretch>
                      <a:fillRect/>
                    </a:stretch>
                  </pic:blipFill>
                  <pic:spPr>
                    <a:xfrm>
                      <a:off x="0" y="0"/>
                      <a:ext cx="5715000" cy="2857500"/>
                    </a:xfrm>
                    <a:prstGeom prst="rect"/>
                  </pic:spPr>
                </pic:pic>
              </a:graphicData>
            </a:graphic>
          </wp:inline>
        </w:drawing>
      </w:r>
    </w:p>
    <w:p>
      <w:pPr>
        <w:keepNext w:val="0"/>
        <w:keepLines w:val="0"/>
        <w:widowControl w:val="0"/>
        <w:spacing w:before="0" w:after="120" w:line="288" w:lineRule="auto"/>
        <w:jc w:val="center"/>
      </w:pPr>
      <w:r>
        <w:rPr>
          <w:rFonts w:ascii="Songti SC" w:hAnsi="Songti SC" w:eastAsia="Songti SC" w:cs="Songti SC"/>
          <w:b w:val="0"/>
          <w:sz w:val="21"/>
        </w:rPr>
        <w:t>图3-1 水线工艺流程及回流、排泥接口</w:t>
      </w:r>
    </w:p>
    <w:p>
      <w:pPr>
        <w:pStyle w:val="BodyText"/>
        <w:keepNext w:val="0"/>
        <w:keepLines w:val="0"/>
        <w:widowControl w:val="0"/>
        <w:spacing w:before="0" w:after="120" w:line="288" w:lineRule="auto"/>
        <w:ind w:firstLine="420"/>
      </w:pPr>
      <w:r>
        <w:rPr>
          <w:rFonts w:ascii="Songti SC" w:hAnsi="Songti SC" w:eastAsia="Songti SC" w:cs="Songti SC"/>
          <w:b w:val="0"/>
          <w:sz w:val="24"/>
        </w:rPr>
        <w:t>流程按一次提升后重力流组织：污水经粗格栅、进水井提升、细格栅、曝气沉砂池、初沉池进入A²/O生物池，再经二沉池、接触消毒与计量排出。图中污泥接口仅表示回流污泥、剩余污泥和化学固体的计算边界，浓缩、消化、脱水等独立污泥路线不在本课程设计范围。</w:t>
      </w:r>
    </w:p>
    <w:p>
      <w:pPr>
        <w:pStyle w:val="Heading2"/>
        <w:keepNext/>
        <w:keepLines w:val="0"/>
      </w:pPr>
      <w:r>
        <w:t>3.2 主要设计假设</w:t>
      </w:r>
    </w:p>
    <w:p>
      <w:pPr>
        <w:keepNext/>
        <w:keepLines w:val="0"/>
        <w:widowControl w:val="0"/>
        <w:spacing w:before="0" w:after="120" w:line="288" w:lineRule="auto"/>
        <w:jc w:val="center"/>
      </w:pPr>
      <w:r>
        <w:rPr>
          <w:rFonts w:ascii="Songti SC" w:hAnsi="Songti SC" w:eastAsia="Songti SC" w:cs="Songti SC"/>
          <w:b w:val="0"/>
          <w:sz w:val="21"/>
        </w:rPr>
        <w:t>表3-1 项目、采用值汇总</w:t>
      </w:r>
    </w:p>
    <w:tbl>
      <w:tblPr>
        <w:tblW w:type="auto" w:w="0"/>
        <w:jc w:val="center"/>
        <w:tblLayout w:type="fixed"/>
        <w:tblLook w:firstColumn="1" w:firstRow="1" w:lastColumn="0" w:lastRow="0" w:noHBand="0" w:noVBand="1" w:val="04A0"/>
      </w:tblPr>
      <w:tblGrid>
        <w:gridCol w:w="3081"/>
        <w:gridCol w:w="3081"/>
        <w:gridCol w:w="3081"/>
      </w:tblGrid>
      <w:tr>
        <w:trPr>
          <w:tblHeader w:val="true"/>
          <w:cantSplit/>
        </w:trPr>
        <w:tc>
          <w:tcPr>
            <w:tcW w:type="dxa" w:w="1701"/>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项目</w:t>
            </w:r>
          </w:p>
        </w:tc>
        <w:tc>
          <w:tcPr>
            <w:tcW w:type="dxa" w:w="2381"/>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采用值</w:t>
            </w:r>
          </w:p>
        </w:tc>
        <w:tc>
          <w:tcPr>
            <w:tcW w:type="dxa" w:w="4082"/>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说明</w:t>
            </w:r>
          </w:p>
        </w:tc>
      </w:tr>
      <w:tr>
        <w:trPr>
          <w:cantSplit/>
        </w:trPr>
        <w:tc>
          <w:tcPr>
            <w:tcW w:type="dxa" w:w="170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冬季计算温度</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15℃</w:t>
            </w:r>
          </w:p>
        </w:tc>
        <w:tc>
          <w:tcPr>
            <w:tcW w:type="dxa" w:w="408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任务书冬季平均温度；不代替极端低温连续记录</w:t>
            </w:r>
          </w:p>
        </w:tc>
      </w:tr>
      <w:tr>
        <w:trPr>
          <w:cantSplit/>
        </w:trPr>
        <w:tc>
          <w:tcPr>
            <w:tcW w:type="dxa" w:w="170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初沉去除</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BOD₅ 25%；SS 50%；TP 7.5%</w:t>
            </w:r>
          </w:p>
        </w:tc>
        <w:tc>
          <w:tcPr>
            <w:tcW w:type="dxa" w:w="408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课程选值；TN不扣除，形成脱氮容量上界</w:t>
            </w:r>
          </w:p>
        </w:tc>
      </w:tr>
      <w:tr>
        <w:trPr>
          <w:cantSplit/>
        </w:trPr>
        <w:tc>
          <w:tcPr>
            <w:tcW w:type="dxa" w:w="170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基准MLSS/MLVSS</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3.5 kg/m³；0.75</w:t>
            </w:r>
          </w:p>
        </w:tc>
        <w:tc>
          <w:tcPr>
            <w:tcW w:type="dxa" w:w="408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不含铁盐固体的生物与普通惰性基准库存</w:t>
            </w:r>
          </w:p>
        </w:tc>
      </w:tr>
      <w:tr>
        <w:trPr>
          <w:cantSplit/>
        </w:trPr>
        <w:tc>
          <w:tcPr>
            <w:tcW w:type="dxa" w:w="170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SRT</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20 d</w:t>
            </w:r>
          </w:p>
        </w:tc>
        <w:tc>
          <w:tcPr>
            <w:tcW w:type="dxa" w:w="408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兼顾15℃硝化和固体库存</w:t>
            </w:r>
          </w:p>
        </w:tc>
      </w:tr>
      <w:tr>
        <w:trPr>
          <w:cantSplit/>
        </w:trPr>
        <w:tc>
          <w:tcPr>
            <w:tcW w:type="dxa" w:w="170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RAS/内回流</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0.75/2.50Q</w:t>
            </w:r>
          </w:p>
        </w:tc>
        <w:tc>
          <w:tcPr>
            <w:tcW w:type="dxa" w:w="408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课程设计值，运行按泥位和NOx反馈调整</w:t>
            </w:r>
          </w:p>
        </w:tc>
      </w:tr>
      <w:tr>
        <w:trPr>
          <w:cantSplit/>
        </w:trPr>
        <w:tc>
          <w:tcPr>
            <w:tcW w:type="dxa" w:w="170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外加碳边界</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原水可用反硝化碳贡献取0</w:t>
            </w:r>
          </w:p>
        </w:tc>
        <w:tc>
          <w:tcPr>
            <w:tcW w:type="dxa" w:w="408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用于设备容量，不代表正常运行必然全量投加</w:t>
            </w:r>
          </w:p>
        </w:tc>
      </w:tr>
    </w:tbl>
    <w:p>
      <w:pPr>
        <w:spacing w:after="20"/>
      </w:pPr>
    </w:p>
    <w:p>
      <w:pPr>
        <w:pStyle w:val="Heading2"/>
        <w:keepNext/>
        <w:keepLines w:val="0"/>
      </w:pPr>
      <w:r>
        <w:t>3.3 统一设计参数与数据属性</w:t>
      </w:r>
    </w:p>
    <w:p>
      <w:pPr>
        <w:pStyle w:val="BodyText"/>
        <w:keepNext w:val="0"/>
        <w:keepLines w:val="0"/>
        <w:widowControl w:val="0"/>
        <w:spacing w:before="0" w:after="120" w:line="288" w:lineRule="auto"/>
        <w:ind w:firstLine="420"/>
      </w:pPr>
      <w:r>
        <w:rPr>
          <w:rFonts w:ascii="Songti SC" w:hAnsi="Songti SC" w:eastAsia="Songti SC" w:cs="Songti SC"/>
          <w:b w:val="0"/>
          <w:sz w:val="24"/>
        </w:rPr>
        <w:t>为避免把题设数据、现行标准口径、工程假定和待补数据混用，现将主要设计参数及其来源与数据属性汇总如下。标注“待补数据”的项目在获得实测、试验或厂家资料后须复核相应计算。</w:t>
      </w:r>
    </w:p>
    <w:p>
      <w:pPr>
        <w:keepNext/>
        <w:keepLines w:val="0"/>
        <w:widowControl w:val="0"/>
        <w:spacing w:before="0" w:after="120" w:line="288" w:lineRule="auto"/>
        <w:jc w:val="center"/>
      </w:pPr>
      <w:r>
        <w:rPr>
          <w:rFonts w:ascii="Songti SC" w:hAnsi="Songti SC" w:eastAsia="Songti SC" w:cs="Songti SC"/>
          <w:b w:val="0"/>
          <w:sz w:val="21"/>
        </w:rPr>
        <w:t>表3-2 参数、采用值汇总</w:t>
      </w:r>
    </w:p>
    <w:tbl>
      <w:tblPr>
        <w:tblW w:type="auto" w:w="0"/>
        <w:jc w:val="center"/>
        <w:tblLayout w:type="fixed"/>
        <w:tblLook w:firstColumn="1" w:firstRow="1" w:lastColumn="0" w:lastRow="0" w:noHBand="0" w:noVBand="1" w:val="04A0"/>
      </w:tblPr>
      <w:tblGrid>
        <w:gridCol w:w="2310"/>
        <w:gridCol w:w="2310"/>
        <w:gridCol w:w="2310"/>
        <w:gridCol w:w="2310"/>
      </w:tblGrid>
      <w:tr>
        <w:trPr>
          <w:tblHeader w:val="true"/>
          <w:cantSplit/>
        </w:trPr>
        <w:tc>
          <w:tcPr>
            <w:tcW w:type="dxa" w:w="2041"/>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8"/>
              </w:rPr>
              <w:t>参数</w:t>
            </w:r>
          </w:p>
        </w:tc>
        <w:tc>
          <w:tcPr>
            <w:tcW w:type="dxa" w:w="2494"/>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8"/>
              </w:rPr>
              <w:t>采用值</w:t>
            </w:r>
          </w:p>
        </w:tc>
        <w:tc>
          <w:tcPr>
            <w:tcW w:type="dxa" w:w="2948"/>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8"/>
              </w:rPr>
              <w:t>来源</w:t>
            </w:r>
          </w:p>
        </w:tc>
        <w:tc>
          <w:tcPr>
            <w:tcW w:type="dxa" w:w="1474"/>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8"/>
              </w:rPr>
              <w:t>数据属性</w:t>
            </w:r>
          </w:p>
        </w:tc>
      </w:tr>
      <w:tr>
        <w:trPr>
          <w:cantSplit/>
        </w:trPr>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设计人口</w:t>
            </w:r>
          </w:p>
        </w:tc>
        <w:tc>
          <w:tcPr>
            <w:tcW w:type="dxa" w:w="249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600000 人</w:t>
            </w:r>
          </w:p>
        </w:tc>
        <w:tc>
          <w:tcPr>
            <w:tcW w:type="dxa" w:w="294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设计任务书6(2)</w:t>
            </w:r>
          </w:p>
        </w:tc>
        <w:tc>
          <w:tcPr>
            <w:tcW w:type="dxa" w:w="147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题设原始数据</w:t>
            </w:r>
          </w:p>
        </w:tc>
      </w:tr>
      <w:tr>
        <w:trPr>
          <w:cantSplit/>
        </w:trPr>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人均排水量</w:t>
            </w:r>
          </w:p>
        </w:tc>
        <w:tc>
          <w:tcPr>
            <w:tcW w:type="dxa" w:w="249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180 L/(人·d)</w:t>
            </w:r>
          </w:p>
        </w:tc>
        <w:tc>
          <w:tcPr>
            <w:tcW w:type="dxa" w:w="294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设计任务书6(2)，原文为排水量</w:t>
            </w:r>
          </w:p>
        </w:tc>
        <w:tc>
          <w:tcPr>
            <w:tcW w:type="dxa" w:w="147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题设原始数据</w:t>
            </w:r>
          </w:p>
        </w:tc>
      </w:tr>
      <w:tr>
        <w:trPr>
          <w:cantSplit/>
        </w:trPr>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平均日流量</w:t>
            </w:r>
          </w:p>
        </w:tc>
        <w:tc>
          <w:tcPr>
            <w:tcW w:type="dxa" w:w="249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108000 m³/d；4500 m³/h；1.25 m³/s</w:t>
            </w:r>
          </w:p>
        </w:tc>
        <w:tc>
          <w:tcPr>
            <w:tcW w:type="dxa" w:w="294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由人口×人均排水量计算</w:t>
            </w:r>
          </w:p>
        </w:tc>
        <w:tc>
          <w:tcPr>
            <w:tcW w:type="dxa" w:w="147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已通过口径</w:t>
            </w:r>
          </w:p>
        </w:tc>
      </w:tr>
      <w:tr>
        <w:trPr>
          <w:cantSplit/>
        </w:trPr>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总变化系数Kz</w:t>
            </w:r>
          </w:p>
        </w:tc>
        <w:tc>
          <w:tcPr>
            <w:tcW w:type="dxa" w:w="249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1.50</w:t>
            </w:r>
          </w:p>
        </w:tc>
        <w:tc>
          <w:tcPr>
            <w:tcW w:type="dxa" w:w="294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GB 50014—2021第4.1.4条及表4.1.15；用户确认取1.5</w:t>
            </w:r>
          </w:p>
        </w:tc>
        <w:tc>
          <w:tcPr>
            <w:tcW w:type="dxa" w:w="147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现行标准＋用户口径</w:t>
            </w:r>
          </w:p>
        </w:tc>
      </w:tr>
      <w:tr>
        <w:trPr>
          <w:cantSplit/>
        </w:trPr>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最高时流量</w:t>
            </w:r>
          </w:p>
        </w:tc>
        <w:tc>
          <w:tcPr>
            <w:tcW w:type="dxa" w:w="249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6750 m³/h；1.875 m³/s</w:t>
            </w:r>
          </w:p>
        </w:tc>
        <w:tc>
          <w:tcPr>
            <w:tcW w:type="dxa" w:w="294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Kz×平均时流量</w:t>
            </w:r>
          </w:p>
        </w:tc>
        <w:tc>
          <w:tcPr>
            <w:tcW w:type="dxa" w:w="147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已通过口径</w:t>
            </w:r>
          </w:p>
        </w:tc>
      </w:tr>
      <w:tr>
        <w:trPr>
          <w:cantSplit/>
        </w:trPr>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出水目标</w:t>
            </w:r>
          </w:p>
        </w:tc>
        <w:tc>
          <w:tcPr>
            <w:tcW w:type="dxa" w:w="249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BOD₅20、SS20、TN20、NH₄⁺-N8、TP1 mg/L</w:t>
            </w:r>
          </w:p>
        </w:tc>
        <w:tc>
          <w:tcPr>
            <w:tcW w:type="dxa" w:w="294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设计任务书6(2)</w:t>
            </w:r>
          </w:p>
        </w:tc>
        <w:tc>
          <w:tcPr>
            <w:tcW w:type="dxa" w:w="147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题设原始数据</w:t>
            </w:r>
          </w:p>
        </w:tc>
      </w:tr>
      <w:tr>
        <w:trPr>
          <w:cantSplit/>
        </w:trPr>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冬季/夏季水温</w:t>
            </w:r>
          </w:p>
        </w:tc>
        <w:tc>
          <w:tcPr>
            <w:tcW w:type="dxa" w:w="249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15 ℃ / 25 ℃</w:t>
            </w:r>
          </w:p>
        </w:tc>
        <w:tc>
          <w:tcPr>
            <w:tcW w:type="dxa" w:w="294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设计任务书6(2)</w:t>
            </w:r>
          </w:p>
        </w:tc>
        <w:tc>
          <w:tcPr>
            <w:tcW w:type="dxa" w:w="147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题设原始数据</w:t>
            </w:r>
          </w:p>
        </w:tc>
      </w:tr>
      <w:tr>
        <w:trPr>
          <w:cantSplit/>
        </w:trPr>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厂坪标高</w:t>
            </w:r>
          </w:p>
        </w:tc>
        <w:tc>
          <w:tcPr>
            <w:tcW w:type="dxa" w:w="249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27.30 m</w:t>
            </w:r>
          </w:p>
        </w:tc>
        <w:tc>
          <w:tcPr>
            <w:tcW w:type="dxa" w:w="294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设计任务书6(2)“厂区地形平坦，标高27.3m”</w:t>
            </w:r>
          </w:p>
        </w:tc>
        <w:tc>
          <w:tcPr>
            <w:tcW w:type="dxa" w:w="147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题设原始数据</w:t>
            </w:r>
          </w:p>
        </w:tc>
      </w:tr>
      <w:tr>
        <w:trPr>
          <w:cantSplit/>
        </w:trPr>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最高洪水位</w:t>
            </w:r>
          </w:p>
        </w:tc>
        <w:tc>
          <w:tcPr>
            <w:tcW w:type="dxa" w:w="249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25.00 m（另有18+0.5M公式）</w:t>
            </w:r>
          </w:p>
        </w:tc>
        <w:tc>
          <w:tcPr>
            <w:tcW w:type="dxa" w:w="294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设计任务书6(2)</w:t>
            </w:r>
          </w:p>
        </w:tc>
        <w:tc>
          <w:tcPr>
            <w:tcW w:type="dxa" w:w="147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题设原始数据／待用组号核对</w:t>
            </w:r>
          </w:p>
        </w:tc>
      </w:tr>
      <w:tr>
        <w:trPr>
          <w:cantSplit/>
        </w:trPr>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初沉去除率</w:t>
            </w:r>
          </w:p>
        </w:tc>
        <w:tc>
          <w:tcPr>
            <w:tcW w:type="dxa" w:w="249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BOD₅25%、SS50%、TP7.5%</w:t>
            </w:r>
          </w:p>
        </w:tc>
        <w:tc>
          <w:tcPr>
            <w:tcW w:type="dxa" w:w="294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课程设计选值</w:t>
            </w:r>
          </w:p>
        </w:tc>
        <w:tc>
          <w:tcPr>
            <w:tcW w:type="dxa" w:w="147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工程假定</w:t>
            </w:r>
          </w:p>
        </w:tc>
      </w:tr>
      <w:tr>
        <w:trPr>
          <w:cantSplit/>
        </w:trPr>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基准MLSS/MLVSS比</w:t>
            </w:r>
          </w:p>
        </w:tc>
        <w:tc>
          <w:tcPr>
            <w:tcW w:type="dxa" w:w="249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3.5 kg/m³ / 0.75</w:t>
            </w:r>
          </w:p>
        </w:tc>
        <w:tc>
          <w:tcPr>
            <w:tcW w:type="dxa" w:w="294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课程设计选值</w:t>
            </w:r>
          </w:p>
        </w:tc>
        <w:tc>
          <w:tcPr>
            <w:tcW w:type="dxa" w:w="147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工程假定</w:t>
            </w:r>
          </w:p>
        </w:tc>
      </w:tr>
      <w:tr>
        <w:trPr>
          <w:cantSplit/>
        </w:trPr>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系统SRT</w:t>
            </w:r>
          </w:p>
        </w:tc>
        <w:tc>
          <w:tcPr>
            <w:tcW w:type="dxa" w:w="249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20 d</w:t>
            </w:r>
          </w:p>
        </w:tc>
        <w:tc>
          <w:tcPr>
            <w:tcW w:type="dxa" w:w="294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课程设计选值</w:t>
            </w:r>
          </w:p>
        </w:tc>
        <w:tc>
          <w:tcPr>
            <w:tcW w:type="dxa" w:w="147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工程假定</w:t>
            </w:r>
          </w:p>
        </w:tc>
      </w:tr>
      <w:tr>
        <w:trPr>
          <w:cantSplit/>
        </w:trPr>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RAS/混合液内回流比</w:t>
            </w:r>
          </w:p>
        </w:tc>
        <w:tc>
          <w:tcPr>
            <w:tcW w:type="dxa" w:w="249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0.75 / 2.50 Q</w:t>
            </w:r>
          </w:p>
        </w:tc>
        <w:tc>
          <w:tcPr>
            <w:tcW w:type="dxa" w:w="294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课程设计选值</w:t>
            </w:r>
          </w:p>
        </w:tc>
        <w:tc>
          <w:tcPr>
            <w:tcW w:type="dxa" w:w="147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工程假定</w:t>
            </w:r>
          </w:p>
        </w:tc>
      </w:tr>
      <w:tr>
        <w:trPr>
          <w:cantSplit/>
        </w:trPr>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甲醇异养产率Y</w:t>
            </w:r>
          </w:p>
        </w:tc>
        <w:tc>
          <w:tcPr>
            <w:tcW w:type="dxa" w:w="249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0.30 gVSS/gCOD</w:t>
            </w:r>
          </w:p>
        </w:tc>
        <w:tc>
          <w:tcPr>
            <w:tcW w:type="dxa" w:w="294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US EPA/600/R-10/100式4-34</w:t>
            </w:r>
          </w:p>
        </w:tc>
        <w:tc>
          <w:tcPr>
            <w:tcW w:type="dxa" w:w="147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技术参考</w:t>
            </w:r>
          </w:p>
        </w:tc>
      </w:tr>
      <w:tr>
        <w:trPr>
          <w:cantSplit/>
        </w:trPr>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进水碱度边界</w:t>
            </w:r>
          </w:p>
        </w:tc>
        <w:tc>
          <w:tcPr>
            <w:tcW w:type="dxa" w:w="249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100 mg/L（NaHCO₃情景下限）</w:t>
            </w:r>
          </w:p>
        </w:tc>
        <w:tc>
          <w:tcPr>
            <w:tcW w:type="dxa" w:w="294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课程设备接口假定</w:t>
            </w:r>
          </w:p>
        </w:tc>
        <w:tc>
          <w:tcPr>
            <w:tcW w:type="dxa" w:w="147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工程假定／待补数据</w:t>
            </w:r>
          </w:p>
        </w:tc>
      </w:tr>
      <w:tr>
        <w:trPr>
          <w:cantSplit/>
        </w:trPr>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进水COD、TKN/NH₄-N、VFA</w:t>
            </w:r>
          </w:p>
        </w:tc>
        <w:tc>
          <w:tcPr>
            <w:tcW w:type="dxa" w:w="249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未给定</w:t>
            </w:r>
          </w:p>
        </w:tc>
        <w:tc>
          <w:tcPr>
            <w:tcW w:type="dxa" w:w="294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设计任务书未提供</w:t>
            </w:r>
          </w:p>
        </w:tc>
        <w:tc>
          <w:tcPr>
            <w:tcW w:type="dxa" w:w="147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待补数据</w:t>
            </w:r>
          </w:p>
        </w:tc>
      </w:tr>
      <w:tr>
        <w:trPr>
          <w:cantSplit/>
        </w:trPr>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进水VSS/ISS、沉降试验</w:t>
            </w:r>
          </w:p>
        </w:tc>
        <w:tc>
          <w:tcPr>
            <w:tcW w:type="dxa" w:w="249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未给定</w:t>
            </w:r>
          </w:p>
        </w:tc>
        <w:tc>
          <w:tcPr>
            <w:tcW w:type="dxa" w:w="294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设计任务书未提供</w:t>
            </w:r>
          </w:p>
        </w:tc>
        <w:tc>
          <w:tcPr>
            <w:tcW w:type="dxa" w:w="147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待补数据</w:t>
            </w:r>
          </w:p>
        </w:tc>
      </w:tr>
    </w:tbl>
    <w:p>
      <w:pPr>
        <w:spacing w:after="20"/>
      </w:pPr>
    </w:p>
    <w:p>
      <w:pPr>
        <w:pStyle w:val="Heading1"/>
        <w:keepNext/>
        <w:keepLines w:val="0"/>
      </w:pPr>
      <w:r>
        <w:t>4 格栅</w:t>
      </w:r>
    </w:p>
    <w:p>
      <w:pPr>
        <w:pStyle w:val="Heading2"/>
        <w:keepNext/>
        <w:keepLines w:val="0"/>
      </w:pPr>
      <w:r>
        <w:t>4.1 布置与流量</w:t>
      </w:r>
    </w:p>
    <w:p>
      <w:pPr>
        <w:pStyle w:val="BodyText"/>
        <w:keepNext w:val="0"/>
        <w:keepLines w:val="0"/>
        <w:widowControl w:val="0"/>
        <w:spacing w:before="0" w:after="120" w:line="288" w:lineRule="auto"/>
        <w:ind w:firstLine="420"/>
      </w:pPr>
      <w:r>
        <w:rPr>
          <w:rFonts w:ascii="Songti SC" w:hAnsi="Songti SC" w:eastAsia="Songti SC" w:cs="Songti SC"/>
          <w:b w:val="0"/>
          <w:sz w:val="24"/>
        </w:rPr>
        <w:t>全厂最高时流量6750 m³/h，由两条前处理水线并联承担，每条水线3375 m³/h=0.9375 m³/s；每条水线设1台格栅，故粗、细格栅单台设计流量均为0.9375 m³/s，每级共2台。两级均设2条水线正常运行，单条检修时另一条短时承担全部流量，另通过闸门提供隔离和超越条件。</w:t>
      </w:r>
    </w:p>
    <w:p>
      <w:pPr>
        <w:pStyle w:val="Heading2"/>
        <w:keepNext/>
        <w:keepLines w:val="0"/>
      </w:pPr>
      <w:r>
        <w:t>4.2 过栅流速和堵塞工况</w:t>
      </w:r>
    </w:p>
    <w:p>
      <w:pPr>
        <w:pStyle w:val="BodyText"/>
        <w:keepNext w:val="0"/>
        <w:keepLines w:val="0"/>
        <w:widowControl w:val="0"/>
        <w:spacing w:before="0" w:after="120" w:line="288" w:lineRule="auto"/>
        <w:ind w:firstLine="420"/>
      </w:pPr>
      <w:r>
        <w:rPr>
          <w:rFonts w:ascii="Songti SC" w:hAnsi="Songti SC" w:eastAsia="Songti SC" w:cs="Songti SC"/>
          <w:b w:val="0"/>
          <w:sz w:val="24"/>
        </w:rPr>
        <w:t>格栅倾角α=60°，正常水深h=0.80 m。以净空隙数n和栅隙b计算有效过水面积，倾斜修正采用√sinα：</w:t>
      </w:r>
    </w:p>
    <w:p>
      <w:pPr>
        <w:keepNext w:val="0"/>
        <w:keepLines w:val="0"/>
        <w:widowControl w:val="0"/>
        <w:spacing w:before="0" w:after="100" w:line="288" w:lineRule="auto"/>
        <w:jc w:val="center"/>
      </w:pPr>
      <m:oMathPara>
        <m:oMath>
          <m:r>
            <m:t>v=Q√(sinα)/(nbh)</m:t>
          </m:r>
        </m:oMath>
      </m:oMathPara>
    </w:p>
    <w:p>
      <w:pPr>
        <w:keepNext w:val="0"/>
        <w:keepLines w:val="0"/>
        <w:widowControl w:val="0"/>
        <w:spacing w:before="0" w:after="100" w:line="288" w:lineRule="auto"/>
        <w:jc w:val="center"/>
      </w:pPr>
      <m:oMathPara>
        <m:oMath>
          <m:r>
            <m:t>h25%=Q√(sinα)/(0.75nb×1.0)</m:t>
          </m:r>
        </m:oMath>
      </m:oMathPara>
    </w:p>
    <w:p>
      <w:pPr>
        <w:keepNext/>
        <w:keepLines w:val="0"/>
        <w:widowControl w:val="0"/>
        <w:spacing w:before="0" w:after="120" w:line="288" w:lineRule="auto"/>
        <w:jc w:val="center"/>
      </w:pPr>
      <w:r>
        <w:rPr>
          <w:rFonts w:ascii="Songti SC" w:hAnsi="Songti SC" w:eastAsia="Songti SC" w:cs="Songti SC"/>
          <w:b w:val="0"/>
          <w:sz w:val="21"/>
        </w:rPr>
        <w:t>表4-1 项目、粗格栅汇总</w:t>
      </w:r>
    </w:p>
    <w:tbl>
      <w:tblPr>
        <w:tblW w:type="auto" w:w="0"/>
        <w:jc w:val="center"/>
        <w:tblLayout w:type="fixed"/>
        <w:tblLook w:firstColumn="1" w:firstRow="1" w:lastColumn="0" w:lastRow="0" w:noHBand="0" w:noVBand="1" w:val="04A0"/>
      </w:tblPr>
      <w:tblGrid>
        <w:gridCol w:w="3081"/>
        <w:gridCol w:w="3081"/>
        <w:gridCol w:w="3081"/>
      </w:tblGrid>
      <w:tr>
        <w:trPr>
          <w:tblHeader w:val="true"/>
          <w:cantSplit/>
        </w:trPr>
        <w:tc>
          <w:tcPr>
            <w:tcW w:type="dxa" w:w="2948"/>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项目</w:t>
            </w:r>
          </w:p>
        </w:tc>
        <w:tc>
          <w:tcPr>
            <w:tcW w:type="dxa" w:w="2835"/>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粗格栅</w:t>
            </w:r>
          </w:p>
        </w:tc>
        <w:tc>
          <w:tcPr>
            <w:tcW w:type="dxa" w:w="2835"/>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细格栅</w:t>
            </w:r>
          </w:p>
        </w:tc>
      </w:tr>
      <w:tr>
        <w:trPr>
          <w:cantSplit/>
        </w:trPr>
        <w:tc>
          <w:tcPr>
            <w:tcW w:type="dxa" w:w="294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栅隙/净空隙数</w:t>
            </w:r>
          </w:p>
        </w:tc>
        <w:tc>
          <w:tcPr>
            <w:tcW w:type="dxa" w:w="283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25 mm / 48</w:t>
            </w:r>
          </w:p>
        </w:tc>
        <w:tc>
          <w:tcPr>
            <w:tcW w:type="dxa" w:w="283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10 mm / 122</w:t>
            </w:r>
          </w:p>
        </w:tc>
      </w:tr>
      <w:tr>
        <w:trPr>
          <w:cantSplit/>
        </w:trPr>
        <w:tc>
          <w:tcPr>
            <w:tcW w:type="dxa" w:w="294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渠道净宽</w:t>
            </w:r>
          </w:p>
        </w:tc>
        <w:tc>
          <w:tcPr>
            <w:tcW w:type="dxa" w:w="283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1.75 m</w:t>
            </w:r>
          </w:p>
        </w:tc>
        <w:tc>
          <w:tcPr>
            <w:tcW w:type="dxa" w:w="283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2.10 m</w:t>
            </w:r>
          </w:p>
        </w:tc>
      </w:tr>
      <w:tr>
        <w:trPr>
          <w:cantSplit/>
        </w:trPr>
        <w:tc>
          <w:tcPr>
            <w:tcW w:type="dxa" w:w="294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计算流量</w:t>
            </w:r>
          </w:p>
        </w:tc>
        <w:tc>
          <w:tcPr>
            <w:tcW w:type="dxa" w:w="283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0.9375 m³/s</w:t>
            </w:r>
          </w:p>
        </w:tc>
        <w:tc>
          <w:tcPr>
            <w:tcW w:type="dxa" w:w="283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0.9375 m³/s</w:t>
            </w:r>
          </w:p>
        </w:tc>
      </w:tr>
      <w:tr>
        <w:trPr>
          <w:cantSplit/>
        </w:trPr>
        <w:tc>
          <w:tcPr>
            <w:tcW w:type="dxa" w:w="294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正常流速</w:t>
            </w:r>
          </w:p>
        </w:tc>
        <w:tc>
          <w:tcPr>
            <w:tcW w:type="dxa" w:w="283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0.909 m/s</w:t>
            </w:r>
          </w:p>
        </w:tc>
        <w:tc>
          <w:tcPr>
            <w:tcW w:type="dxa" w:w="283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0.894 m/s</w:t>
            </w:r>
          </w:p>
        </w:tc>
      </w:tr>
      <w:tr>
        <w:trPr>
          <w:cantSplit/>
        </w:trPr>
        <w:tc>
          <w:tcPr>
            <w:tcW w:type="dxa" w:w="294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25%堵塞、v=1.0所需水深</w:t>
            </w:r>
          </w:p>
        </w:tc>
        <w:tc>
          <w:tcPr>
            <w:tcW w:type="dxa" w:w="283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0.969 m</w:t>
            </w:r>
          </w:p>
        </w:tc>
        <w:tc>
          <w:tcPr>
            <w:tcW w:type="dxa" w:w="283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0.953 m</w:t>
            </w:r>
          </w:p>
        </w:tc>
      </w:tr>
      <w:tr>
        <w:trPr>
          <w:cantSplit/>
        </w:trPr>
        <w:tc>
          <w:tcPr>
            <w:tcW w:type="dxa" w:w="294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最大运行水深</w:t>
            </w:r>
          </w:p>
        </w:tc>
        <w:tc>
          <w:tcPr>
            <w:tcW w:type="dxa" w:w="283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1.00 m</w:t>
            </w:r>
          </w:p>
        </w:tc>
        <w:tc>
          <w:tcPr>
            <w:tcW w:type="dxa" w:w="283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1.00 m</w:t>
            </w:r>
          </w:p>
        </w:tc>
      </w:tr>
    </w:tbl>
    <w:p>
      <w:pPr>
        <w:spacing w:after="20"/>
      </w:pPr>
    </w:p>
    <w:p>
      <w:pPr>
        <w:pStyle w:val="BodyText"/>
        <w:keepNext w:val="0"/>
        <w:keepLines w:val="0"/>
        <w:widowControl w:val="0"/>
        <w:spacing w:before="0" w:after="120" w:line="288" w:lineRule="auto"/>
        <w:ind w:firstLine="420"/>
      </w:pPr>
      <w:r>
        <w:rPr>
          <w:rFonts w:ascii="Songti SC" w:hAnsi="Songti SC" w:eastAsia="Songti SC" w:cs="Songti SC"/>
          <w:b w:val="0"/>
          <w:sz w:val="24"/>
        </w:rPr>
        <w:t>两级正常流速均处于0.6～1.0 m/s控制区间（按GB 50014—2021第6.2节及HJ 576—2010取值）。25%堵塞时所需水深分别0.969 m和0.953 m，小于1.00 m最大运行水深。液位差达到0.15 m时启动机械清渣；该水深用于短时堵塞校核。</w:t>
      </w:r>
    </w:p>
    <w:p>
      <w:pPr>
        <w:pStyle w:val="Heading2"/>
        <w:keepNext/>
        <w:keepLines w:val="0"/>
      </w:pPr>
      <w:r>
        <w:t>4.3 栅条组合、槽长与水头损失</w:t>
      </w:r>
    </w:p>
    <w:p>
      <w:pPr>
        <w:pStyle w:val="BodyText"/>
        <w:keepNext w:val="0"/>
        <w:keepLines w:val="0"/>
        <w:widowControl w:val="0"/>
        <w:spacing w:before="0" w:after="120" w:line="288" w:lineRule="auto"/>
        <w:ind w:firstLine="420"/>
      </w:pPr>
      <w:r>
        <w:rPr>
          <w:rFonts w:ascii="Songti SC" w:hAnsi="Songti SC" w:eastAsia="Songti SC" w:cs="Songti SC"/>
          <w:b w:val="0"/>
          <w:sz w:val="24"/>
        </w:rPr>
        <w:t>粗格栅采用10 mm栅条，细格栅为控制2.10 m槽宽采用7 mm栅条；迎水与背水半圆矩形栅条形状系数β=1.79，渠道渐变角20°。栅条组合宽度B₀=S(n−1)+bn，余宽用于边框与安装间隙。</w:t>
      </w:r>
    </w:p>
    <w:p>
      <w:pPr>
        <w:keepNext w:val="0"/>
        <w:keepLines w:val="0"/>
        <w:widowControl w:val="0"/>
        <w:spacing w:before="0" w:after="100" w:line="288" w:lineRule="auto"/>
        <w:jc w:val="center"/>
      </w:pPr>
      <m:oMathPara>
        <m:oMath>
          <m:r>
            <m:t>l₁=(B−B₁)/(2tan20°)；l₂=l₁/2；L=l₁+l₂+0.5+1.0+1.10/tan60°</m:t>
          </m:r>
        </m:oMath>
      </m:oMathPara>
    </w:p>
    <w:p>
      <w:pPr>
        <w:keepNext w:val="0"/>
        <w:keepLines w:val="0"/>
        <w:widowControl w:val="0"/>
        <w:spacing w:before="0" w:after="100" w:line="288" w:lineRule="auto"/>
        <w:jc w:val="center"/>
      </w:pPr>
      <m:oMathPara>
        <m:oMath>
          <m:r>
            <m:t>ξ=1.79(S/b)^(4/3)；h₀=ξv²sin60°/(2g)；hd=kh₀</m:t>
          </m:r>
        </m:oMath>
      </m:oMathPara>
    </w:p>
    <w:p>
      <w:pPr>
        <w:keepNext/>
        <w:keepLines w:val="0"/>
        <w:widowControl w:val="0"/>
        <w:spacing w:before="0" w:after="120" w:line="288" w:lineRule="auto"/>
        <w:jc w:val="center"/>
      </w:pPr>
      <w:r>
        <w:rPr>
          <w:rFonts w:ascii="Songti SC" w:hAnsi="Songti SC" w:eastAsia="Songti SC" w:cs="Songti SC"/>
          <w:b w:val="0"/>
          <w:sz w:val="21"/>
        </w:rPr>
        <w:t>表4-2 项目、粗格栅汇总</w:t>
      </w:r>
    </w:p>
    <w:tbl>
      <w:tblPr>
        <w:tblW w:type="auto" w:w="0"/>
        <w:jc w:val="center"/>
        <w:tblLayout w:type="fixed"/>
        <w:tblLook w:firstColumn="1" w:firstRow="1" w:lastColumn="0" w:lastRow="0" w:noHBand="0" w:noVBand="1" w:val="04A0"/>
      </w:tblPr>
      <w:tblGrid>
        <w:gridCol w:w="3081"/>
        <w:gridCol w:w="3081"/>
        <w:gridCol w:w="3081"/>
      </w:tblGrid>
      <w:tr>
        <w:trPr>
          <w:tblHeader w:val="true"/>
          <w:cantSplit/>
        </w:trPr>
        <w:tc>
          <w:tcPr>
            <w:tcW w:type="dxa" w:w="2948"/>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9"/>
              </w:rPr>
              <w:t>项目</w:t>
            </w:r>
          </w:p>
        </w:tc>
        <w:tc>
          <w:tcPr>
            <w:tcW w:type="dxa" w:w="2835"/>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9"/>
              </w:rPr>
              <w:t>粗格栅</w:t>
            </w:r>
          </w:p>
        </w:tc>
        <w:tc>
          <w:tcPr>
            <w:tcW w:type="dxa" w:w="2835"/>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9"/>
              </w:rPr>
              <w:t>细格栅</w:t>
            </w:r>
          </w:p>
        </w:tc>
      </w:tr>
      <w:tr>
        <w:trPr>
          <w:cantSplit/>
        </w:trPr>
        <w:tc>
          <w:tcPr>
            <w:tcW w:type="dxa" w:w="294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9"/>
              </w:rPr>
              <w:t>栅条厚度/组合宽度</w:t>
            </w:r>
          </w:p>
        </w:tc>
        <w:tc>
          <w:tcPr>
            <w:tcW w:type="dxa" w:w="283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10mm / 1.670m</w:t>
            </w:r>
          </w:p>
        </w:tc>
        <w:tc>
          <w:tcPr>
            <w:tcW w:type="dxa" w:w="283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7mm / 2.067m</w:t>
            </w:r>
          </w:p>
        </w:tc>
      </w:tr>
      <w:tr>
        <w:trPr>
          <w:cantSplit/>
        </w:trPr>
        <w:tc>
          <w:tcPr>
            <w:tcW w:type="dxa" w:w="294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9"/>
              </w:rPr>
              <w:t>栅前渠宽/流速</w:t>
            </w:r>
          </w:p>
        </w:tc>
        <w:tc>
          <w:tcPr>
            <w:tcW w:type="dxa" w:w="283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1.75m / 0.670m/s</w:t>
            </w:r>
          </w:p>
        </w:tc>
        <w:tc>
          <w:tcPr>
            <w:tcW w:type="dxa" w:w="283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1.70m / 0.689m/s</w:t>
            </w:r>
          </w:p>
        </w:tc>
      </w:tr>
      <w:tr>
        <w:trPr>
          <w:cantSplit/>
        </w:trPr>
        <w:tc>
          <w:tcPr>
            <w:tcW w:type="dxa" w:w="294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9"/>
              </w:rPr>
              <w:t>渐宽/渐缩段</w:t>
            </w:r>
          </w:p>
        </w:tc>
        <w:tc>
          <w:tcPr>
            <w:tcW w:type="dxa" w:w="283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0.000/0.000m</w:t>
            </w:r>
          </w:p>
        </w:tc>
        <w:tc>
          <w:tcPr>
            <w:tcW w:type="dxa" w:w="283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0.549/0.275m</w:t>
            </w:r>
          </w:p>
        </w:tc>
      </w:tr>
      <w:tr>
        <w:trPr>
          <w:cantSplit/>
        </w:trPr>
        <w:tc>
          <w:tcPr>
            <w:tcW w:type="dxa" w:w="294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9"/>
              </w:rPr>
              <w:t>水力总长</w:t>
            </w:r>
          </w:p>
        </w:tc>
        <w:tc>
          <w:tcPr>
            <w:tcW w:type="dxa" w:w="283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2.14m</w:t>
            </w:r>
          </w:p>
        </w:tc>
        <w:tc>
          <w:tcPr>
            <w:tcW w:type="dxa" w:w="283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2.96m</w:t>
            </w:r>
          </w:p>
        </w:tc>
      </w:tr>
      <w:tr>
        <w:trPr>
          <w:cantSplit/>
        </w:trPr>
        <w:tc>
          <w:tcPr>
            <w:tcW w:type="dxa" w:w="294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9"/>
              </w:rPr>
              <w:t>清洁水头损失</w:t>
            </w:r>
          </w:p>
        </w:tc>
        <w:tc>
          <w:tcPr>
            <w:tcW w:type="dxa" w:w="283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0.019m</w:t>
            </w:r>
          </w:p>
        </w:tc>
        <w:tc>
          <w:tcPr>
            <w:tcW w:type="dxa" w:w="283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0.039m</w:t>
            </w:r>
          </w:p>
        </w:tc>
      </w:tr>
      <w:tr>
        <w:trPr>
          <w:cantSplit/>
        </w:trPr>
        <w:tc>
          <w:tcPr>
            <w:tcW w:type="dxa" w:w="294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9"/>
              </w:rPr>
              <w:t>堵塞系数/设计损失</w:t>
            </w:r>
          </w:p>
        </w:tc>
        <w:tc>
          <w:tcPr>
            <w:tcW w:type="dxa" w:w="283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3 / 0.058m</w:t>
            </w:r>
          </w:p>
        </w:tc>
        <w:tc>
          <w:tcPr>
            <w:tcW w:type="dxa" w:w="283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2 / 0.078m</w:t>
            </w:r>
          </w:p>
        </w:tc>
      </w:tr>
    </w:tbl>
    <w:p>
      <w:pPr>
        <w:spacing w:after="20"/>
      </w:pPr>
    </w:p>
    <w:p>
      <w:pPr>
        <w:pStyle w:val="BodyText"/>
        <w:keepNext w:val="0"/>
        <w:keepLines w:val="0"/>
        <w:widowControl w:val="0"/>
        <w:spacing w:before="0" w:after="120" w:line="288" w:lineRule="auto"/>
        <w:ind w:firstLine="420"/>
      </w:pPr>
      <w:r>
        <w:rPr>
          <w:rFonts w:ascii="Songti SC" w:hAnsi="Songti SC" w:eastAsia="Songti SC" w:cs="Songti SC"/>
          <w:b w:val="0"/>
          <w:sz w:val="24"/>
        </w:rPr>
        <w:t>细格栅设计损失0.078 m，小于高程段采用的0.150 m，剩余0.072 m用于设备和局部构造；因此0.15 m是有计算支撑的段落差，不是把预留直接当实算损失。渠壁自渠底高1.50 m，最大运行水深1.00 m时仍满足工作平台高出最高设计水位0.50 m。</w:t>
      </w:r>
    </w:p>
    <w:p>
      <w:pPr>
        <w:pStyle w:val="Heading2"/>
        <w:keepNext/>
        <w:keepLines w:val="0"/>
      </w:pPr>
      <w:r>
        <w:t>4.4 栅渣量与设备接口</w:t>
      </w:r>
    </w:p>
    <w:p>
      <w:pPr>
        <w:keepNext w:val="0"/>
        <w:keepLines w:val="0"/>
        <w:widowControl w:val="0"/>
        <w:spacing w:before="0" w:after="100" w:line="288" w:lineRule="auto"/>
        <w:jc w:val="center"/>
      </w:pPr>
      <m:oMathPara>
        <m:oMath>
          <m:r>
            <m:t>Wc=108000×0.05/1000=5.4 m³/d</m:t>
          </m:r>
        </m:oMath>
      </m:oMathPara>
    </w:p>
    <w:p>
      <w:pPr>
        <w:pStyle w:val="BodyText"/>
        <w:keepNext w:val="0"/>
        <w:keepLines w:val="0"/>
        <w:widowControl w:val="0"/>
        <w:spacing w:before="0" w:after="120" w:line="288" w:lineRule="auto"/>
        <w:ind w:firstLine="420"/>
      </w:pPr>
      <w:r>
        <w:rPr>
          <w:rFonts w:ascii="Songti SC" w:hAnsi="Songti SC" w:eastAsia="Songti SC" w:cs="Songti SC"/>
          <w:b w:val="0"/>
          <w:sz w:val="24"/>
        </w:rPr>
        <w:t>25 mm粗格栅湿栅渣按0.05 m³/10³m³取5.4 m³/d；10 mm细格栅在粗格栅后的增量缺少实测，暂按同值作设备上界。两级合计10.8 m³/d；按湿密度960 kg/m³约10.4 t/d，不是干固体量。两级各设2台机械格栅，配密闭输送压榨；细格栅单台水力能力不小于0.9375 m³/s，具体型号、功率和压榨减容率由厂家数据确定。</w:t>
      </w:r>
    </w:p>
    <w:p>
      <w:pPr>
        <w:pStyle w:val="Heading1"/>
        <w:keepNext/>
        <w:keepLines w:val="0"/>
      </w:pPr>
      <w:r>
        <w:t>5 进水井与提升泵</w:t>
      </w:r>
    </w:p>
    <w:p>
      <w:pPr>
        <w:pStyle w:val="Heading2"/>
        <w:keepNext/>
        <w:keepLines w:val="0"/>
      </w:pPr>
      <w:r>
        <w:t>5.1 四格容积和检修运行</w:t>
      </w:r>
    </w:p>
    <w:p>
      <w:pPr>
        <w:pStyle w:val="BodyText"/>
        <w:keepNext w:val="0"/>
        <w:keepLines w:val="0"/>
        <w:widowControl w:val="0"/>
        <w:spacing w:before="0" w:after="120" w:line="288" w:lineRule="auto"/>
        <w:ind w:firstLine="420"/>
      </w:pPr>
      <w:r>
        <w:rPr>
          <w:rFonts w:ascii="Songti SC" w:hAnsi="Songti SC" w:eastAsia="Songti SC" w:cs="Songti SC"/>
          <w:b w:val="0"/>
          <w:sz w:val="24"/>
        </w:rPr>
        <w:t>进水井设4个可独立隔离的格，每格平面16 m×10 m、调节水深1.20 m、有效容积192 m³；每格布置1个泵位、配1台潜污泵，全厂4台同型泵按3用1备、交替轮值；按来水量以水泵台数调节（平均日2台、最高时3台），不设变频调速装置。采用四格是使格数与水泵台数（3用1备共4台）一一对应，任一格检修隔离时其余3台泵仍具备全厂最高时流量能力。GB 50014—2021第6.3.1条要求集水池有效容积不小于最大一台泵5 min出水量，并要求自动控制时每小时启动次数不超过6次。</w:t>
      </w:r>
    </w:p>
    <w:p>
      <w:pPr>
        <w:keepNext w:val="0"/>
        <w:keepLines w:val="0"/>
        <w:widowControl w:val="0"/>
        <w:spacing w:before="0" w:after="100" w:line="288" w:lineRule="auto"/>
        <w:jc w:val="center"/>
      </w:pPr>
      <m:oMathPara>
        <m:oMath>
          <m:r>
            <m:t>Vmin=0.625×5×60=187.5 m³</m:t>
          </m:r>
        </m:oMath>
      </m:oMathPara>
    </w:p>
    <w:p>
      <w:pPr>
        <w:keepNext w:val="0"/>
        <w:keepLines w:val="0"/>
        <w:widowControl w:val="0"/>
        <w:spacing w:before="0" w:after="100" w:line="288" w:lineRule="auto"/>
        <w:jc w:val="center"/>
      </w:pPr>
      <m:oMathPara>
        <m:oMath>
          <m:r>
            <m:t>Vcell=16×10×1.20=192 m³&gt;187.5 m³</m:t>
          </m:r>
        </m:oMath>
      </m:oMathPara>
    </w:p>
    <w:p>
      <w:pPr>
        <w:keepNext/>
        <w:keepLines w:val="0"/>
        <w:jc w:val="center"/>
      </w:pPr>
      <w:r>
        <w:drawing>
          <wp:inline xmlns:a="http://schemas.openxmlformats.org/drawingml/2006/main" xmlns:pic="http://schemas.openxmlformats.org/drawingml/2006/picture">
            <wp:extent cx="5715000" cy="2857500"/>
            <wp:docPr id="2" name="Picture 2"/>
            <wp:cNvGraphicFramePr>
              <a:graphicFrameLocks noChangeAspect="1"/>
            </wp:cNvGraphicFramePr>
            <a:graphic>
              <a:graphicData uri="http://schemas.openxmlformats.org/drawingml/2006/picture">
                <pic:pic>
                  <pic:nvPicPr>
                    <pic:cNvPr id="0" name="03_wet_well.png"/>
                    <pic:cNvPicPr/>
                  </pic:nvPicPr>
                  <pic:blipFill>
                    <a:blip r:embed="rId11"/>
                    <a:stretch>
                      <a:fillRect/>
                    </a:stretch>
                  </pic:blipFill>
                  <pic:spPr>
                    <a:xfrm>
                      <a:off x="0" y="0"/>
                      <a:ext cx="5715000" cy="2857500"/>
                    </a:xfrm>
                    <a:prstGeom prst="rect"/>
                  </pic:spPr>
                </pic:pic>
              </a:graphicData>
            </a:graphic>
          </wp:inline>
        </w:drawing>
      </w:r>
    </w:p>
    <w:p>
      <w:pPr>
        <w:keepNext w:val="0"/>
        <w:keepLines w:val="0"/>
        <w:widowControl w:val="0"/>
        <w:spacing w:before="0" w:after="120" w:line="288" w:lineRule="auto"/>
        <w:jc w:val="center"/>
      </w:pPr>
      <w:r>
        <w:rPr>
          <w:rFonts w:ascii="Songti SC" w:hAnsi="Songti SC" w:eastAsia="Songti SC" w:cs="Songti SC"/>
          <w:b w:val="0"/>
          <w:sz w:val="21"/>
        </w:rPr>
        <w:t>图5-1 四格进水井与四泵位计算草图</w:t>
      </w:r>
    </w:p>
    <w:p>
      <w:pPr>
        <w:pStyle w:val="BodyText"/>
        <w:keepNext w:val="0"/>
        <w:keepLines w:val="0"/>
        <w:widowControl w:val="0"/>
        <w:spacing w:before="0" w:after="120" w:line="288" w:lineRule="auto"/>
        <w:ind w:firstLine="420"/>
      </w:pPr>
      <w:r>
        <w:rPr>
          <w:rFonts w:ascii="Songti SC" w:hAnsi="Songti SC" w:eastAsia="Songti SC" w:cs="Songti SC"/>
          <w:b w:val="0"/>
          <w:sz w:val="24"/>
        </w:rPr>
        <w:t>进水井每格1台泵，任一格检修隔离时其余3台泵合计输送1.875 m³/s，仍满足最高时流量；设计最低水位EL22.60 m，吸水、淹没和防涡条件由厂家安装图最终核定，泵坑局部底为EL19.80 m。</w:t>
      </w:r>
    </w:p>
    <w:p>
      <w:pPr>
        <w:pStyle w:val="Heading2"/>
        <w:keepNext/>
        <w:keepLines w:val="0"/>
      </w:pPr>
      <w:r>
        <w:t>5.2 扬程和功率</w:t>
      </w:r>
    </w:p>
    <w:p>
      <w:pPr>
        <w:pStyle w:val="BodyText"/>
        <w:keepNext w:val="0"/>
        <w:keepLines w:val="0"/>
        <w:widowControl w:val="0"/>
        <w:spacing w:before="0" w:after="120" w:line="288" w:lineRule="auto"/>
        <w:ind w:firstLine="420"/>
      </w:pPr>
      <w:r>
        <w:rPr>
          <w:rFonts w:ascii="Songti SC" w:hAnsi="Songti SC" w:eastAsia="Songti SC" w:cs="Songti SC"/>
          <w:b w:val="0"/>
          <w:sz w:val="24"/>
        </w:rPr>
        <w:t>单泵额定Qp=0.625 m³/s。DN900内部支管长度12 m为泵房内布置工程假定（待厂家安装图核定），泵后DN1000管长35 m按总平面中心线量取；两段均取λ=0.020，Σζ分别4.3和2.0。泵至细格栅按单线泵组合0.9375 m³/s复算。两段损失分别0.2247 m和0.196 m，按最低进水井水位和0.80 m未细化余量：</w:t>
      </w:r>
    </w:p>
    <w:p>
      <w:pPr>
        <w:keepNext w:val="0"/>
        <w:keepLines w:val="0"/>
        <w:widowControl w:val="0"/>
        <w:spacing w:before="0" w:after="100" w:line="288" w:lineRule="auto"/>
        <w:jc w:val="center"/>
      </w:pPr>
      <m:oMathPara>
        <m:oMath>
          <m:r>
            <m:t>Hreq=34.30−22.60+0.225+0.196+0.80=12.921 m</m:t>
          </m:r>
        </m:oMath>
      </m:oMathPara>
    </w:p>
    <w:p>
      <w:pPr>
        <w:keepNext w:val="0"/>
        <w:keepLines w:val="0"/>
        <w:widowControl w:val="0"/>
        <w:spacing w:before="0" w:after="100" w:line="288" w:lineRule="auto"/>
        <w:jc w:val="center"/>
      </w:pPr>
      <m:oMathPara>
        <m:oMath>
          <m:r>
            <m:t>P=ρgQH/(ηpηm)=1000×9.81×0.625×13/(0.82×0.95)=102.32 kW</m:t>
          </m:r>
        </m:oMath>
      </m:oMathPara>
    </w:p>
    <w:p>
      <w:pPr>
        <w:pStyle w:val="BodyText"/>
        <w:keepNext w:val="0"/>
        <w:keepLines w:val="0"/>
        <w:widowControl w:val="0"/>
        <w:spacing w:before="0" w:after="120" w:line="288" w:lineRule="auto"/>
        <w:ind w:firstLine="420"/>
      </w:pPr>
      <w:r>
        <w:rPr>
          <w:rFonts w:ascii="Songti SC" w:hAnsi="Songti SC" w:eastAsia="Songti SC" w:cs="Songti SC"/>
          <w:b w:val="0"/>
          <w:sz w:val="24"/>
        </w:rPr>
        <w:t>取额定扬程13.0 m，计算输入功率102.32 kW；加10%为112.55 kW，初选132 kW电机。3台工作泵满额组合6750 m³/h即最高时流量，泵组按来水量以台数调节（平均日2台、最高时3台）、低水量时轮换运行，不设变频调速装置；相连管渠和配水按该组合校核。最终效率、NPSH、轴功率和叶轮曲线须由厂家确认。</w:t>
      </w:r>
    </w:p>
    <w:p>
      <w:pPr>
        <w:keepNext/>
        <w:keepLines w:val="0"/>
        <w:widowControl w:val="0"/>
        <w:spacing w:before="0" w:after="120" w:line="288" w:lineRule="auto"/>
        <w:jc w:val="center"/>
      </w:pPr>
      <w:r>
        <w:rPr>
          <w:rFonts w:ascii="Songti SC" w:hAnsi="Songti SC" w:eastAsia="Songti SC" w:cs="Songti SC"/>
          <w:b w:val="0"/>
          <w:sz w:val="21"/>
        </w:rPr>
        <w:t>表5-1 提升泵扬程组成与设备配置</w:t>
      </w:r>
    </w:p>
    <w:tbl>
      <w:tblPr>
        <w:tblW w:type="auto" w:w="0"/>
        <w:jc w:val="center"/>
        <w:tblLayout w:type="fixed"/>
        <w:tblLook w:firstColumn="1" w:firstRow="1" w:lastColumn="0" w:lastRow="0" w:noHBand="0" w:noVBand="1" w:val="04A0"/>
      </w:tblPr>
      <w:tblGrid>
        <w:gridCol w:w="3081"/>
        <w:gridCol w:w="3081"/>
        <w:gridCol w:w="3081"/>
      </w:tblGrid>
      <w:tr>
        <w:trPr>
          <w:tblHeader w:val="true"/>
          <w:cantSplit/>
        </w:trPr>
        <w:tc>
          <w:tcPr>
            <w:tcW w:type="dxa" w:w="2268"/>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项目</w:t>
            </w:r>
          </w:p>
        </w:tc>
        <w:tc>
          <w:tcPr>
            <w:tcW w:type="dxa" w:w="2381"/>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计算或采用值</w:t>
            </w:r>
          </w:p>
        </w:tc>
        <w:tc>
          <w:tcPr>
            <w:tcW w:type="dxa" w:w="3969"/>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说明</w:t>
            </w:r>
          </w:p>
        </w:tc>
      </w:tr>
      <w:tr>
        <w:trPr>
          <w:cantSplit/>
        </w:trPr>
        <w:tc>
          <w:tcPr>
            <w:tcW w:type="dxa" w:w="226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单泵流量</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2250 m³/h</w:t>
            </w:r>
          </w:p>
        </w:tc>
        <w:tc>
          <w:tcPr>
            <w:tcW w:type="dxa" w:w="3969"/>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4台同型泵，全厂3用1备</w:t>
            </w:r>
          </w:p>
        </w:tc>
      </w:tr>
      <w:tr>
        <w:trPr>
          <w:cantSplit/>
        </w:trPr>
        <w:tc>
          <w:tcPr>
            <w:tcW w:type="dxa" w:w="226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静水位差</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11.700 m</w:t>
            </w:r>
          </w:p>
        </w:tc>
        <w:tc>
          <w:tcPr>
            <w:tcW w:type="dxa" w:w="3969"/>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细格栅前EL34.30减进水井最低EL22.60</w:t>
            </w:r>
          </w:p>
        </w:tc>
      </w:tr>
      <w:tr>
        <w:trPr>
          <w:cantSplit/>
        </w:trPr>
        <w:tc>
          <w:tcPr>
            <w:tcW w:type="dxa" w:w="226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两段管损</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0.225+0.196 m</w:t>
            </w:r>
          </w:p>
        </w:tc>
        <w:tc>
          <w:tcPr>
            <w:tcW w:type="dxa" w:w="3969"/>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DN900内部支管与DN1000泵后管</w:t>
            </w:r>
          </w:p>
        </w:tc>
      </w:tr>
      <w:tr>
        <w:trPr>
          <w:cantSplit/>
        </w:trPr>
        <w:tc>
          <w:tcPr>
            <w:tcW w:type="dxa" w:w="226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未细化余量</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0.800 m</w:t>
            </w:r>
          </w:p>
        </w:tc>
        <w:tc>
          <w:tcPr>
            <w:tcW w:type="dxa" w:w="3969"/>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阀件、渐变及设备接口</w:t>
            </w:r>
          </w:p>
        </w:tc>
      </w:tr>
      <w:tr>
        <w:trPr>
          <w:cantSplit/>
        </w:trPr>
        <w:tc>
          <w:tcPr>
            <w:tcW w:type="dxa" w:w="226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计算/采用扬程</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12.921/13.000 m</w:t>
            </w:r>
          </w:p>
        </w:tc>
        <w:tc>
          <w:tcPr>
            <w:tcW w:type="dxa" w:w="3969"/>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按采用扬程核功率</w:t>
            </w:r>
          </w:p>
        </w:tc>
      </w:tr>
      <w:tr>
        <w:trPr>
          <w:cantSplit/>
        </w:trPr>
        <w:tc>
          <w:tcPr>
            <w:tcW w:type="dxa" w:w="226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计算/采用电机</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112.55/132 kW</w:t>
            </w:r>
          </w:p>
        </w:tc>
        <w:tc>
          <w:tcPr>
            <w:tcW w:type="dxa" w:w="3969"/>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最终按厂家曲线核定</w:t>
            </w:r>
          </w:p>
        </w:tc>
      </w:tr>
    </w:tbl>
    <w:p>
      <w:pPr>
        <w:spacing w:after="20"/>
      </w:pPr>
    </w:p>
    <w:p>
      <w:pPr>
        <w:pStyle w:val="Heading1"/>
        <w:keepNext/>
        <w:keepLines w:val="0"/>
      </w:pPr>
      <w:r>
        <w:t>6 曝气沉砂池</w:t>
      </w:r>
    </w:p>
    <w:p>
      <w:pPr>
        <w:pStyle w:val="Heading2"/>
        <w:keepNext/>
        <w:keepLines w:val="0"/>
      </w:pPr>
      <w:r>
        <w:t>6.1 池体尺寸</w:t>
      </w:r>
    </w:p>
    <w:p>
      <w:pPr>
        <w:pStyle w:val="BodyText"/>
        <w:keepNext w:val="0"/>
        <w:keepLines w:val="0"/>
        <w:widowControl w:val="0"/>
        <w:spacing w:before="0" w:after="120" w:line="288" w:lineRule="auto"/>
        <w:ind w:firstLine="420"/>
      </w:pPr>
      <w:r>
        <w:rPr>
          <w:rFonts w:ascii="Songti SC" w:hAnsi="Songti SC" w:eastAsia="Songti SC" w:cs="Songti SC"/>
          <w:b w:val="0"/>
          <w:sz w:val="24"/>
        </w:rPr>
        <w:t>采用2座矩形曝气沉砂池，每座按最高时流量的一半Q=6750/2/3600=0.9375 m³/s作工艺校核。单池L=30.0 m、B=3.80 m、有效水深h=2.55 m，V=290.70 m³。GB 50014—2021第7.4.3条的准确措辞为水平流速不宜大于0.1 m/s、停留时间宜大于5 min；水深2～3 m，宽深比1～1.5，线供气量5～12 L/(m·s)。</w:t>
      </w:r>
    </w:p>
    <w:p>
      <w:pPr>
        <w:keepNext w:val="0"/>
        <w:keepLines w:val="0"/>
        <w:widowControl w:val="0"/>
        <w:spacing w:before="0" w:after="100" w:line="288" w:lineRule="auto"/>
        <w:jc w:val="center"/>
      </w:pPr>
      <m:oMathPara>
        <m:oMath>
          <m:r>
            <m:t>v=Q/(Bh)=0.9375/(3.80×2.55)=0.0967 m/s</m:t>
          </m:r>
        </m:oMath>
      </m:oMathPara>
    </w:p>
    <w:p>
      <w:pPr>
        <w:keepNext w:val="0"/>
        <w:keepLines w:val="0"/>
        <w:widowControl w:val="0"/>
        <w:spacing w:before="0" w:after="100" w:line="288" w:lineRule="auto"/>
        <w:jc w:val="center"/>
      </w:pPr>
      <m:oMathPara>
        <m:oMath>
          <m:r>
            <m:t>t=V/Q/60=290.70/0.9375/60=5.168 min&gt;5 min</m:t>
          </m:r>
        </m:oMath>
      </m:oMathPara>
    </w:p>
    <w:p>
      <w:pPr>
        <w:keepNext/>
        <w:keepLines w:val="0"/>
        <w:jc w:val="center"/>
      </w:pPr>
      <w:r>
        <w:drawing>
          <wp:inline xmlns:a="http://schemas.openxmlformats.org/drawingml/2006/main" xmlns:pic="http://schemas.openxmlformats.org/drawingml/2006/picture">
            <wp:extent cx="5715000" cy="2857500"/>
            <wp:docPr id="3" name="Picture 3"/>
            <wp:cNvGraphicFramePr>
              <a:graphicFrameLocks noChangeAspect="1"/>
            </wp:cNvGraphicFramePr>
            <a:graphic>
              <a:graphicData uri="http://schemas.openxmlformats.org/drawingml/2006/picture">
                <pic:pic>
                  <pic:nvPicPr>
                    <pic:cNvPr id="0" name="04_grit.png"/>
                    <pic:cNvPicPr/>
                  </pic:nvPicPr>
                  <pic:blipFill>
                    <a:blip r:embed="rId12"/>
                    <a:stretch>
                      <a:fillRect/>
                    </a:stretch>
                  </pic:blipFill>
                  <pic:spPr>
                    <a:xfrm>
                      <a:off x="0" y="0"/>
                      <a:ext cx="5715000" cy="2857500"/>
                    </a:xfrm>
                    <a:prstGeom prst="rect"/>
                  </pic:spPr>
                </pic:pic>
              </a:graphicData>
            </a:graphic>
          </wp:inline>
        </w:drawing>
      </w:r>
    </w:p>
    <w:p>
      <w:pPr>
        <w:keepNext w:val="0"/>
        <w:keepLines w:val="0"/>
        <w:widowControl w:val="0"/>
        <w:spacing w:before="0" w:after="120" w:line="288" w:lineRule="auto"/>
        <w:jc w:val="center"/>
      </w:pPr>
      <w:r>
        <w:rPr>
          <w:rFonts w:ascii="Songti SC" w:hAnsi="Songti SC" w:eastAsia="Songti SC" w:cs="Songti SC"/>
          <w:b w:val="0"/>
          <w:sz w:val="21"/>
        </w:rPr>
        <w:t>图6-1 曝气沉砂池计算草图</w:t>
      </w:r>
    </w:p>
    <w:p>
      <w:pPr>
        <w:pStyle w:val="Heading2"/>
        <w:keepNext/>
        <w:keepLines w:val="0"/>
      </w:pPr>
      <w:r>
        <w:t>6.2 供气与储砂</w:t>
      </w:r>
    </w:p>
    <w:p>
      <w:pPr>
        <w:keepNext w:val="0"/>
        <w:keepLines w:val="0"/>
        <w:widowControl w:val="0"/>
        <w:spacing w:before="0" w:after="100" w:line="288" w:lineRule="auto"/>
        <w:jc w:val="center"/>
      </w:pPr>
      <m:oMathPara>
        <m:oMath>
          <m:r>
            <m:t>Gair=6×30×3.6=648 m³/h·池；两池1296 m³/h</m:t>
          </m:r>
        </m:oMath>
      </m:oMathPara>
    </w:p>
    <w:p>
      <w:pPr>
        <w:pStyle w:val="BodyText"/>
        <w:keepNext w:val="0"/>
        <w:keepLines w:val="0"/>
        <w:widowControl w:val="0"/>
        <w:spacing w:before="0" w:after="120" w:line="288" w:lineRule="auto"/>
        <w:ind w:firstLine="420"/>
      </w:pPr>
      <w:r>
        <w:rPr>
          <w:rFonts w:ascii="Songti SC" w:hAnsi="Songti SC" w:eastAsia="Songti SC" w:cs="Songti SC"/>
          <w:b w:val="0"/>
          <w:sz w:val="24"/>
        </w:rPr>
        <w:t>按0.03 m³砂/1000 m³污水的课程取值，平均每池砂量1.62 m³/d，两日为3.24 m³。截头方锥砂斗几何容积3.26 m³，其中有效工作容积控制为3.20 m³，余量作为顶部留空。GB 50014—2021第7.4.6条规定储砂量不应大于2 d砂量；本设计采用每日排砂，有效工作容积对应1.98 d。砂斗斜面角约61.9°。</w:t>
      </w:r>
    </w:p>
    <w:p>
      <w:pPr>
        <w:keepNext/>
        <w:keepLines w:val="0"/>
        <w:widowControl w:val="0"/>
        <w:spacing w:before="0" w:after="120" w:line="288" w:lineRule="auto"/>
        <w:jc w:val="center"/>
      </w:pPr>
      <w:r>
        <w:rPr>
          <w:rFonts w:ascii="Songti SC" w:hAnsi="Songti SC" w:eastAsia="Songti SC" w:cs="Songti SC"/>
          <w:b w:val="0"/>
          <w:sz w:val="21"/>
        </w:rPr>
        <w:t>表6-1 校核项、计算值汇总</w:t>
      </w:r>
    </w:p>
    <w:tbl>
      <w:tblPr>
        <w:tblW w:type="auto" w:w="0"/>
        <w:jc w:val="center"/>
        <w:tblLayout w:type="fixed"/>
        <w:tblLook w:firstColumn="1" w:firstRow="1" w:lastColumn="0" w:lastRow="0" w:noHBand="0" w:noVBand="1" w:val="04A0"/>
      </w:tblPr>
      <w:tblGrid>
        <w:gridCol w:w="3081"/>
        <w:gridCol w:w="3081"/>
        <w:gridCol w:w="3081"/>
      </w:tblGrid>
      <w:tr>
        <w:trPr>
          <w:tblHeader w:val="true"/>
          <w:cantSplit/>
        </w:trPr>
        <w:tc>
          <w:tcPr>
            <w:tcW w:type="dxa" w:w="2665"/>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校核项</w:t>
            </w:r>
          </w:p>
        </w:tc>
        <w:tc>
          <w:tcPr>
            <w:tcW w:type="dxa" w:w="3005"/>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计算值</w:t>
            </w:r>
          </w:p>
        </w:tc>
        <w:tc>
          <w:tcPr>
            <w:tcW w:type="dxa" w:w="2948"/>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结论</w:t>
            </w:r>
          </w:p>
        </w:tc>
      </w:tr>
      <w:tr>
        <w:trPr>
          <w:cantSplit/>
        </w:trPr>
        <w:tc>
          <w:tcPr>
            <w:tcW w:type="dxa" w:w="266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水平流速</w:t>
            </w:r>
          </w:p>
        </w:tc>
        <w:tc>
          <w:tcPr>
            <w:tcW w:type="dxa" w:w="300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0.0967 m/s</w:t>
            </w:r>
          </w:p>
        </w:tc>
        <w:tc>
          <w:tcPr>
            <w:tcW w:type="dxa" w:w="294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≤0.1 m/s</w:t>
            </w:r>
          </w:p>
        </w:tc>
      </w:tr>
      <w:tr>
        <w:trPr>
          <w:cantSplit/>
        </w:trPr>
        <w:tc>
          <w:tcPr>
            <w:tcW w:type="dxa" w:w="266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最高时停留时间</w:t>
            </w:r>
          </w:p>
        </w:tc>
        <w:tc>
          <w:tcPr>
            <w:tcW w:type="dxa" w:w="300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5.168 min</w:t>
            </w:r>
          </w:p>
        </w:tc>
        <w:tc>
          <w:tcPr>
            <w:tcW w:type="dxa" w:w="294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&gt;5 min</w:t>
            </w:r>
          </w:p>
        </w:tc>
      </w:tr>
      <w:tr>
        <w:trPr>
          <w:cantSplit/>
        </w:trPr>
        <w:tc>
          <w:tcPr>
            <w:tcW w:type="dxa" w:w="266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平均日停留时间</w:t>
            </w:r>
          </w:p>
        </w:tc>
        <w:tc>
          <w:tcPr>
            <w:tcW w:type="dxa" w:w="300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7.752 min</w:t>
            </w:r>
          </w:p>
        </w:tc>
        <w:tc>
          <w:tcPr>
            <w:tcW w:type="dxa" w:w="294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低流量按日平均流量校核（课程简化）</w:t>
            </w:r>
          </w:p>
        </w:tc>
      </w:tr>
      <w:tr>
        <w:trPr>
          <w:cantSplit/>
        </w:trPr>
        <w:tc>
          <w:tcPr>
            <w:tcW w:type="dxa" w:w="266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宽深比</w:t>
            </w:r>
          </w:p>
        </w:tc>
        <w:tc>
          <w:tcPr>
            <w:tcW w:type="dxa" w:w="300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1.49</w:t>
            </w:r>
          </w:p>
        </w:tc>
        <w:tc>
          <w:tcPr>
            <w:tcW w:type="dxa" w:w="294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在1～1.5附近，课程采用</w:t>
            </w:r>
          </w:p>
        </w:tc>
      </w:tr>
      <w:tr>
        <w:trPr>
          <w:cantSplit/>
        </w:trPr>
        <w:tc>
          <w:tcPr>
            <w:tcW w:type="dxa" w:w="266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有效储砂</w:t>
            </w:r>
          </w:p>
        </w:tc>
        <w:tc>
          <w:tcPr>
            <w:tcW w:type="dxa" w:w="300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3.20/3.24 m³</w:t>
            </w:r>
          </w:p>
        </w:tc>
        <w:tc>
          <w:tcPr>
            <w:tcW w:type="dxa" w:w="294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不超过2日</w:t>
            </w:r>
          </w:p>
        </w:tc>
      </w:tr>
    </w:tbl>
    <w:p>
      <w:pPr>
        <w:spacing w:after="20"/>
      </w:pPr>
    </w:p>
    <w:p>
      <w:pPr>
        <w:pStyle w:val="Heading1"/>
        <w:keepNext/>
        <w:keepLines w:val="0"/>
      </w:pPr>
      <w:r>
        <w:t>7 初次沉淀池</w:t>
      </w:r>
    </w:p>
    <w:p>
      <w:pPr>
        <w:pStyle w:val="Heading2"/>
        <w:keepNext/>
        <w:keepLines w:val="0"/>
      </w:pPr>
      <w:r>
        <w:t>7.1 池数、面积与沉淀时间</w:t>
      </w:r>
    </w:p>
    <w:p>
      <w:pPr>
        <w:pStyle w:val="BodyText"/>
        <w:keepNext w:val="0"/>
        <w:keepLines w:val="0"/>
        <w:widowControl w:val="0"/>
        <w:spacing w:before="0" w:after="120" w:line="288" w:lineRule="auto"/>
        <w:ind w:firstLine="420"/>
      </w:pPr>
      <w:r>
        <w:rPr>
          <w:rFonts w:ascii="Songti SC" w:hAnsi="Songti SC" w:eastAsia="Songti SC" w:cs="Songti SC"/>
          <w:b w:val="0"/>
          <w:sz w:val="24"/>
        </w:rPr>
        <w:t>按教师意见初沉池采用平流式。设4座平流式初沉池（对应两条水线、每线2座），单池净长L=58.0 m、净宽B=14.5 m、有效水深H=3.5 m，单池净面积841.0 m²、总净面积3364.0 m²。</w:t>
      </w:r>
    </w:p>
    <w:p>
      <w:pPr>
        <w:keepNext w:val="0"/>
        <w:keepLines w:val="0"/>
        <w:widowControl w:val="0"/>
        <w:spacing w:before="0" w:after="100" w:line="288" w:lineRule="auto"/>
        <w:jc w:val="center"/>
      </w:pPr>
      <m:oMathPara>
        <m:oMath>
          <m:r>
            <m:t>A=4×58.0×14.5=3364.0 m²</m:t>
          </m:r>
        </m:oMath>
      </m:oMathPara>
    </w:p>
    <w:p>
      <w:pPr>
        <w:keepNext/>
        <w:keepLines w:val="0"/>
        <w:widowControl w:val="0"/>
        <w:spacing w:before="0" w:after="120" w:line="288" w:lineRule="auto"/>
        <w:jc w:val="center"/>
      </w:pPr>
      <w:r>
        <w:rPr>
          <w:rFonts w:ascii="Songti SC" w:hAnsi="Songti SC" w:eastAsia="Songti SC" w:cs="Songti SC"/>
          <w:b w:val="0"/>
          <w:sz w:val="21"/>
        </w:rPr>
        <w:t>表7-1 工况、表面负荷 m³/(m²·h)汇总</w:t>
      </w:r>
    </w:p>
    <w:tbl>
      <w:tblPr>
        <w:tblW w:type="auto" w:w="0"/>
        <w:jc w:val="center"/>
        <w:tblLayout w:type="fixed"/>
        <w:tblLook w:firstColumn="1" w:firstRow="1" w:lastColumn="0" w:lastRow="0" w:noHBand="0" w:noVBand="1" w:val="04A0"/>
      </w:tblPr>
      <w:tblGrid>
        <w:gridCol w:w="2310"/>
        <w:gridCol w:w="2310"/>
        <w:gridCol w:w="2310"/>
        <w:gridCol w:w="2310"/>
      </w:tblGrid>
      <w:tr>
        <w:trPr>
          <w:tblHeader w:val="true"/>
          <w:cantSplit/>
        </w:trPr>
        <w:tc>
          <w:tcPr>
            <w:tcW w:type="dxa" w:w="2211"/>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工况</w:t>
            </w:r>
          </w:p>
        </w:tc>
        <w:tc>
          <w:tcPr>
            <w:tcW w:type="dxa" w:w="2268"/>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表面负荷 m³/(m²·h)</w:t>
            </w:r>
          </w:p>
        </w:tc>
        <w:tc>
          <w:tcPr>
            <w:tcW w:type="dxa" w:w="1928"/>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沉淀时间 h</w:t>
            </w:r>
          </w:p>
        </w:tc>
        <w:tc>
          <w:tcPr>
            <w:tcW w:type="dxa" w:w="2268"/>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说明</w:t>
            </w:r>
          </w:p>
        </w:tc>
      </w:tr>
      <w:tr>
        <w:trPr>
          <w:cantSplit/>
        </w:trPr>
        <w:tc>
          <w:tcPr>
            <w:tcW w:type="dxa" w:w="221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平均日4500 m³/h</w:t>
            </w:r>
          </w:p>
        </w:tc>
        <w:tc>
          <w:tcPr>
            <w:tcW w:type="dxa" w:w="226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1.338</w:t>
            </w:r>
          </w:p>
        </w:tc>
        <w:tc>
          <w:tcPr>
            <w:tcW w:type="dxa" w:w="192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2.616</w:t>
            </w:r>
          </w:p>
        </w:tc>
        <w:tc>
          <w:tcPr>
            <w:tcW w:type="dxa" w:w="226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运行参考</w:t>
            </w:r>
          </w:p>
        </w:tc>
      </w:tr>
      <w:tr>
        <w:trPr>
          <w:cantSplit/>
        </w:trPr>
        <w:tc>
          <w:tcPr>
            <w:tcW w:type="dxa" w:w="221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最高时6750 m³/h（Kz=1.50）</w:t>
            </w:r>
          </w:p>
        </w:tc>
        <w:tc>
          <w:tcPr>
            <w:tcW w:type="dxa" w:w="226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2.006</w:t>
            </w:r>
          </w:p>
        </w:tc>
        <w:tc>
          <w:tcPr>
            <w:tcW w:type="dxa" w:w="192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1.744</w:t>
            </w:r>
          </w:p>
        </w:tc>
        <w:tc>
          <w:tcPr>
            <w:tcW w:type="dxa" w:w="226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设计主算（与3台工作泵组合相同）</w:t>
            </w:r>
          </w:p>
        </w:tc>
      </w:tr>
    </w:tbl>
    <w:p>
      <w:pPr>
        <w:spacing w:after="20"/>
      </w:pPr>
    </w:p>
    <w:p>
      <w:pPr>
        <w:pStyle w:val="BodyText"/>
        <w:keepNext w:val="0"/>
        <w:keepLines w:val="0"/>
        <w:widowControl w:val="0"/>
        <w:spacing w:before="0" w:after="120" w:line="288" w:lineRule="auto"/>
        <w:ind w:firstLine="420"/>
      </w:pPr>
      <w:r>
        <w:rPr>
          <w:rFonts w:ascii="Songti SC" w:hAnsi="Songti SC" w:eastAsia="Songti SC" w:cs="Songti SC"/>
          <w:b w:val="0"/>
          <w:sz w:val="24"/>
        </w:rPr>
        <w:t>形式比较与取值理由：平流式沉淀池构造简单、采用桁车式刮泥机、抗冲击负荷好、出水稳定，是初沉池常用形式；辐流式单池面积大、周边传动刮泥机成熟，但用于初沉时池深大、构造复杂。本工程按教师意见取平流式，4座分两条水线。水力校核：最高时表面负荷2.007 m³/(m²·h)（教师建议约2.0，已符合）、平均日1.338 m³/(m²·h)，位于GB 50014—2021初沉池常用范围（约1.5～3.0 m³/(m²·h)）内；沉淀时间最高时1.744 h、平均日2.616 h（常用1.0～2.0 h，平均日水量低故较长）；最高时水平流速v=Q/(BH)=0.46875/(14.5×3.5)=0.0092 m/s，处于平流池常用范围（约0.005～0.010 m/s）内；长宽比L/B=4.0、长深比L/H=16.6，满足平流池长宽比不宜小于4、长深比不宜小于8的常用要求。</w:t>
      </w:r>
    </w:p>
    <w:p>
      <w:pPr>
        <w:keepNext/>
        <w:keepLines w:val="0"/>
        <w:jc w:val="center"/>
      </w:pPr>
      <w:r>
        <w:drawing>
          <wp:inline xmlns:a="http://schemas.openxmlformats.org/drawingml/2006/main" xmlns:pic="http://schemas.openxmlformats.org/drawingml/2006/picture">
            <wp:extent cx="5715000" cy="2857500"/>
            <wp:docPr id="4" name="Picture 4"/>
            <wp:cNvGraphicFramePr>
              <a:graphicFrameLocks noChangeAspect="1"/>
            </wp:cNvGraphicFramePr>
            <a:graphic>
              <a:graphicData uri="http://schemas.openxmlformats.org/drawingml/2006/picture">
                <pic:pic>
                  <pic:nvPicPr>
                    <pic:cNvPr id="0" name="05_primary.png"/>
                    <pic:cNvPicPr/>
                  </pic:nvPicPr>
                  <pic:blipFill>
                    <a:blip r:embed="rId13"/>
                    <a:stretch>
                      <a:fillRect/>
                    </a:stretch>
                  </pic:blipFill>
                  <pic:spPr>
                    <a:xfrm>
                      <a:off x="0" y="0"/>
                      <a:ext cx="5715000" cy="2857500"/>
                    </a:xfrm>
                    <a:prstGeom prst="rect"/>
                  </pic:spPr>
                </pic:pic>
              </a:graphicData>
            </a:graphic>
          </wp:inline>
        </w:drawing>
      </w:r>
    </w:p>
    <w:p>
      <w:pPr>
        <w:keepNext w:val="0"/>
        <w:keepLines w:val="0"/>
        <w:widowControl w:val="0"/>
        <w:spacing w:before="0" w:after="120" w:line="288" w:lineRule="auto"/>
        <w:jc w:val="center"/>
      </w:pPr>
      <w:r>
        <w:rPr>
          <w:rFonts w:ascii="Songti SC" w:hAnsi="Songti SC" w:eastAsia="Songti SC" w:cs="Songti SC"/>
          <w:b w:val="0"/>
          <w:sz w:val="21"/>
        </w:rPr>
        <w:t>图7-1 平流式初次沉淀池平剖计算草图</w:t>
      </w:r>
    </w:p>
    <w:p>
      <w:pPr>
        <w:pStyle w:val="Heading2"/>
        <w:keepNext/>
        <w:keepLines w:val="0"/>
      </w:pPr>
      <w:r>
        <w:t>7.2 出水堰和污泥</w:t>
      </w:r>
    </w:p>
    <w:p>
      <w:pPr>
        <w:pStyle w:val="BodyText"/>
        <w:keepNext w:val="0"/>
        <w:keepLines w:val="0"/>
        <w:widowControl w:val="0"/>
        <w:spacing w:before="0" w:after="120" w:line="288" w:lineRule="auto"/>
        <w:ind w:firstLine="420"/>
      </w:pPr>
      <w:r>
        <w:rPr>
          <w:rFonts w:ascii="Songti SC" w:hAnsi="Songti SC" w:eastAsia="Songti SC" w:cs="Songti SC"/>
          <w:b w:val="0"/>
          <w:sz w:val="24"/>
        </w:rPr>
        <w:t>出水采用末端指形出水槽，每池12条、每条有效堰长14 m，单池总堰长168 m。最高时单池0.46875 m³/s，指形堰负荷0.46875×1000/168=2.790 L/(m·s)，小于GB 50014—2021第7.5.8条初沉池2.9 L/(m·s)上限。出水堰前设挡渣板并收集浮渣，与刮泥机同步运行。</w:t>
      </w:r>
    </w:p>
    <w:p>
      <w:pPr>
        <w:keepNext w:val="0"/>
        <w:keepLines w:val="0"/>
        <w:widowControl w:val="0"/>
        <w:spacing w:before="0" w:after="100" w:line="288" w:lineRule="auto"/>
        <w:jc w:val="center"/>
      </w:pPr>
      <m:oMathPara>
        <m:oMath>
          <m:r>
            <m:t>Qsludge=30000×0.50/(1000×0.04)=375 m³/d</m:t>
          </m:r>
        </m:oMath>
      </m:oMathPara>
    </w:p>
    <w:p>
      <w:pPr>
        <w:pStyle w:val="BodyText"/>
        <w:keepNext w:val="0"/>
        <w:keepLines w:val="0"/>
        <w:widowControl w:val="0"/>
        <w:spacing w:before="0" w:after="120" w:line="288" w:lineRule="auto"/>
        <w:ind w:firstLine="420"/>
      </w:pPr>
      <w:r>
        <w:rPr>
          <w:rFonts w:ascii="Songti SC" w:hAnsi="Songti SC" w:eastAsia="Songti SC" w:cs="Songti SC"/>
          <w:b w:val="0"/>
          <w:sz w:val="24"/>
        </w:rPr>
        <w:t>按排泥含固率4%估算初沉污泥375 m³/d，单池4 h贮泥需求15.625 m³。进水端设横向泥斗，上口3.0 m（纵向）×14.5 m（池宽），下口0.8 m×0.8 m，深2.0 m，纵向斗壁与水平面夹角约61.2°（不小于55°），按棱台计有效容积约34.09 m³，大于4 h贮泥需求，满足GB 50014—2021第7.5.5条机械排泥初沉池按4 h污泥量校核，并与产泥量闭合。四池设桁车式刮泥机、池底纵向坡度0.01坡向泥斗，并设独立排泥阀。</w:t>
      </w:r>
    </w:p>
    <w:p>
      <w:pPr>
        <w:pStyle w:val="Heading2"/>
        <w:keepNext/>
        <w:keepLines w:val="0"/>
      </w:pPr>
      <w:r>
        <w:t>7.3 初沉出水负荷</w:t>
      </w:r>
    </w:p>
    <w:p>
      <w:pPr>
        <w:keepNext/>
        <w:keepLines w:val="0"/>
        <w:widowControl w:val="0"/>
        <w:spacing w:before="0" w:after="120" w:line="288" w:lineRule="auto"/>
        <w:jc w:val="center"/>
      </w:pPr>
      <w:r>
        <w:rPr>
          <w:rFonts w:ascii="Songti SC" w:hAnsi="Songti SC" w:eastAsia="Songti SC" w:cs="Songti SC"/>
          <w:b w:val="0"/>
          <w:sz w:val="21"/>
        </w:rPr>
        <w:t>表7-2 指标、初沉去除汇总</w:t>
      </w:r>
    </w:p>
    <w:tbl>
      <w:tblPr>
        <w:tblW w:type="auto" w:w="0"/>
        <w:jc w:val="center"/>
        <w:tblLayout w:type="fixed"/>
        <w:tblLook w:firstColumn="1" w:firstRow="1" w:lastColumn="0" w:lastRow="0" w:noHBand="0" w:noVBand="1" w:val="04A0"/>
      </w:tblPr>
      <w:tblGrid>
        <w:gridCol w:w="2310"/>
        <w:gridCol w:w="2310"/>
        <w:gridCol w:w="2310"/>
        <w:gridCol w:w="2310"/>
      </w:tblGrid>
      <w:tr>
        <w:trPr>
          <w:tblHeader w:val="true"/>
          <w:cantSplit/>
        </w:trPr>
        <w:tc>
          <w:tcPr>
            <w:tcW w:type="dxa" w:w="1474"/>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指标</w:t>
            </w:r>
          </w:p>
        </w:tc>
        <w:tc>
          <w:tcPr>
            <w:tcW w:type="dxa" w:w="1814"/>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初沉去除</w:t>
            </w:r>
          </w:p>
        </w:tc>
        <w:tc>
          <w:tcPr>
            <w:tcW w:type="dxa" w:w="2381"/>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出水负荷 kg/d</w:t>
            </w:r>
          </w:p>
        </w:tc>
        <w:tc>
          <w:tcPr>
            <w:tcW w:type="dxa" w:w="2381"/>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出水浓度 mg/L</w:t>
            </w:r>
          </w:p>
        </w:tc>
      </w:tr>
      <w:tr>
        <w:trPr>
          <w:cantSplit/>
        </w:trPr>
        <w:tc>
          <w:tcPr>
            <w:tcW w:type="dxa" w:w="147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BOD5</w:t>
            </w:r>
          </w:p>
        </w:tc>
        <w:tc>
          <w:tcPr>
            <w:tcW w:type="dxa" w:w="181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25.0%</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13,500.0</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125.00</w:t>
            </w:r>
          </w:p>
        </w:tc>
      </w:tr>
      <w:tr>
        <w:trPr>
          <w:cantSplit/>
        </w:trPr>
        <w:tc>
          <w:tcPr>
            <w:tcW w:type="dxa" w:w="147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SS</w:t>
            </w:r>
          </w:p>
        </w:tc>
        <w:tc>
          <w:tcPr>
            <w:tcW w:type="dxa" w:w="181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50.0%</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15,000.0</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138.89</w:t>
            </w:r>
          </w:p>
        </w:tc>
      </w:tr>
      <w:tr>
        <w:trPr>
          <w:cantSplit/>
        </w:trPr>
        <w:tc>
          <w:tcPr>
            <w:tcW w:type="dxa" w:w="147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TN</w:t>
            </w:r>
          </w:p>
        </w:tc>
        <w:tc>
          <w:tcPr>
            <w:tcW w:type="dxa" w:w="181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0.0%</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4,800.0</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44.44</w:t>
            </w:r>
          </w:p>
        </w:tc>
      </w:tr>
      <w:tr>
        <w:trPr>
          <w:cantSplit/>
        </w:trPr>
        <w:tc>
          <w:tcPr>
            <w:tcW w:type="dxa" w:w="147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TP</w:t>
            </w:r>
          </w:p>
        </w:tc>
        <w:tc>
          <w:tcPr>
            <w:tcW w:type="dxa" w:w="181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7.5%</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555.0</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5.14</w:t>
            </w:r>
          </w:p>
        </w:tc>
      </w:tr>
    </w:tbl>
    <w:p>
      <w:pPr>
        <w:spacing w:after="20"/>
      </w:pPr>
    </w:p>
    <w:p>
      <w:pPr>
        <w:pStyle w:val="Heading1"/>
        <w:keepNext/>
        <w:keepLines w:val="0"/>
      </w:pPr>
      <w:r>
        <w:t>8 A²/O生物反应池与回流</w:t>
      </w:r>
    </w:p>
    <w:p>
      <w:pPr>
        <w:pStyle w:val="Heading2"/>
        <w:keepNext/>
        <w:keepLines w:val="0"/>
      </w:pPr>
      <w:r>
        <w:t>8.1 容积与分区</w:t>
      </w:r>
    </w:p>
    <w:p>
      <w:pPr>
        <w:pStyle w:val="BodyText"/>
        <w:keepNext w:val="0"/>
        <w:keepLines w:val="0"/>
        <w:widowControl w:val="0"/>
        <w:spacing w:before="0" w:after="120" w:line="288" w:lineRule="auto"/>
        <w:ind w:firstLine="420"/>
      </w:pPr>
      <w:r>
        <w:rPr>
          <w:rFonts w:ascii="Songti SC" w:hAnsi="Songti SC" w:eastAsia="Songti SC" w:cs="Songti SC"/>
          <w:b w:val="0"/>
          <w:sz w:val="24"/>
        </w:rPr>
        <w:t>设置4个完全独立系列，每系列有效净水面70 m×45 m、净水深5 m，有效容积15750 m³，总容积63000 m³。70 m×45 m是水面净尺寸，6条廊道各按7.5 m净水宽计；外墙和隔墙厚度在结构外轮廓中另加，不占用上述有效容积。平均日流量下总HRT=63000/4500=14 h，最高时流量下总HRT=63000/6750=9.33 h，均在A²/O常规水力停留时间范围内（GB 50014—2021及HJ 576—2010）。按厌氧1.5 h、缺氧4.8 h、好氧7.7 h分配，总容积依次为6750、21600和34650 m³。单系列等效流长420 m：第1廊45 m厌氧+25 m缺氧，第2廊70 m缺氧，第3廊49 m缺氧+21 m好氧，第4～6廊好氧。</w:t>
      </w:r>
    </w:p>
    <w:p>
      <w:pPr>
        <w:keepNext/>
        <w:keepLines w:val="0"/>
        <w:jc w:val="center"/>
      </w:pPr>
      <w:r>
        <w:drawing>
          <wp:inline xmlns:a="http://schemas.openxmlformats.org/drawingml/2006/main" xmlns:pic="http://schemas.openxmlformats.org/drawingml/2006/picture">
            <wp:extent cx="5715000" cy="2857500"/>
            <wp:docPr id="5" name="Picture 5"/>
            <wp:cNvGraphicFramePr>
              <a:graphicFrameLocks noChangeAspect="1"/>
            </wp:cNvGraphicFramePr>
            <a:graphic>
              <a:graphicData uri="http://schemas.openxmlformats.org/drawingml/2006/picture">
                <pic:pic>
                  <pic:nvPicPr>
                    <pic:cNvPr id="0" name="06_a2o.png"/>
                    <pic:cNvPicPr/>
                  </pic:nvPicPr>
                  <pic:blipFill>
                    <a:blip r:embed="rId14"/>
                    <a:stretch>
                      <a:fillRect/>
                    </a:stretch>
                  </pic:blipFill>
                  <pic:spPr>
                    <a:xfrm>
                      <a:off x="0" y="0"/>
                      <a:ext cx="5715000" cy="2857500"/>
                    </a:xfrm>
                    <a:prstGeom prst="rect"/>
                  </pic:spPr>
                </pic:pic>
              </a:graphicData>
            </a:graphic>
          </wp:inline>
        </w:drawing>
      </w:r>
    </w:p>
    <w:p>
      <w:pPr>
        <w:keepNext w:val="0"/>
        <w:keepLines w:val="0"/>
        <w:widowControl w:val="0"/>
        <w:spacing w:before="0" w:after="120" w:line="288" w:lineRule="auto"/>
        <w:jc w:val="center"/>
      </w:pPr>
      <w:r>
        <w:rPr>
          <w:rFonts w:ascii="Songti SC" w:hAnsi="Songti SC" w:eastAsia="Songti SC" w:cs="Songti SC"/>
          <w:b w:val="0"/>
          <w:sz w:val="21"/>
        </w:rPr>
        <w:t>图8-1 A²/O单系列按比例分区草图</w:t>
      </w:r>
    </w:p>
    <w:p>
      <w:pPr>
        <w:keepNext/>
        <w:keepLines w:val="0"/>
        <w:widowControl w:val="0"/>
        <w:spacing w:before="0" w:after="120" w:line="288" w:lineRule="auto"/>
        <w:jc w:val="center"/>
      </w:pPr>
      <w:r>
        <w:rPr>
          <w:rFonts w:ascii="Songti SC" w:hAnsi="Songti SC" w:eastAsia="Songti SC" w:cs="Songti SC"/>
          <w:b w:val="0"/>
          <w:sz w:val="21"/>
        </w:rPr>
        <w:t>表8-1 分区、HRT h汇总</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tblHeader w:val="true"/>
          <w:cantSplit/>
        </w:trPr>
        <w:tc>
          <w:tcPr>
            <w:tcW w:type="dxa" w:w="1417"/>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分区</w:t>
            </w:r>
          </w:p>
        </w:tc>
        <w:tc>
          <w:tcPr>
            <w:tcW w:type="dxa" w:w="1361"/>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HRT h</w:t>
            </w:r>
          </w:p>
        </w:tc>
        <w:tc>
          <w:tcPr>
            <w:tcW w:type="dxa" w:w="1984"/>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全厂容积 m³</w:t>
            </w:r>
          </w:p>
        </w:tc>
        <w:tc>
          <w:tcPr>
            <w:tcW w:type="dxa" w:w="1984"/>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单系列容积 m³</w:t>
            </w:r>
          </w:p>
        </w:tc>
        <w:tc>
          <w:tcPr>
            <w:tcW w:type="dxa" w:w="2154"/>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等效长度/系列 m</w:t>
            </w:r>
          </w:p>
        </w:tc>
      </w:tr>
      <w:tr>
        <w:trPr>
          <w:cantSplit/>
        </w:trPr>
        <w:tc>
          <w:tcPr>
            <w:tcW w:type="dxa" w:w="141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厌氧</w:t>
            </w:r>
          </w:p>
        </w:tc>
        <w:tc>
          <w:tcPr>
            <w:tcW w:type="dxa" w:w="136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1.50</w:t>
            </w:r>
          </w:p>
        </w:tc>
        <w:tc>
          <w:tcPr>
            <w:tcW w:type="dxa" w:w="198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6750</w:t>
            </w:r>
          </w:p>
        </w:tc>
        <w:tc>
          <w:tcPr>
            <w:tcW w:type="dxa" w:w="198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1687.5</w:t>
            </w:r>
          </w:p>
        </w:tc>
        <w:tc>
          <w:tcPr>
            <w:tcW w:type="dxa" w:w="215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45</w:t>
            </w:r>
          </w:p>
        </w:tc>
      </w:tr>
      <w:tr>
        <w:trPr>
          <w:cantSplit/>
        </w:trPr>
        <w:tc>
          <w:tcPr>
            <w:tcW w:type="dxa" w:w="141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缺氧</w:t>
            </w:r>
          </w:p>
        </w:tc>
        <w:tc>
          <w:tcPr>
            <w:tcW w:type="dxa" w:w="136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4.80</w:t>
            </w:r>
          </w:p>
        </w:tc>
        <w:tc>
          <w:tcPr>
            <w:tcW w:type="dxa" w:w="198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21600</w:t>
            </w:r>
          </w:p>
        </w:tc>
        <w:tc>
          <w:tcPr>
            <w:tcW w:type="dxa" w:w="198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5400</w:t>
            </w:r>
          </w:p>
        </w:tc>
        <w:tc>
          <w:tcPr>
            <w:tcW w:type="dxa" w:w="215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144</w:t>
            </w:r>
          </w:p>
        </w:tc>
      </w:tr>
      <w:tr>
        <w:trPr>
          <w:cantSplit/>
        </w:trPr>
        <w:tc>
          <w:tcPr>
            <w:tcW w:type="dxa" w:w="141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好氧</w:t>
            </w:r>
          </w:p>
        </w:tc>
        <w:tc>
          <w:tcPr>
            <w:tcW w:type="dxa" w:w="136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7.70</w:t>
            </w:r>
          </w:p>
        </w:tc>
        <w:tc>
          <w:tcPr>
            <w:tcW w:type="dxa" w:w="198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34650</w:t>
            </w:r>
          </w:p>
        </w:tc>
        <w:tc>
          <w:tcPr>
            <w:tcW w:type="dxa" w:w="198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8662.5</w:t>
            </w:r>
          </w:p>
        </w:tc>
        <w:tc>
          <w:tcPr>
            <w:tcW w:type="dxa" w:w="215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231</w:t>
            </w:r>
          </w:p>
        </w:tc>
      </w:tr>
      <w:tr>
        <w:trPr>
          <w:cantSplit/>
        </w:trPr>
        <w:tc>
          <w:tcPr>
            <w:tcW w:type="dxa" w:w="141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合计</w:t>
            </w:r>
          </w:p>
        </w:tc>
        <w:tc>
          <w:tcPr>
            <w:tcW w:type="dxa" w:w="136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14.00</w:t>
            </w:r>
          </w:p>
        </w:tc>
        <w:tc>
          <w:tcPr>
            <w:tcW w:type="dxa" w:w="198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63000</w:t>
            </w:r>
          </w:p>
        </w:tc>
        <w:tc>
          <w:tcPr>
            <w:tcW w:type="dxa" w:w="198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15750</w:t>
            </w:r>
          </w:p>
        </w:tc>
        <w:tc>
          <w:tcPr>
            <w:tcW w:type="dxa" w:w="215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420</w:t>
            </w:r>
          </w:p>
        </w:tc>
      </w:tr>
    </w:tbl>
    <w:p>
      <w:pPr>
        <w:spacing w:after="20"/>
      </w:pPr>
    </w:p>
    <w:p>
      <w:pPr>
        <w:pStyle w:val="Heading2"/>
        <w:keepNext/>
        <w:keepLines w:val="0"/>
      </w:pPr>
      <w:r>
        <w:t>8.2 MLSS、负荷和SRT</w:t>
      </w:r>
    </w:p>
    <w:p>
      <w:pPr>
        <w:pStyle w:val="BodyText"/>
        <w:keepNext w:val="0"/>
        <w:keepLines w:val="0"/>
        <w:widowControl w:val="0"/>
        <w:spacing w:before="0" w:after="120" w:line="288" w:lineRule="auto"/>
        <w:ind w:firstLine="420"/>
      </w:pPr>
      <w:r>
        <w:rPr>
          <w:rFonts w:ascii="Songti SC" w:hAnsi="Songti SC" w:eastAsia="Songti SC" w:cs="Songti SC"/>
          <w:b w:val="0"/>
          <w:sz w:val="24"/>
        </w:rPr>
        <w:t>将不含铁盐固体的基准MLSS取3.5 kg/m³，其中MLVSS比例0.75；系统SRT=20 d。初沉后BOD₅负荷13500 kg/d，达到日均20 mg/L需去除11340 kg/d。</w:t>
      </w:r>
    </w:p>
    <w:p>
      <w:pPr>
        <w:keepNext w:val="0"/>
        <w:keepLines w:val="0"/>
        <w:widowControl w:val="0"/>
        <w:spacing w:before="0" w:after="100" w:line="288" w:lineRule="auto"/>
        <w:jc w:val="center"/>
      </w:pPr>
      <m:oMathPara>
        <m:oMath>
          <m:r>
            <m:t>Ls,in=13500/(63000×3.5)=0.0612 kgBOD₅/(kgMLSS·d)</m:t>
          </m:r>
        </m:oMath>
      </m:oMathPara>
    </w:p>
    <w:p>
      <w:pPr>
        <w:keepNext w:val="0"/>
        <w:keepLines w:val="0"/>
        <w:widowControl w:val="0"/>
        <w:spacing w:before="0" w:after="100" w:line="288" w:lineRule="auto"/>
        <w:jc w:val="center"/>
      </w:pPr>
      <m:oMathPara>
        <m:oMath>
          <m:r>
            <m:t>ΔXVSS=0.50×11340/[1+(0.060×1.04⁻⁵)×20]=2854.54 kg/d</m:t>
          </m:r>
        </m:oMath>
      </m:oMathPara>
    </w:p>
    <w:p>
      <w:pPr>
        <w:pStyle w:val="BodyText"/>
        <w:keepNext w:val="0"/>
        <w:keepLines w:val="0"/>
        <w:widowControl w:val="0"/>
        <w:spacing w:before="0" w:after="120" w:line="288" w:lineRule="auto"/>
        <w:ind w:firstLine="420"/>
      </w:pPr>
      <w:r>
        <w:rPr>
          <w:rFonts w:ascii="Songti SC" w:hAnsi="Songti SC" w:eastAsia="Songti SC" w:cs="Songti SC"/>
          <w:b w:val="0"/>
          <w:sz w:val="24"/>
        </w:rPr>
        <w:t>生物段以不含铁盐固体的3.5 kg/m³基准MLSS计算，进水负荷为0.0612 kgBOD₅/(kgMLSS·d)，可与GB 50014—2021表7.6.19经验范围对照。若以含铁盐稳态库存的总MLSS 4.379 kg/m³作分母，表观进水负荷为13500/275876.8=0.0489 kgBOD₅/(kgMLSS·d)，略低于表列0.05下限。两种口径分别用于生物段选值和二沉固体负荷，经验参数对照支持课程尺寸，实际水质仍需运行验证。基准净VSS按0.12 kgN/kgVSS计同化氮342.55 kgN/d。</w:t>
      </w:r>
    </w:p>
    <w:p>
      <w:pPr>
        <w:pStyle w:val="Heading2"/>
        <w:keepNext/>
        <w:keepLines w:val="0"/>
      </w:pPr>
      <w:r>
        <w:t>8.3 回流系统</w:t>
      </w:r>
    </w:p>
    <w:p>
      <w:pPr>
        <w:pStyle w:val="BodyText"/>
        <w:keepNext w:val="0"/>
        <w:keepLines w:val="0"/>
        <w:widowControl w:val="0"/>
        <w:spacing w:before="0" w:after="120" w:line="288" w:lineRule="auto"/>
        <w:ind w:firstLine="420"/>
      </w:pPr>
      <w:r>
        <w:rPr>
          <w:rFonts w:ascii="Songti SC" w:hAnsi="Songti SC" w:eastAsia="Songti SC" w:cs="Songti SC"/>
          <w:b w:val="0"/>
          <w:sz w:val="24"/>
        </w:rPr>
        <w:t>回流污泥比R=0.75，平均回流污泥量81000 m³/d；混合液内回流比Ri=2.50，内回流270000 m³/d。回流值是设计能力，运行按二沉泥位、MLSS和缺氧段NOx反馈调节。</w:t>
      </w:r>
    </w:p>
    <w:p>
      <w:pPr>
        <w:keepNext/>
        <w:keepLines w:val="0"/>
        <w:widowControl w:val="0"/>
        <w:spacing w:before="0" w:after="120" w:line="288" w:lineRule="auto"/>
        <w:jc w:val="center"/>
      </w:pPr>
      <w:r>
        <w:rPr>
          <w:rFonts w:ascii="Songti SC" w:hAnsi="Songti SC" w:eastAsia="Songti SC" w:cs="Songti SC"/>
          <w:b w:val="0"/>
          <w:sz w:val="21"/>
        </w:rPr>
        <w:t>表8-2 系统、设计流量汇总</w:t>
      </w:r>
    </w:p>
    <w:tbl>
      <w:tblPr>
        <w:tblW w:type="auto" w:w="0"/>
        <w:jc w:val="center"/>
        <w:tblLayout w:type="fixed"/>
        <w:tblLook w:firstColumn="1" w:firstRow="1" w:lastColumn="0" w:lastRow="0" w:noHBand="0" w:noVBand="1" w:val="04A0"/>
      </w:tblPr>
      <w:tblGrid>
        <w:gridCol w:w="2310"/>
        <w:gridCol w:w="2310"/>
        <w:gridCol w:w="2310"/>
        <w:gridCol w:w="2310"/>
      </w:tblGrid>
      <w:tr>
        <w:trPr>
          <w:tblHeader w:val="true"/>
          <w:cantSplit/>
        </w:trPr>
        <w:tc>
          <w:tcPr>
            <w:tcW w:type="dxa" w:w="1701"/>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系统</w:t>
            </w:r>
          </w:p>
        </w:tc>
        <w:tc>
          <w:tcPr>
            <w:tcW w:type="dxa" w:w="2268"/>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设计流量</w:t>
            </w:r>
          </w:p>
        </w:tc>
        <w:tc>
          <w:tcPr>
            <w:tcW w:type="dxa" w:w="2665"/>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管径接口</w:t>
            </w:r>
          </w:p>
        </w:tc>
        <w:tc>
          <w:tcPr>
            <w:tcW w:type="dxa" w:w="2381"/>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动态损失/扬程边界</w:t>
            </w:r>
          </w:p>
        </w:tc>
      </w:tr>
      <w:tr>
        <w:trPr>
          <w:cantSplit/>
        </w:trPr>
        <w:tc>
          <w:tcPr>
            <w:tcW w:type="dxa" w:w="170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回流污泥</w:t>
            </w:r>
          </w:p>
        </w:tc>
        <w:tc>
          <w:tcPr>
            <w:tcW w:type="dxa" w:w="226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最高时每系列0.3516m³/s</w:t>
            </w:r>
          </w:p>
        </w:tc>
        <w:tc>
          <w:tcPr>
            <w:tcW w:type="dxa" w:w="266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最远池DN500×175m；系列DN700×192.5m</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动态0.832m；需2.532m，取3.0m/18.5kW</w:t>
            </w:r>
          </w:p>
        </w:tc>
      </w:tr>
      <w:tr>
        <w:trPr>
          <w:cantSplit/>
        </w:trPr>
        <w:tc>
          <w:tcPr>
            <w:tcW w:type="dxa" w:w="170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混合液内回流</w:t>
            </w:r>
          </w:p>
        </w:tc>
        <w:tc>
          <w:tcPr>
            <w:tcW w:type="dxa" w:w="226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最高时每系列1.1719m³/s</w:t>
            </w:r>
          </w:p>
        </w:tc>
        <w:tc>
          <w:tcPr>
            <w:tcW w:type="dxa" w:w="266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每系列DN1200×125m</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动态0.333m；需0.933m，取1.2m/22kW</w:t>
            </w:r>
          </w:p>
        </w:tc>
      </w:tr>
      <w:tr>
        <w:trPr>
          <w:cantSplit/>
        </w:trPr>
        <w:tc>
          <w:tcPr>
            <w:tcW w:type="dxa" w:w="170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剩余污泥</w:t>
            </w:r>
          </w:p>
        </w:tc>
        <w:tc>
          <w:tcPr>
            <w:tcW w:type="dxa" w:w="226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1,156.3 m³/d</w:t>
            </w:r>
          </w:p>
        </w:tc>
        <w:tc>
          <w:tcPr>
            <w:tcW w:type="dxa" w:w="266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单池DN200、同线DN250</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连续排放，最终由污泥系统校核</w:t>
            </w:r>
          </w:p>
        </w:tc>
      </w:tr>
    </w:tbl>
    <w:p>
      <w:pPr>
        <w:spacing w:after="20"/>
      </w:pPr>
    </w:p>
    <w:p>
      <w:pPr>
        <w:keepNext/>
        <w:keepLines w:val="0"/>
        <w:widowControl w:val="0"/>
        <w:spacing w:before="0" w:after="120" w:line="288" w:lineRule="auto"/>
        <w:jc w:val="center"/>
      </w:pPr>
      <w:r>
        <w:rPr>
          <w:rFonts w:ascii="Songti SC" w:hAnsi="Songti SC" w:eastAsia="Songti SC" w:cs="Songti SC"/>
          <w:b w:val="0"/>
          <w:sz w:val="21"/>
        </w:rPr>
        <w:t>表8-3 回流泵设备配置</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tblHeader w:val="true"/>
          <w:cantSplit/>
        </w:trPr>
        <w:tc>
          <w:tcPr>
            <w:tcW w:type="dxa" w:w="1928"/>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9"/>
              </w:rPr>
              <w:t>设备</w:t>
            </w:r>
          </w:p>
        </w:tc>
        <w:tc>
          <w:tcPr>
            <w:tcW w:type="dxa" w:w="1134"/>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9"/>
              </w:rPr>
              <w:t>系列数</w:t>
            </w:r>
          </w:p>
        </w:tc>
        <w:tc>
          <w:tcPr>
            <w:tcW w:type="dxa" w:w="1814"/>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9"/>
              </w:rPr>
              <w:t>每系列配置</w:t>
            </w:r>
          </w:p>
        </w:tc>
        <w:tc>
          <w:tcPr>
            <w:tcW w:type="dxa" w:w="2948"/>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9"/>
              </w:rPr>
              <w:t>单台设计工况</w:t>
            </w:r>
          </w:p>
        </w:tc>
        <w:tc>
          <w:tcPr>
            <w:tcW w:type="dxa" w:w="1361"/>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9"/>
              </w:rPr>
              <w:t>备用方式</w:t>
            </w:r>
          </w:p>
        </w:tc>
      </w:tr>
      <w:tr>
        <w:trPr>
          <w:cantSplit/>
        </w:trPr>
        <w:tc>
          <w:tcPr>
            <w:tcW w:type="dxa" w:w="192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9"/>
              </w:rPr>
              <w:t>回流污泥泵</w:t>
            </w:r>
          </w:p>
        </w:tc>
        <w:tc>
          <w:tcPr>
            <w:tcW w:type="dxa" w:w="113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4</w:t>
            </w:r>
          </w:p>
        </w:tc>
        <w:tc>
          <w:tcPr>
            <w:tcW w:type="dxa" w:w="181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2台100%容量</w:t>
            </w:r>
          </w:p>
        </w:tc>
        <w:tc>
          <w:tcPr>
            <w:tcW w:type="dxa" w:w="294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1266 m³/h，H=3.0 m，18.5 kW</w:t>
            </w:r>
          </w:p>
        </w:tc>
        <w:tc>
          <w:tcPr>
            <w:tcW w:type="dxa" w:w="136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1用1备</w:t>
            </w:r>
          </w:p>
        </w:tc>
      </w:tr>
      <w:tr>
        <w:trPr>
          <w:cantSplit/>
        </w:trPr>
        <w:tc>
          <w:tcPr>
            <w:tcW w:type="dxa" w:w="192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9"/>
              </w:rPr>
              <w:t>混合液内回流泵</w:t>
            </w:r>
          </w:p>
        </w:tc>
        <w:tc>
          <w:tcPr>
            <w:tcW w:type="dxa" w:w="113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4</w:t>
            </w:r>
          </w:p>
        </w:tc>
        <w:tc>
          <w:tcPr>
            <w:tcW w:type="dxa" w:w="181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2台100%容量</w:t>
            </w:r>
          </w:p>
        </w:tc>
        <w:tc>
          <w:tcPr>
            <w:tcW w:type="dxa" w:w="294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4219 m³/h，H=1.2 m，22 kW</w:t>
            </w:r>
          </w:p>
        </w:tc>
        <w:tc>
          <w:tcPr>
            <w:tcW w:type="dxa" w:w="136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1用1备</w:t>
            </w:r>
          </w:p>
        </w:tc>
      </w:tr>
    </w:tbl>
    <w:p>
      <w:pPr>
        <w:spacing w:after="20"/>
      </w:pPr>
    </w:p>
    <w:p>
      <w:pPr>
        <w:pStyle w:val="BodyText"/>
        <w:keepNext w:val="0"/>
        <w:keepLines w:val="0"/>
        <w:widowControl w:val="0"/>
        <w:spacing w:before="0" w:after="120" w:line="288" w:lineRule="auto"/>
        <w:ind w:firstLine="420"/>
      </w:pPr>
      <w:r>
        <w:rPr>
          <w:rFonts w:ascii="Songti SC" w:hAnsi="Songti SC" w:eastAsia="Songti SC" w:cs="Songti SC"/>
          <w:b w:val="0"/>
          <w:sz w:val="24"/>
        </w:rPr>
        <w:t>RAS最不利路径由二沉配水/回流节点至对应A²/O厌氧入口的同坐标线路取得；按最高时回流量，DN500单池支管损失0.449 m、DN700系列管损0.383 m，合计0.832 m。加二沉水面EL31.40至A²/O入口EL32.60静差1.20 m及0.50 m余量，所需2.532 m，取3.0 m。内回流管沿单系列池外125 m，动态0.333 m，加0.60 m余量需0.933 m，取1.2 m。</w:t>
      </w:r>
    </w:p>
    <w:p>
      <w:pPr>
        <w:pStyle w:val="Heading2"/>
        <w:keepNext/>
        <w:keepLines w:val="0"/>
      </w:pPr>
      <w:r>
        <w:t>8.4 15℃硝化动力学校核</w:t>
      </w:r>
    </w:p>
    <w:p>
      <w:pPr>
        <w:pStyle w:val="BodyText"/>
        <w:keepNext w:val="0"/>
        <w:keepLines w:val="0"/>
        <w:widowControl w:val="0"/>
        <w:spacing w:before="0" w:after="120" w:line="288" w:lineRule="auto"/>
        <w:ind w:firstLine="420"/>
      </w:pPr>
      <w:r>
        <w:rPr>
          <w:rFonts w:ascii="Songti SC" w:hAnsi="Songti SC" w:eastAsia="Songti SC" w:cs="Songti SC"/>
          <w:b w:val="0"/>
          <w:sz w:val="24"/>
        </w:rPr>
        <w:t>因进水NH₄-N未给定，以TN负荷4800 kg/d减日均NH₄-N出水上限864 kg/d，得到硝化设备容量上界3936 kgN/d。采用EPA表4-4的AOB参数：μmax,20=0.90 d⁻¹、b20=0.17 d⁻¹、KN=0.70 mg/L、KO=0.50 mg/L、Y=0.15，温度系数分别1.072和1.029；按NH₄-N=8 mg/L、DO=2 mg/L。</w:t>
      </w:r>
    </w:p>
    <w:p>
      <w:pPr>
        <w:keepNext w:val="0"/>
        <w:keepLines w:val="0"/>
        <w:widowControl w:val="0"/>
        <w:spacing w:before="0" w:after="100" w:line="288" w:lineRule="auto"/>
        <w:jc w:val="center"/>
      </w:pPr>
      <m:oMathPara>
        <m:oMath>
          <m:r>
            <m:t>μnet=(7.7/14)[0.90×1.072⁻⁵×8/(8+0.7)×2/(2+0.5)]−0.17×1.029⁻⁵</m:t>
          </m:r>
        </m:oMath>
      </m:oMathPara>
    </w:p>
    <w:p>
      <w:pPr>
        <w:keepNext w:val="0"/>
        <w:keepLines w:val="0"/>
        <w:widowControl w:val="0"/>
        <w:spacing w:before="0" w:after="100" w:line="288" w:lineRule="auto"/>
        <w:jc w:val="center"/>
      </w:pPr>
      <m:oMathPara>
        <m:oMath>
          <m:r>
            <m:t>SRTcritical=1/μnet=9.103 d；20/9.103=2.197</m:t>
          </m:r>
        </m:oMath>
      </m:oMathPara>
    </w:p>
    <w:p>
      <w:pPr>
        <w:pStyle w:val="BodyText"/>
        <w:keepNext w:val="0"/>
        <w:keepLines w:val="0"/>
        <w:widowControl w:val="0"/>
        <w:spacing w:before="0" w:after="120" w:line="288" w:lineRule="auto"/>
        <w:ind w:firstLine="420"/>
      </w:pPr>
      <w:r>
        <w:rPr>
          <w:rFonts w:ascii="Songti SC" w:hAnsi="Songti SC" w:eastAsia="Songti SC" w:cs="Songti SC"/>
          <w:b w:val="0"/>
          <w:sz w:val="24"/>
        </w:rPr>
        <w:t>设计系统SRT为临界值的2.20倍，作为15℃课程筛查有余量。该式显式考虑好氧体积分数，避免把20 d系统SRT直接等同为好氧SRT；真实最低水温、TKN、pH、碱度和抑制物仍须现场验证。</w:t>
      </w:r>
    </w:p>
    <w:p>
      <w:pPr>
        <w:pStyle w:val="Heading1"/>
        <w:keepNext/>
        <w:keepLines w:val="0"/>
      </w:pPr>
      <w:r>
        <w:t>9 脱氮碳源、除磷与碱度</w:t>
      </w:r>
    </w:p>
    <w:p>
      <w:pPr>
        <w:pStyle w:val="Heading2"/>
        <w:keepNext/>
        <w:keepLines w:val="0"/>
      </w:pPr>
      <w:r>
        <w:t>9.1 反硝化容量工况</w:t>
      </w:r>
    </w:p>
    <w:p>
      <w:pPr>
        <w:pStyle w:val="BodyText"/>
        <w:keepNext w:val="0"/>
        <w:keepLines w:val="0"/>
        <w:widowControl w:val="0"/>
        <w:spacing w:before="0" w:after="120" w:line="288" w:lineRule="auto"/>
        <w:ind w:firstLine="420"/>
      </w:pPr>
      <w:r>
        <w:rPr>
          <w:rFonts w:ascii="Songti SC" w:hAnsi="Songti SC" w:eastAsia="Songti SC" w:cs="Songti SC"/>
          <w:b w:val="0"/>
          <w:sz w:val="24"/>
        </w:rPr>
        <w:t>TN最低去除量2640 kg/d，扣除基准生物同化342.55 kgN/d，保守容量工况的反硝化量为2297.46 kgN/d。为避免把理论电子当量2.86误作药剂量，采用EPA/600/R-10/100式4-34：</w:t>
      </w:r>
    </w:p>
    <w:p>
      <w:pPr>
        <w:keepNext w:val="0"/>
        <w:keepLines w:val="0"/>
        <w:widowControl w:val="0"/>
        <w:spacing w:before="0" w:after="100" w:line="288" w:lineRule="auto"/>
        <w:jc w:val="center"/>
      </w:pPr>
      <m:oMathPara>
        <m:oMath>
          <m:r>
            <m:t>COD/NO₃-N=2.86/(1−1.42Y)</m:t>
          </m:r>
        </m:oMath>
      </m:oMathPara>
    </w:p>
    <w:p>
      <w:pPr>
        <w:pStyle w:val="BodyText"/>
        <w:keepNext w:val="0"/>
        <w:keepLines w:val="0"/>
        <w:widowControl w:val="0"/>
        <w:spacing w:before="0" w:after="120" w:line="288" w:lineRule="auto"/>
        <w:ind w:firstLine="420"/>
      </w:pPr>
      <w:r>
        <w:rPr>
          <w:rFonts w:ascii="Songti SC" w:hAnsi="Songti SC" w:eastAsia="Songti SC" w:cs="Songti SC"/>
          <w:b w:val="0"/>
          <w:sz w:val="24"/>
        </w:rPr>
        <w:t>甲醇异养产率取EPA范围上端Y=0.30 gVSS/gCOD，COD/N=4.9826；甲醇COD当量1.50 kgCOD/kg纯甲醇，商品质量分数80%。</w:t>
      </w:r>
    </w:p>
    <w:p>
      <w:pPr>
        <w:pStyle w:val="BodyText"/>
        <w:keepNext w:val="0"/>
        <w:keepLines w:val="0"/>
        <w:widowControl w:val="0"/>
        <w:spacing w:before="0" w:after="120" w:line="288" w:lineRule="auto"/>
        <w:ind w:firstLine="420"/>
      </w:pPr>
      <w:r>
        <w:rPr>
          <w:rFonts w:ascii="Songti SC" w:hAnsi="Songti SC" w:eastAsia="Songti SC" w:cs="Songti SC"/>
          <w:b w:val="0"/>
          <w:sz w:val="24"/>
        </w:rPr>
        <w:t>内回流2.50Q若从好氧末端携带DO=2 mg/L，将向缺氧区带入540 kgO₂/d。为避免把这部分需量遗漏，按同一生物合成修正折算为940.77 kgCOD/d，除非实际设置并验证脱氧段，容量工况均计入。</w:t>
      </w:r>
    </w:p>
    <w:p>
      <w:pPr>
        <w:keepNext w:val="0"/>
        <w:keepLines w:val="0"/>
        <w:widowControl w:val="0"/>
        <w:spacing w:before="0" w:after="100" w:line="288" w:lineRule="auto"/>
        <w:jc w:val="center"/>
      </w:pPr>
      <m:oMathPara>
        <m:oMath>
          <m:r>
            <m:t>CODcap=2297.46×4.9826+540/(1−1.42×0.30)=12388.02 kg/d</m:t>
          </m:r>
        </m:oMath>
      </m:oMathPara>
    </w:p>
    <w:p>
      <w:pPr>
        <w:keepNext w:val="0"/>
        <w:keepLines w:val="0"/>
        <w:widowControl w:val="0"/>
        <w:spacing w:before="0" w:after="100" w:line="288" w:lineRule="auto"/>
        <w:jc w:val="center"/>
      </w:pPr>
      <m:oMathPara>
        <m:oMath>
          <m:r>
            <m:t>M80,cap=12388.02/(1.50×0.80)=10323 kg/d</m:t>
          </m:r>
        </m:oMath>
      </m:oMathPara>
    </w:p>
    <w:p>
      <w:pPr>
        <w:pStyle w:val="BodyText"/>
        <w:keepNext w:val="0"/>
        <w:keepLines w:val="0"/>
        <w:widowControl w:val="0"/>
        <w:spacing w:before="0" w:after="120" w:line="288" w:lineRule="auto"/>
        <w:ind w:firstLine="420"/>
      </w:pPr>
      <w:r>
        <w:rPr>
          <w:rFonts w:ascii="Songti SC" w:hAnsi="Songti SC" w:eastAsia="Songti SC" w:cs="Songti SC"/>
          <w:b w:val="0"/>
          <w:sz w:val="24"/>
        </w:rPr>
        <w:t>日储供能力取12000 kg/d，较计算日量留有16.2%余量。计量泵按最高时投加能力复核：容量日量折合峰时约645.2 kg/h，采用2台100%容量泵、单泵额定不小于700 kg/h。该工况将原水可利用反硝化碳贡献取0，且为容量保守不扣甲醇新增生物量的氮同化；因此它是药剂上限，不是运行时精确投加量。去除硝酸盐部分所需纯甲醇为3.322 g/gNO₃-N，位于EPA手册约2.7～3.3 g/g的上沿；内回流携氧另行增加用量。</w:t>
      </w:r>
    </w:p>
    <w:p>
      <w:pPr>
        <w:pStyle w:val="Heading2"/>
        <w:keepNext/>
        <w:keepLines w:val="0"/>
      </w:pPr>
      <w:r>
        <w:t>9.2 运行氮平衡</w:t>
      </w:r>
    </w:p>
    <w:p>
      <w:pPr>
        <w:pStyle w:val="BodyText"/>
        <w:keepNext w:val="0"/>
        <w:keepLines w:val="0"/>
        <w:widowControl w:val="0"/>
        <w:spacing w:before="0" w:after="120" w:line="288" w:lineRule="auto"/>
        <w:ind w:firstLine="420"/>
      </w:pPr>
      <w:r>
        <w:rPr>
          <w:rFonts w:ascii="Songti SC" w:hAnsi="Songti SC" w:eastAsia="Songti SC" w:cs="Songti SC"/>
          <w:b w:val="0"/>
          <w:sz w:val="24"/>
        </w:rPr>
        <w:t>为避免容量上限与实际物料平衡混写，另设运行平衡。甲醇衰减率20℃取0.04 d⁻¹，温度系数1.04作为课程假设；20 d SRT下每kg外加COD形成净甲醇VSS约0.1810 kg。氮平衡同时计入硝酸盐与内回流携氧所生成的甲醇生物量。</w:t>
      </w:r>
    </w:p>
    <w:p>
      <w:pPr>
        <w:keepNext w:val="0"/>
        <w:keepLines w:val="0"/>
        <w:widowControl w:val="0"/>
        <w:spacing w:before="0" w:after="100" w:line="288" w:lineRule="auto"/>
        <w:jc w:val="center"/>
      </w:pPr>
      <m:oMathPara>
        <m:oMath>
          <m:r>
            <m:t>2640=342.55+Nden+0.12×0.1810(4.9826Nden+940.77)</m:t>
          </m:r>
        </m:oMath>
      </m:oMathPara>
    </w:p>
    <w:p>
      <w:pPr>
        <w:keepNext w:val="0"/>
        <w:keepLines w:val="0"/>
        <w:widowControl w:val="0"/>
        <w:spacing w:before="0" w:after="100" w:line="288" w:lineRule="auto"/>
        <w:jc w:val="center"/>
      </w:pPr>
      <m:oMathPara>
        <m:oMath>
          <m:r>
            <m:t>Nden,op=2054.67 kgN/d；M80,op=9315 kg/d</m:t>
          </m:r>
        </m:oMath>
      </m:oMathPara>
    </w:p>
    <w:p>
      <w:pPr>
        <w:pStyle w:val="BodyText"/>
        <w:keepNext w:val="0"/>
        <w:keepLines w:val="0"/>
        <w:widowControl w:val="0"/>
        <w:spacing w:before="0" w:after="120" w:line="288" w:lineRule="auto"/>
        <w:ind w:firstLine="420"/>
      </w:pPr>
      <w:r>
        <w:rPr>
          <w:rFonts w:ascii="Songti SC" w:hAnsi="Songti SC" w:eastAsia="Songti SC" w:cs="Songti SC"/>
          <w:b w:val="0"/>
          <w:sz w:val="24"/>
        </w:rPr>
        <w:t>运行值约9315 kg/d，控制器应以进出水NOx、TN、DO和甲醇残余反馈调节，不按容量值连续固定投加。运行氮平衡残差小于10⁻⁹ kgN/d。</w:t>
      </w:r>
    </w:p>
    <w:p>
      <w:pPr>
        <w:pStyle w:val="Heading2"/>
        <w:keepNext/>
        <w:keepLines w:val="0"/>
      </w:pPr>
      <w:r>
        <w:t>9.3 15℃反硝化能力</w:t>
      </w:r>
    </w:p>
    <w:p>
      <w:pPr>
        <w:pStyle w:val="BodyText"/>
        <w:keepNext w:val="0"/>
        <w:keepLines w:val="0"/>
        <w:widowControl w:val="0"/>
        <w:spacing w:before="0" w:after="120" w:line="288" w:lineRule="auto"/>
        <w:ind w:firstLine="420"/>
      </w:pPr>
      <w:r>
        <w:rPr>
          <w:rFonts w:ascii="Songti SC" w:hAnsi="Songti SC" w:eastAsia="Songti SC" w:cs="Songti SC"/>
          <w:b w:val="0"/>
          <w:sz w:val="24"/>
        </w:rPr>
        <w:t>EPA式4-39给出甲醇SDNR温度关系SDNR=0.0738×1.11^(T−20)。15℃为0.0437967 kgN/(kgMLVSS·d)。缺氧区21600 m³，按基准MLSS 3.5 kg/m³和MLVSS比例0.75：</w:t>
      </w:r>
    </w:p>
    <w:p>
      <w:pPr>
        <w:keepNext w:val="0"/>
        <w:keepLines w:val="0"/>
        <w:widowControl w:val="0"/>
        <w:spacing w:before="0" w:after="100" w:line="288" w:lineRule="auto"/>
        <w:jc w:val="center"/>
      </w:pPr>
      <m:oMathPara>
        <m:oMath>
          <m:r>
            <m:t>Ncap=21600×3.5×0.75×0.0437967=2483.27 kgN/d</m:t>
          </m:r>
        </m:oMath>
      </m:oMathPara>
    </w:p>
    <w:p>
      <w:pPr>
        <w:pStyle w:val="BodyText"/>
        <w:keepNext w:val="0"/>
        <w:keepLines w:val="0"/>
        <w:widowControl w:val="0"/>
        <w:spacing w:before="0" w:after="120" w:line="288" w:lineRule="auto"/>
        <w:ind w:firstLine="420"/>
      </w:pPr>
      <w:r>
        <w:rPr>
          <w:rFonts w:ascii="Songti SC" w:hAnsi="Songti SC" w:eastAsia="Songti SC" w:cs="Songti SC"/>
          <w:b w:val="0"/>
          <w:sz w:val="24"/>
        </w:rPr>
        <w:t>相对保守容量工况2297.46 kgN/d的余量为8.09%。该余量适用于15℃设计温度和本节采用参数；低于15℃或甲醇驯化不足时需降低负荷、调整分区或增加载体/池容。</w:t>
      </w:r>
    </w:p>
    <w:p>
      <w:pPr>
        <w:pStyle w:val="Heading2"/>
        <w:keepNext/>
        <w:keepLines w:val="0"/>
      </w:pPr>
      <w:r>
        <w:t>9.4 铁盐除磷</w:t>
      </w:r>
    </w:p>
    <w:p>
      <w:pPr>
        <w:pStyle w:val="BodyText"/>
        <w:keepNext w:val="0"/>
        <w:keepLines w:val="0"/>
        <w:widowControl w:val="0"/>
        <w:spacing w:before="0" w:after="120" w:line="288" w:lineRule="auto"/>
        <w:ind w:firstLine="420"/>
      </w:pPr>
      <w:r>
        <w:rPr>
          <w:rFonts w:ascii="Songti SC" w:hAnsi="Songti SC" w:eastAsia="Songti SC" w:cs="Songti SC"/>
          <w:b w:val="0"/>
          <w:sz w:val="24"/>
        </w:rPr>
        <w:t>初沉后TP负荷555 kgP/d，达到108 kgP/d日均目标仍需去除447 kgP/d。生物除磷容量仅按基准净VSS的4%计114.18 kgP/d，不给甲醇生物量重复分配磷信用；化学去除量332.82 kgP/d。Fe/P摩尔比取2.0：</w:t>
      </w:r>
    </w:p>
    <w:p>
      <w:pPr>
        <w:keepNext w:val="0"/>
        <w:keepLines w:val="0"/>
        <w:widowControl w:val="0"/>
        <w:spacing w:before="0" w:after="100" w:line="288" w:lineRule="auto"/>
        <w:jc w:val="center"/>
      </w:pPr>
      <m:oMathPara>
        <m:oMath>
          <m:r>
            <m:t>nP=332.82/30.973762=10.745 kmol/d；nFe=21.491 kmol/d</m:t>
          </m:r>
        </m:oMath>
      </m:oMathPara>
    </w:p>
    <w:p>
      <w:pPr>
        <w:keepNext w:val="0"/>
        <w:keepLines w:val="0"/>
        <w:widowControl w:val="0"/>
        <w:spacing w:before="0" w:after="100" w:line="288" w:lineRule="auto"/>
        <w:jc w:val="center"/>
      </w:pPr>
      <m:oMathPara>
        <m:oMath>
          <m:r>
            <m:t>MFeCl₃=21.491×162.204=3485.82 kg/d</m:t>
          </m:r>
        </m:oMath>
      </m:oMathPara>
    </w:p>
    <w:p>
      <w:pPr>
        <w:pStyle w:val="BodyText"/>
        <w:keepNext w:val="0"/>
        <w:keepLines w:val="0"/>
        <w:widowControl w:val="0"/>
        <w:spacing w:before="0" w:after="120" w:line="288" w:lineRule="auto"/>
        <w:ind w:firstLine="420"/>
      </w:pPr>
      <w:r>
        <w:rPr>
          <w:rFonts w:ascii="Songti SC" w:hAnsi="Songti SC" w:eastAsia="Songti SC" w:cs="Songti SC"/>
          <w:b w:val="0"/>
          <w:sz w:val="24"/>
        </w:rPr>
        <w:t>40% FeCl₃溶液密度按1.40 t/m³，则计算量6.225 m³/d；加20%日储供容量取7.47 m³/d。最高时计量能力为0.389 m³/h，采用2台100%容量泵、单泵额定0.45 m³/h。EPA手册第9章示例可支持40%溶液和1.4 kg/L密度作为课程假设，实际产品浓度和密度须由供货证书校正。</w:t>
      </w:r>
    </w:p>
    <w:p>
      <w:pPr>
        <w:keepNext/>
        <w:keepLines w:val="0"/>
        <w:jc w:val="center"/>
      </w:pPr>
      <w:r>
        <w:drawing>
          <wp:inline xmlns:a="http://schemas.openxmlformats.org/drawingml/2006/main" xmlns:pic="http://schemas.openxmlformats.org/drawingml/2006/picture">
            <wp:extent cx="5715000" cy="2857500"/>
            <wp:docPr id="6" name="Picture 6"/>
            <wp:cNvGraphicFramePr>
              <a:graphicFrameLocks noChangeAspect="1"/>
            </wp:cNvGraphicFramePr>
            <a:graphic>
              <a:graphicData uri="http://schemas.openxmlformats.org/drawingml/2006/picture">
                <pic:pic>
                  <pic:nvPicPr>
                    <pic:cNvPr id="0" name="07_dosing_balance.png"/>
                    <pic:cNvPicPr/>
                  </pic:nvPicPr>
                  <pic:blipFill>
                    <a:blip r:embed="rId15"/>
                    <a:stretch>
                      <a:fillRect/>
                    </a:stretch>
                  </pic:blipFill>
                  <pic:spPr>
                    <a:xfrm>
                      <a:off x="0" y="0"/>
                      <a:ext cx="5715000" cy="2857500"/>
                    </a:xfrm>
                    <a:prstGeom prst="rect"/>
                  </pic:spPr>
                </pic:pic>
              </a:graphicData>
            </a:graphic>
          </wp:inline>
        </w:drawing>
      </w:r>
    </w:p>
    <w:p>
      <w:pPr>
        <w:keepNext w:val="0"/>
        <w:keepLines w:val="0"/>
        <w:widowControl w:val="0"/>
        <w:spacing w:before="0" w:after="120" w:line="288" w:lineRule="auto"/>
        <w:jc w:val="center"/>
      </w:pPr>
      <w:r>
        <w:rPr>
          <w:rFonts w:ascii="Songti SC" w:hAnsi="Songti SC" w:eastAsia="Songti SC" w:cs="Songti SC"/>
          <w:b w:val="0"/>
          <w:sz w:val="21"/>
        </w:rPr>
        <w:t>图9-1 投药与固体闭合边界</w:t>
      </w:r>
    </w:p>
    <w:p>
      <w:pPr>
        <w:pStyle w:val="Heading2"/>
        <w:keepNext/>
        <w:keepLines w:val="0"/>
      </w:pPr>
      <w:r>
        <w:t>9.5 化学固体与碱度</w:t>
      </w:r>
    </w:p>
    <w:p>
      <w:pPr>
        <w:pStyle w:val="BodyText"/>
        <w:keepNext w:val="0"/>
        <w:keepLines w:val="0"/>
        <w:widowControl w:val="0"/>
        <w:spacing w:before="0" w:after="120" w:line="288" w:lineRule="auto"/>
        <w:ind w:firstLine="420"/>
      </w:pPr>
      <w:r>
        <w:rPr>
          <w:rFonts w:ascii="Songti SC" w:hAnsi="Songti SC" w:eastAsia="Songti SC" w:cs="Songti SC"/>
          <w:b w:val="0"/>
          <w:sz w:val="24"/>
        </w:rPr>
        <w:t>1 mol Fe与磷形成FePO₄，另一mol过量Fe形成Fe(OH)₃，化学干固体：</w:t>
      </w:r>
    </w:p>
    <w:p>
      <w:pPr>
        <w:keepNext w:val="0"/>
        <w:keepLines w:val="0"/>
        <w:widowControl w:val="0"/>
        <w:spacing w:before="0" w:after="100" w:line="288" w:lineRule="auto"/>
        <w:jc w:val="center"/>
      </w:pPr>
      <m:oMathPara>
        <m:oMath>
          <m:r>
            <m:t>Mchem=10.745×(150.815+106.867)=2768.84 kg/d</m:t>
          </m:r>
        </m:oMath>
      </m:oMathPara>
    </w:p>
    <w:p>
      <w:pPr>
        <w:pStyle w:val="BodyText"/>
        <w:keepNext w:val="0"/>
        <w:keepLines w:val="0"/>
        <w:widowControl w:val="0"/>
        <w:spacing w:before="0" w:after="120" w:line="288" w:lineRule="auto"/>
        <w:ind w:firstLine="420"/>
      </w:pPr>
      <w:r>
        <w:rPr>
          <w:rFonts w:ascii="Songti SC" w:hAnsi="Songti SC" w:eastAsia="Songti SC" w:cs="Songti SC"/>
          <w:b w:val="0"/>
          <w:sz w:val="24"/>
        </w:rPr>
        <w:t>碱度按EPA式3-2的磷酸盐反应2当量、过量铁水解3当量，铁盐耗碱2686.29 kgCaCO₃/d。硝化耗碱7.14 kgCaCO₃/kgN，反硝化回补3.57 kgCaCO₃/kgN；按硝化容量上界3936 kgN/d和反硝化容量2297.46 kgN/d，生物净耗碱19901.12 kgCaCO₃/d。</w:t>
      </w:r>
    </w:p>
    <w:p>
      <w:pPr>
        <w:keepNext w:val="0"/>
        <w:keepLines w:val="0"/>
        <w:widowControl w:val="0"/>
        <w:spacing w:before="0" w:after="100" w:line="288" w:lineRule="auto"/>
        <w:jc w:val="center"/>
      </w:pPr>
      <m:oMathPara>
        <m:oMath>
          <m:r>
            <m:t>Alkin,min=[7.14×3936−3.57×2297.46+2686.29]×1000/108000+70</m:t>
          </m:r>
        </m:oMath>
      </m:oMathPara>
    </w:p>
    <w:p>
      <w:pPr>
        <w:keepNext w:val="0"/>
        <w:keepLines w:val="0"/>
        <w:widowControl w:val="0"/>
        <w:spacing w:before="0" w:after="100" w:line="288" w:lineRule="auto"/>
        <w:jc w:val="center"/>
      </w:pPr>
      <m:oMathPara>
        <m:oMath>
          <m:r>
            <m:t>Alkin,min=279.1 mg/L as CaCO₃</m:t>
          </m:r>
        </m:oMath>
      </m:oMathPara>
    </w:p>
    <w:p>
      <w:pPr>
        <w:pStyle w:val="BodyText"/>
        <w:keepNext w:val="0"/>
        <w:keepLines w:val="0"/>
        <w:widowControl w:val="0"/>
        <w:spacing w:before="0" w:after="120" w:line="288" w:lineRule="auto"/>
        <w:ind w:firstLine="420"/>
      </w:pPr>
      <w:r>
        <w:rPr>
          <w:rFonts w:ascii="Songti SC" w:hAnsi="Songti SC" w:eastAsia="Songti SC" w:cs="Songti SC"/>
          <w:b w:val="0"/>
          <w:sz w:val="24"/>
        </w:rPr>
        <w:t>设计边界为进水碱度不低于279 mg/L（含出水残余70 mg/L）。若实测低于该值，应设置碱剂投加。按99% NaHCO₃，折算关系为84/50 kgNaHCO₃/kgCaCO₃：</w:t>
      </w:r>
    </w:p>
    <w:p>
      <w:pPr>
        <w:keepNext w:val="0"/>
        <w:keepLines w:val="0"/>
        <w:widowControl w:val="0"/>
        <w:spacing w:before="0" w:after="100" w:line="288" w:lineRule="auto"/>
        <w:jc w:val="center"/>
      </w:pPr>
      <m:oMathPara>
        <m:oMath>
          <m:r>
            <m:t>MNaHCO₃=(279.14−Alkin)×108000/1000×(84/50)/0.99</m:t>
          </m:r>
        </m:oMath>
      </m:oMathPara>
    </w:p>
    <w:p>
      <w:pPr>
        <w:keepNext/>
        <w:keepLines w:val="0"/>
        <w:widowControl w:val="0"/>
        <w:spacing w:before="0" w:after="120" w:line="288" w:lineRule="auto"/>
        <w:jc w:val="center"/>
      </w:pPr>
      <w:r>
        <w:rPr>
          <w:rFonts w:ascii="Songti SC" w:hAnsi="Songti SC" w:eastAsia="Songti SC" w:cs="Songti SC"/>
          <w:b w:val="0"/>
          <w:sz w:val="21"/>
        </w:rPr>
        <w:t>表9-1 实测进水碱度 mg/L、缺口 mg/L（CaCO₃）汇总</w:t>
      </w:r>
    </w:p>
    <w:tbl>
      <w:tblPr>
        <w:tblW w:type="auto" w:w="0"/>
        <w:jc w:val="center"/>
        <w:tblLayout w:type="fixed"/>
        <w:tblLook w:firstColumn="1" w:firstRow="1" w:lastColumn="0" w:lastRow="0" w:noHBand="0" w:noVBand="1" w:val="04A0"/>
      </w:tblPr>
      <w:tblGrid>
        <w:gridCol w:w="2310"/>
        <w:gridCol w:w="2310"/>
        <w:gridCol w:w="2310"/>
        <w:gridCol w:w="2310"/>
      </w:tblGrid>
      <w:tr>
        <w:trPr>
          <w:tblHeader w:val="true"/>
          <w:cantSplit/>
        </w:trPr>
        <w:tc>
          <w:tcPr>
            <w:tcW w:type="dxa" w:w="2268"/>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9"/>
              </w:rPr>
              <w:t>实测进水碱度 mg/L</w:t>
            </w:r>
          </w:p>
        </w:tc>
        <w:tc>
          <w:tcPr>
            <w:tcW w:type="dxa" w:w="2381"/>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9"/>
              </w:rPr>
              <w:t>缺口 mg/L（CaCO₃）</w:t>
            </w:r>
          </w:p>
        </w:tc>
        <w:tc>
          <w:tcPr>
            <w:tcW w:type="dxa" w:w="2041"/>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9"/>
              </w:rPr>
              <w:t>99% NaHCO₃ kg/d</w:t>
            </w:r>
          </w:p>
        </w:tc>
        <w:tc>
          <w:tcPr>
            <w:tcW w:type="dxa" w:w="2041"/>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9"/>
              </w:rPr>
              <w:t>加20%容量 kg/d</w:t>
            </w:r>
          </w:p>
        </w:tc>
      </w:tr>
      <w:tr>
        <w:trPr>
          <w:cantSplit/>
        </w:trPr>
        <w:tc>
          <w:tcPr>
            <w:tcW w:type="dxa" w:w="226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9"/>
              </w:rPr>
              <w:t>100</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179.14</w:t>
            </w:r>
          </w:p>
        </w:tc>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32,832</w:t>
            </w:r>
          </w:p>
        </w:tc>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39,398</w:t>
            </w:r>
          </w:p>
        </w:tc>
      </w:tr>
      <w:tr>
        <w:trPr>
          <w:cantSplit/>
        </w:trPr>
        <w:tc>
          <w:tcPr>
            <w:tcW w:type="dxa" w:w="226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9"/>
              </w:rPr>
              <w:t>150</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129.14</w:t>
            </w:r>
          </w:p>
        </w:tc>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23,668</w:t>
            </w:r>
          </w:p>
        </w:tc>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28,402</w:t>
            </w:r>
          </w:p>
        </w:tc>
      </w:tr>
      <w:tr>
        <w:trPr>
          <w:cantSplit/>
        </w:trPr>
        <w:tc>
          <w:tcPr>
            <w:tcW w:type="dxa" w:w="226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9"/>
              </w:rPr>
              <w:t>200</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79.14</w:t>
            </w:r>
          </w:p>
        </w:tc>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14,505</w:t>
            </w:r>
          </w:p>
        </w:tc>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17,406</w:t>
            </w:r>
          </w:p>
        </w:tc>
      </w:tr>
    </w:tbl>
    <w:p>
      <w:pPr>
        <w:spacing w:after="20"/>
      </w:pPr>
    </w:p>
    <w:p>
      <w:pPr>
        <w:pStyle w:val="BodyText"/>
        <w:keepNext w:val="0"/>
        <w:keepLines w:val="0"/>
        <w:widowControl w:val="0"/>
        <w:spacing w:before="0" w:after="120" w:line="288" w:lineRule="auto"/>
        <w:ind w:firstLine="420"/>
      </w:pPr>
      <w:r>
        <w:rPr>
          <w:rFonts w:ascii="Songti SC" w:hAnsi="Songti SC" w:eastAsia="Songti SC" w:cs="Songti SC"/>
          <w:b w:val="0"/>
          <w:sz w:val="24"/>
        </w:rPr>
        <w:t>以进水碱度不低于100 mg/L作为课程设备接口边界，99% NaHCO₃干粉储供能力暂取40000 kg/d；按1.50峰时系数，最高时需求约2,500 kg/h，设置2套100%容量干粉计量给料装置、单套不小于2.75 t/h。干粉进入溶解罐配制溶液，再由2台100%溶液计量泵投至生物池前端；溶液泵流量按实际配制质量分数换算。若实测低于100 mg/L或改用液碱，应按纯度、密度、pH和安全条件重定。该容量是条件性边界，不是固定运行剂量。</w:t>
      </w:r>
    </w:p>
    <w:p>
      <w:pPr>
        <w:pStyle w:val="Heading2"/>
        <w:keepNext/>
        <w:keepLines w:val="0"/>
      </w:pPr>
      <w:r>
        <w:t>9.6 总固体库存与排泥</w:t>
      </w:r>
    </w:p>
    <w:p>
      <w:pPr>
        <w:pStyle w:val="BodyText"/>
        <w:keepNext w:val="0"/>
        <w:keepLines w:val="0"/>
        <w:widowControl w:val="0"/>
        <w:spacing w:before="0" w:after="120" w:line="288" w:lineRule="auto"/>
        <w:ind w:firstLine="420"/>
      </w:pPr>
      <w:r>
        <w:rPr>
          <w:rFonts w:ascii="Songti SC" w:hAnsi="Songti SC" w:eastAsia="Songti SC" w:cs="Songti SC"/>
          <w:b w:val="0"/>
          <w:sz w:val="24"/>
        </w:rPr>
        <w:t>基准混合固体库存63000×3.5=220500 kg，按20 d排出11025 kg/d。铁盐固体另建立20 d稳态库存55376.8 kg、每日排出2768.84 kg。总库存275876.8 kg，总排固13793.84 kg/d，总表观固体龄仍为20 d。</w:t>
      </w:r>
    </w:p>
    <w:p>
      <w:pPr>
        <w:keepNext w:val="0"/>
        <w:keepLines w:val="0"/>
        <w:widowControl w:val="0"/>
        <w:spacing w:before="0" w:after="100" w:line="288" w:lineRule="auto"/>
        <w:jc w:val="center"/>
      </w:pPr>
      <m:oMathPara>
        <m:oMath>
          <m:r>
            <m:t>Xsec=3.5+(2768.84×20)/63000=4.3790 kg/m³</m:t>
          </m:r>
        </m:oMath>
      </m:oMathPara>
    </w:p>
    <w:p>
      <w:pPr>
        <w:pStyle w:val="BodyText"/>
        <w:keepNext w:val="0"/>
        <w:keepLines w:val="0"/>
        <w:widowControl w:val="0"/>
        <w:spacing w:before="0" w:after="120" w:line="288" w:lineRule="auto"/>
        <w:ind w:firstLine="420"/>
      </w:pPr>
      <w:r>
        <w:rPr>
          <w:rFonts w:ascii="Songti SC" w:hAnsi="Songti SC" w:eastAsia="Songti SC" w:cs="Songti SC"/>
          <w:b w:val="0"/>
          <w:sz w:val="24"/>
        </w:rPr>
        <w:t>甲醇容量工况净生物固体2,242.1 kg/d已包含于3.5 kg/m³基准库存与11025 kg/d基准排出中，不再向二沉通量重复相加。扣除基准异养和甲醇净生物量后，基准排出剩余5,928.3 kg/d，作为普通进水惰性/可降解残余及硝化菌固体的闭合分配，占初沉后SS负荷的39.5%，小于其15000 kg/d输入。这是课程质量平衡假设，不是实测VSS分级。</w:t>
      </w:r>
    </w:p>
    <w:p>
      <w:pPr>
        <w:pStyle w:val="Heading1"/>
        <w:keepNext/>
        <w:keepLines w:val="0"/>
      </w:pPr>
      <w:r>
        <w:t>10 需氧量、曝气器与鼓风机</w:t>
      </w:r>
    </w:p>
    <w:p>
      <w:pPr>
        <w:pStyle w:val="Heading2"/>
        <w:keepNext/>
        <w:keepLines w:val="0"/>
      </w:pPr>
      <w:r>
        <w:t>10.1 最不利需氧情景</w:t>
      </w:r>
    </w:p>
    <w:p>
      <w:pPr>
        <w:pStyle w:val="BodyText"/>
        <w:keepNext w:val="0"/>
        <w:keepLines w:val="0"/>
        <w:widowControl w:val="0"/>
        <w:spacing w:before="0" w:after="120" w:line="288" w:lineRule="auto"/>
        <w:ind w:firstLine="420"/>
      </w:pPr>
      <w:r>
        <w:rPr>
          <w:rFonts w:ascii="Songti SC" w:hAnsi="Songti SC" w:eastAsia="Songti SC" w:cs="Songti SC"/>
          <w:b w:val="0"/>
          <w:sz w:val="24"/>
        </w:rPr>
        <w:t>需氧计算与碳源边界保持一致：既然容量工况假设原水可利用反硝化碳为零，原水BOD氧化项就不扣2.86倍反硝化氧当量。按BOD去除的1.10倍、硝化4.57 kgO₂/kgN，并保守将甲醇毛生物量按1.42 kgO₂/kgVSS完全氧化：</w:t>
      </w:r>
    </w:p>
    <w:p>
      <w:pPr>
        <w:keepNext w:val="0"/>
        <w:keepLines w:val="0"/>
        <w:widowControl w:val="0"/>
        <w:spacing w:before="0" w:after="100" w:line="288" w:lineRule="auto"/>
        <w:jc w:val="center"/>
      </w:pPr>
      <m:oMathPara>
        <m:oMath>
          <m:r>
            <m:t>AORd=1.10×11340+4.57×3936+1.42×3716.41</m:t>
          </m:r>
        </m:oMath>
      </m:oMathPara>
    </w:p>
    <w:p>
      <w:pPr>
        <w:keepNext/>
        <w:keepLines w:val="0"/>
        <w:widowControl w:val="0"/>
        <w:spacing w:before="0" w:after="120" w:line="288" w:lineRule="auto"/>
        <w:jc w:val="center"/>
      </w:pPr>
      <w:r>
        <w:rPr>
          <w:rFonts w:ascii="Songti SC" w:hAnsi="Songti SC" w:eastAsia="Songti SC" w:cs="Songti SC"/>
          <w:b w:val="0"/>
          <w:sz w:val="21"/>
        </w:rPr>
        <w:t>表10-1 需氧项、数值汇总</w:t>
      </w:r>
    </w:p>
    <w:tbl>
      <w:tblPr>
        <w:tblW w:type="auto" w:w="0"/>
        <w:jc w:val="center"/>
        <w:tblLayout w:type="fixed"/>
        <w:tblLook w:firstColumn="1" w:firstRow="1" w:lastColumn="0" w:lastRow="0" w:noHBand="0" w:noVBand="1" w:val="04A0"/>
      </w:tblPr>
      <w:tblGrid>
        <w:gridCol w:w="3081"/>
        <w:gridCol w:w="3081"/>
        <w:gridCol w:w="3081"/>
      </w:tblGrid>
      <w:tr>
        <w:trPr>
          <w:tblHeader w:val="true"/>
          <w:cantSplit/>
        </w:trPr>
        <w:tc>
          <w:tcPr>
            <w:tcW w:type="dxa" w:w="1984"/>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需氧项</w:t>
            </w:r>
          </w:p>
        </w:tc>
        <w:tc>
          <w:tcPr>
            <w:tcW w:type="dxa" w:w="2041"/>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数值</w:t>
            </w:r>
          </w:p>
        </w:tc>
        <w:tc>
          <w:tcPr>
            <w:tcW w:type="dxa" w:w="4195"/>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边界说明</w:t>
            </w:r>
          </w:p>
        </w:tc>
      </w:tr>
      <w:tr>
        <w:trPr>
          <w:cantSplit/>
        </w:trPr>
        <w:tc>
          <w:tcPr>
            <w:tcW w:type="dxa" w:w="198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原水BOD</w:t>
            </w:r>
          </w:p>
        </w:tc>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12,474.0 kgO₂/d</w:t>
            </w:r>
          </w:p>
        </w:tc>
        <w:tc>
          <w:tcPr>
            <w:tcW w:type="dxa" w:w="419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不扣反硝化氧当量</w:t>
            </w:r>
          </w:p>
        </w:tc>
      </w:tr>
      <w:tr>
        <w:trPr>
          <w:cantSplit/>
        </w:trPr>
        <w:tc>
          <w:tcPr>
            <w:tcW w:type="dxa" w:w="198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硝化</w:t>
            </w:r>
          </w:p>
        </w:tc>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17,987.5 kgO₂/d</w:t>
            </w:r>
          </w:p>
        </w:tc>
        <w:tc>
          <w:tcPr>
            <w:tcW w:type="dxa" w:w="419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以TN减NH₄出水作上界</w:t>
            </w:r>
          </w:p>
        </w:tc>
      </w:tr>
      <w:tr>
        <w:trPr>
          <w:cantSplit/>
        </w:trPr>
        <w:tc>
          <w:tcPr>
            <w:tcW w:type="dxa" w:w="198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甲醇生物量</w:t>
            </w:r>
          </w:p>
        </w:tc>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5,277.3 kgO₂/d</w:t>
            </w:r>
          </w:p>
        </w:tc>
        <w:tc>
          <w:tcPr>
            <w:tcW w:type="dxa" w:w="419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按毛生物量全部终极氧化</w:t>
            </w:r>
          </w:p>
        </w:tc>
      </w:tr>
      <w:tr>
        <w:trPr>
          <w:cantSplit/>
        </w:trPr>
        <w:tc>
          <w:tcPr>
            <w:tcW w:type="dxa" w:w="198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平均合计</w:t>
            </w:r>
          </w:p>
        </w:tc>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35,738.8 kgO₂/d</w:t>
            </w:r>
          </w:p>
        </w:tc>
        <w:tc>
          <w:tcPr>
            <w:tcW w:type="dxa" w:w="419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1,489.1 kgO₂/h</w:t>
            </w:r>
          </w:p>
        </w:tc>
      </w:tr>
      <w:tr>
        <w:trPr>
          <w:cantSplit/>
        </w:trPr>
        <w:tc>
          <w:tcPr>
            <w:tcW w:type="dxa" w:w="198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设计AOR</w:t>
            </w:r>
          </w:p>
        </w:tc>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2,457.0 kgO₂/h</w:t>
            </w:r>
          </w:p>
        </w:tc>
        <w:tc>
          <w:tcPr>
            <w:tcW w:type="dxa" w:w="419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再乘1.50峰值和1.10余量</w:t>
            </w:r>
          </w:p>
        </w:tc>
      </w:tr>
    </w:tbl>
    <w:p>
      <w:pPr>
        <w:spacing w:after="20"/>
      </w:pPr>
    </w:p>
    <w:p>
      <w:pPr>
        <w:pStyle w:val="Heading2"/>
        <w:keepNext/>
        <w:keepLines w:val="0"/>
      </w:pPr>
      <w:r>
        <w:t>10.2 标准供气量</w:t>
      </w:r>
    </w:p>
    <w:p>
      <w:pPr>
        <w:pStyle w:val="BodyText"/>
        <w:keepNext w:val="0"/>
        <w:keepLines w:val="0"/>
        <w:widowControl w:val="0"/>
        <w:spacing w:before="0" w:after="120" w:line="288" w:lineRule="auto"/>
        <w:ind w:firstLine="420"/>
      </w:pPr>
      <w:r>
        <w:rPr>
          <w:rFonts w:ascii="Songti SC" w:hAnsi="Songti SC" w:eastAsia="Songti SC" w:cs="Songti SC"/>
          <w:b w:val="0"/>
          <w:sz w:val="24"/>
        </w:rPr>
        <w:t>采用氧利用率EA=25%、α=0.80、β=0.95、25℃、池内DO=2 mg/L。尾气氧体积分数及4.75 m淹没的中深饱和浓度按同一压力基准计算：</w:t>
      </w:r>
    </w:p>
    <w:p>
      <w:pPr>
        <w:keepNext w:val="0"/>
        <w:keepLines w:val="0"/>
        <w:widowControl w:val="0"/>
        <w:spacing w:before="0" w:after="100" w:line="288" w:lineRule="auto"/>
        <w:jc w:val="center"/>
      </w:pPr>
      <m:oMathPara>
        <m:oMath>
          <m:r>
            <m:t>Ot=21(1−0.25)/[79+21(1−0.25)]×100=16.623%</m:t>
          </m:r>
        </m:oMath>
      </m:oMathPara>
    </w:p>
    <w:p>
      <w:pPr>
        <w:keepNext w:val="0"/>
        <w:keepLines w:val="0"/>
        <w:widowControl w:val="0"/>
        <w:spacing w:before="0" w:after="100" w:line="288" w:lineRule="auto"/>
        <w:jc w:val="center"/>
      </w:pPr>
      <m:oMathPara>
        <m:oMath>
          <m:r>
            <m:t>Csm=(8.26/2){[(101.325+9.81×4.75)/101.325]+Ot/21}=9.298 mg/L</m:t>
          </m:r>
        </m:oMath>
      </m:oMathPara>
    </w:p>
    <w:p>
      <w:pPr>
        <w:keepNext w:val="0"/>
        <w:keepLines w:val="0"/>
        <w:widowControl w:val="0"/>
        <w:spacing w:before="0" w:after="100" w:line="288" w:lineRule="auto"/>
        <w:jc w:val="center"/>
      </w:pPr>
      <m:oMathPara>
        <m:oMath>
          <m:r>
            <m:t>F=0.80(0.95Csm−2)/9.17×1.024⁵=0.67122</m:t>
          </m:r>
        </m:oMath>
      </m:oMathPara>
    </w:p>
    <w:p>
      <w:pPr>
        <w:keepNext w:val="0"/>
        <w:keepLines w:val="0"/>
        <w:widowControl w:val="0"/>
        <w:spacing w:before="0" w:after="100" w:line="288" w:lineRule="auto"/>
        <w:jc w:val="center"/>
      </w:pPr>
      <m:oMathPara>
        <m:oMath>
          <m:r>
            <m:t>SOR=2457.04/0.67122=3660.56 kgO₂/h</m:t>
          </m:r>
        </m:oMath>
      </m:oMathPara>
    </w:p>
    <w:p>
      <w:pPr>
        <w:keepNext w:val="0"/>
        <w:keepLines w:val="0"/>
        <w:widowControl w:val="0"/>
        <w:spacing w:before="0" w:after="100" w:line="288" w:lineRule="auto"/>
        <w:jc w:val="center"/>
      </w:pPr>
      <m:oMathPara>
        <m:oMath>
          <m:r>
            <m:t>Gair=SOR/(0.30×EA)=48808 Nm³/h</m:t>
          </m:r>
        </m:oMath>
      </m:oMathPara>
    </w:p>
    <w:p>
      <w:pPr>
        <w:pStyle w:val="BodyText"/>
        <w:keepNext w:val="0"/>
        <w:keepLines w:val="0"/>
        <w:widowControl w:val="0"/>
        <w:spacing w:before="0" w:after="120" w:line="288" w:lineRule="auto"/>
        <w:ind w:firstLine="420"/>
      </w:pPr>
      <w:r>
        <w:rPr>
          <w:rFonts w:ascii="Songti SC" w:hAnsi="Songti SC" w:eastAsia="Songti SC" w:cs="Songti SC"/>
          <w:b w:val="0"/>
          <w:sz w:val="24"/>
        </w:rPr>
        <w:t>取54000 Nm³/h，折算现场氧能力2,718.4 kg/h，比设计AOR高10.6%。按每盘5.0 Nm³/h配置10800盘，每系列2700盘；曝气器参考Xylem Sanitaire Silver Series II标准229 mm盘式微孔曝气器，官方样本给出0.8～6.8 Nm³/h和每米淹没深度SOTE 6%～8%的能力包络，5.0在样本范围内，但池内均匀性仍须由布管和现场氧转移测试确认。</w:t>
      </w:r>
    </w:p>
    <w:p>
      <w:pPr>
        <w:keepNext/>
        <w:keepLines w:val="0"/>
        <w:jc w:val="center"/>
      </w:pPr>
      <w:r>
        <w:drawing>
          <wp:inline xmlns:a="http://schemas.openxmlformats.org/drawingml/2006/main" xmlns:pic="http://schemas.openxmlformats.org/drawingml/2006/picture">
            <wp:extent cx="5715000" cy="2857500"/>
            <wp:docPr id="7" name="Picture 7"/>
            <wp:cNvGraphicFramePr>
              <a:graphicFrameLocks noChangeAspect="1"/>
            </wp:cNvGraphicFramePr>
            <a:graphic>
              <a:graphicData uri="http://schemas.openxmlformats.org/drawingml/2006/picture">
                <pic:pic>
                  <pic:nvPicPr>
                    <pic:cNvPr id="0" name="08_aeration.png"/>
                    <pic:cNvPicPr/>
                  </pic:nvPicPr>
                  <pic:blipFill>
                    <a:blip r:embed="rId16"/>
                    <a:stretch>
                      <a:fillRect/>
                    </a:stretch>
                  </pic:blipFill>
                  <pic:spPr>
                    <a:xfrm>
                      <a:off x="0" y="0"/>
                      <a:ext cx="5715000" cy="2857500"/>
                    </a:xfrm>
                    <a:prstGeom prst="rect"/>
                  </pic:spPr>
                </pic:pic>
              </a:graphicData>
            </a:graphic>
          </wp:inline>
        </w:drawing>
      </w:r>
    </w:p>
    <w:p>
      <w:pPr>
        <w:keepNext w:val="0"/>
        <w:keepLines w:val="0"/>
        <w:widowControl w:val="0"/>
        <w:spacing w:before="0" w:after="120" w:line="288" w:lineRule="auto"/>
        <w:jc w:val="center"/>
      </w:pPr>
      <w:r>
        <w:rPr>
          <w:rFonts w:ascii="Songti SC" w:hAnsi="Songti SC" w:eastAsia="Songti SC" w:cs="Songti SC"/>
          <w:b w:val="0"/>
          <w:sz w:val="21"/>
        </w:rPr>
        <w:t>图10-1 曝气与鼓风系统计算草图</w:t>
      </w:r>
    </w:p>
    <w:p>
      <w:pPr>
        <w:pStyle w:val="Heading2"/>
        <w:keepNext/>
        <w:keepLines w:val="0"/>
      </w:pPr>
      <w:r>
        <w:t>10.3 鼓风机和压力</w:t>
      </w:r>
    </w:p>
    <w:p>
      <w:pPr>
        <w:pStyle w:val="BodyText"/>
        <w:keepNext w:val="0"/>
        <w:keepLines w:val="0"/>
        <w:widowControl w:val="0"/>
        <w:spacing w:before="0" w:after="120" w:line="288" w:lineRule="auto"/>
        <w:ind w:firstLine="420"/>
      </w:pPr>
      <w:r>
        <w:rPr>
          <w:rFonts w:ascii="Songti SC" w:hAnsi="Songti SC" w:eastAsia="Songti SC" w:cs="Songti SC"/>
          <w:b w:val="0"/>
          <w:sz w:val="24"/>
        </w:rPr>
        <w:t>鼓风机参考AERZEN AT 200-0.8 S G5plus，共10台、9用1备；每台标准风量6000 Nm³/h，9台工作组合54000 Nm³/h不低于计算需求48808 Nm³/h。官方G5plus型录的AT 200-0.8 S能力包络为800 mbar、入口体积流量2700～8400 m³/h、最大165 kW。6000 Nm³/h为标准状态体积，型录工作点另按入口温度、绝压和湿度换算。</w:t>
      </w:r>
    </w:p>
    <w:p>
      <w:pPr>
        <w:keepNext w:val="0"/>
        <w:keepLines w:val="0"/>
        <w:widowControl w:val="0"/>
        <w:spacing w:before="0" w:after="100" w:line="288" w:lineRule="auto"/>
        <w:jc w:val="center"/>
      </w:pPr>
      <m:oMathPara>
        <m:oMath>
          <m:r>
            <m:t>Q1=QN×(T1/TN)×(pN−φN·pvN)/(p1−φ1·pv1)</m:t>
          </m:r>
        </m:oMath>
      </m:oMathPara>
    </w:p>
    <w:p>
      <w:pPr>
        <w:pStyle w:val="BodyText"/>
        <w:keepNext w:val="0"/>
        <w:keepLines w:val="0"/>
        <w:widowControl w:val="0"/>
        <w:spacing w:before="0" w:after="120" w:line="288" w:lineRule="auto"/>
        <w:ind w:firstLine="420"/>
      </w:pPr>
      <w:r>
        <w:rPr>
          <w:rFonts w:ascii="Songti SC" w:hAnsi="Songti SC" w:eastAsia="Songti SC" w:cs="Songti SC"/>
          <w:b w:val="0"/>
          <w:sz w:val="24"/>
        </w:rPr>
        <w:t>式中下标1表示鼓风机入口，pv为对应温度下的饱和水汽压。按课程海平面绝压101.325 kPa、最高环境温度42℃、100%相对湿度，42℃饱和水汽压取8.20 kPa。标准温度273.15 K；每台6000 Nm³/h换算为清洁入口7532 m³/h。若过滤器入口压降按3 kPa，有效入口绝压98.325 kPa，则为7783 m³/h，仍低于8400 m³/h。</w:t>
      </w:r>
    </w:p>
    <w:p>
      <w:pPr>
        <w:keepNext w:val="0"/>
        <w:keepLines w:val="0"/>
        <w:widowControl w:val="0"/>
        <w:spacing w:before="0" w:after="100" w:line="288" w:lineRule="auto"/>
        <w:jc w:val="center"/>
      </w:pPr>
      <m:oMathPara>
        <m:oMath>
          <m:r>
            <m:t>Qin=6000×315.15/273.15×101.325/(98.325−8.20)=7783 m³/h&lt;8400</m:t>
          </m:r>
        </m:oMath>
      </m:oMathPara>
    </w:p>
    <w:p>
      <w:pPr>
        <w:pStyle w:val="BodyText"/>
        <w:keepNext w:val="0"/>
        <w:keepLines w:val="0"/>
        <w:widowControl w:val="0"/>
        <w:spacing w:before="0" w:after="120" w:line="288" w:lineRule="auto"/>
        <w:ind w:firstLine="420"/>
      </w:pPr>
      <w:r>
        <w:rPr>
          <w:rFonts w:ascii="Songti SC" w:hAnsi="Songti SC" w:eastAsia="Songti SC" w:cs="Songti SC"/>
          <w:b w:val="0"/>
          <w:sz w:val="24"/>
        </w:rPr>
        <w:t>反解型录上限得到有效入口绝压下限91.70 kPa；再考虑3 kPa过滤压降时，环境绝压宜不低于94.70 kPa。厂址海拔/气压未给定，若实测低于该边界或入口温度更高，应增加工作台数或提高型号。厂家仍须用完整曲线确认效率、轴功率、喘振和噪声。</w:t>
      </w:r>
    </w:p>
    <w:p>
      <w:pPr>
        <w:keepNext/>
        <w:keepLines w:val="0"/>
        <w:widowControl w:val="0"/>
        <w:spacing w:before="0" w:after="120" w:line="288" w:lineRule="auto"/>
        <w:jc w:val="center"/>
      </w:pPr>
      <w:r>
        <w:rPr>
          <w:rFonts w:ascii="Songti SC" w:hAnsi="Songti SC" w:eastAsia="Songti SC" w:cs="Songti SC"/>
          <w:b w:val="0"/>
          <w:sz w:val="21"/>
        </w:rPr>
        <w:t>表10-2 压力项、kPa汇总</w:t>
      </w:r>
    </w:p>
    <w:tbl>
      <w:tblPr>
        <w:tblW w:type="auto" w:w="0"/>
        <w:jc w:val="center"/>
        <w:tblLayout w:type="fixed"/>
        <w:tblLook w:firstColumn="1" w:firstRow="1" w:lastColumn="0" w:lastRow="0" w:noHBand="0" w:noVBand="1" w:val="04A0"/>
      </w:tblPr>
      <w:tblGrid>
        <w:gridCol w:w="4621"/>
        <w:gridCol w:w="4621"/>
      </w:tblGrid>
      <w:tr>
        <w:trPr>
          <w:tblHeader w:val="true"/>
          <w:cantSplit/>
        </w:trPr>
        <w:tc>
          <w:tcPr>
            <w:tcW w:type="dxa" w:w="5386"/>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压力项</w:t>
            </w:r>
          </w:p>
        </w:tc>
        <w:tc>
          <w:tcPr>
            <w:tcW w:type="dxa" w:w="3231"/>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kPa</w:t>
            </w:r>
          </w:p>
        </w:tc>
      </w:tr>
      <w:tr>
        <w:trPr>
          <w:cantSplit/>
        </w:trPr>
        <w:tc>
          <w:tcPr>
            <w:tcW w:type="dxa" w:w="5386"/>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4.75 m淹没静压</w:t>
            </w:r>
          </w:p>
        </w:tc>
        <w:tc>
          <w:tcPr>
            <w:tcW w:type="dxa" w:w="323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46.60</w:t>
            </w:r>
          </w:p>
        </w:tc>
      </w:tr>
      <w:tr>
        <w:trPr>
          <w:cantSplit/>
        </w:trPr>
        <w:tc>
          <w:tcPr>
            <w:tcW w:type="dxa" w:w="5386"/>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曝气器</w:t>
            </w:r>
          </w:p>
        </w:tc>
        <w:tc>
          <w:tcPr>
            <w:tcW w:type="dxa" w:w="323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5.0</w:t>
            </w:r>
          </w:p>
        </w:tc>
      </w:tr>
      <w:tr>
        <w:trPr>
          <w:cantSplit/>
        </w:trPr>
        <w:tc>
          <w:tcPr>
            <w:tcW w:type="dxa" w:w="5386"/>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管网与阀件</w:t>
            </w:r>
          </w:p>
        </w:tc>
        <w:tc>
          <w:tcPr>
            <w:tcW w:type="dxa" w:w="323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6.0</w:t>
            </w:r>
          </w:p>
        </w:tc>
      </w:tr>
      <w:tr>
        <w:trPr>
          <w:cantSplit/>
        </w:trPr>
        <w:tc>
          <w:tcPr>
            <w:tcW w:type="dxa" w:w="5386"/>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余量</w:t>
            </w:r>
          </w:p>
        </w:tc>
        <w:tc>
          <w:tcPr>
            <w:tcW w:type="dxa" w:w="323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3.0</w:t>
            </w:r>
          </w:p>
        </w:tc>
      </w:tr>
      <w:tr>
        <w:trPr>
          <w:cantSplit/>
        </w:trPr>
        <w:tc>
          <w:tcPr>
            <w:tcW w:type="dxa" w:w="5386"/>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合计</w:t>
            </w:r>
          </w:p>
        </w:tc>
        <w:tc>
          <w:tcPr>
            <w:tcW w:type="dxa" w:w="323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60.60</w:t>
            </w:r>
          </w:p>
        </w:tc>
      </w:tr>
      <w:tr>
        <w:trPr>
          <w:cantSplit/>
        </w:trPr>
        <w:tc>
          <w:tcPr>
            <w:tcW w:type="dxa" w:w="5386"/>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选用设计压力</w:t>
            </w:r>
          </w:p>
        </w:tc>
        <w:tc>
          <w:tcPr>
            <w:tcW w:type="dxa" w:w="323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65.0</w:t>
            </w:r>
          </w:p>
        </w:tc>
      </w:tr>
    </w:tbl>
    <w:p>
      <w:pPr>
        <w:spacing w:after="20"/>
      </w:pPr>
    </w:p>
    <w:p>
      <w:pPr>
        <w:pStyle w:val="BodyText"/>
        <w:keepNext w:val="0"/>
        <w:keepLines w:val="0"/>
        <w:widowControl w:val="0"/>
        <w:spacing w:before="0" w:after="120" w:line="288" w:lineRule="auto"/>
        <w:ind w:firstLine="420"/>
      </w:pPr>
      <w:r>
        <w:rPr>
          <w:rFonts w:ascii="Songti SC" w:hAnsi="Songti SC" w:eastAsia="Songti SC" w:cs="Songti SC"/>
          <w:b w:val="0"/>
          <w:sz w:val="24"/>
        </w:rPr>
        <w:t>曝气水深5.0 m，曝气器距池底0.25 m，实际淹没4.75 m，静压46.60 kPa；加曝气器5、管网6和余量3 kPa，总计60.60 kPa，小于65 kPa。外部空气管暂采用DN1200母管和DN900系列支管，最终需按实际布置、噪声和喘振边界复核。</w:t>
      </w:r>
    </w:p>
    <w:p>
      <w:pPr>
        <w:pStyle w:val="Heading1"/>
        <w:keepNext/>
        <w:keepLines w:val="0"/>
      </w:pPr>
      <w:r>
        <w:t>11 二次沉淀池与固体平衡</w:t>
      </w:r>
    </w:p>
    <w:p>
      <w:pPr>
        <w:pStyle w:val="Heading2"/>
        <w:keepNext/>
        <w:keepLines w:val="0"/>
      </w:pPr>
      <w:r>
        <w:t>11.1 几何与水力负荷</w:t>
      </w:r>
    </w:p>
    <w:p>
      <w:pPr>
        <w:pStyle w:val="BodyText"/>
        <w:keepNext w:val="0"/>
        <w:keepLines w:val="0"/>
        <w:widowControl w:val="0"/>
        <w:spacing w:before="0" w:after="120" w:line="288" w:lineRule="auto"/>
        <w:ind w:firstLine="420"/>
      </w:pPr>
      <w:r>
        <w:rPr>
          <w:rFonts w:ascii="Songti SC" w:hAnsi="Songti SC" w:eastAsia="Songti SC" w:cs="Songti SC"/>
          <w:b w:val="0"/>
          <w:sz w:val="24"/>
        </w:rPr>
        <w:t>采用8座辐流式二沉池，每条水线4座；净径37 m，中心井D6 m，沉淀区有效水深3.1 m。总净面积为：</w:t>
      </w:r>
    </w:p>
    <w:p>
      <w:pPr>
        <w:keepNext w:val="0"/>
        <w:keepLines w:val="0"/>
        <w:widowControl w:val="0"/>
        <w:spacing w:before="0" w:after="100" w:line="288" w:lineRule="auto"/>
        <w:jc w:val="center"/>
      </w:pPr>
      <m:oMathPara>
        <m:oMath>
          <m:r>
            <m:t>A=8×π(37²−6²)/4=8375.49 m²</m:t>
          </m:r>
        </m:oMath>
      </m:oMathPara>
    </w:p>
    <w:p>
      <w:pPr>
        <w:pStyle w:val="BodyText"/>
        <w:keepNext w:val="0"/>
        <w:keepLines w:val="0"/>
        <w:widowControl w:val="0"/>
        <w:spacing w:before="0" w:after="120" w:line="288" w:lineRule="auto"/>
        <w:ind w:firstLine="420"/>
      </w:pPr>
      <w:r>
        <w:rPr>
          <w:rFonts w:ascii="Songti SC" w:hAnsi="Songti SC" w:eastAsia="Songti SC" w:cs="Songti SC"/>
          <w:b w:val="0"/>
          <w:sz w:val="24"/>
        </w:rPr>
        <w:t>此处严格区分毛圆面积与扣中心井后的净面积。最高时表面负荷0.806 m³/(m²·h)，外部名义沉淀时间3.847 h；D/h=11.94，符合GB 50014—2021第7.5.12条6～12。低流量时可按泥位和进水量停运部分池，避免全部池长期低负荷运行。</w:t>
      </w:r>
    </w:p>
    <w:p>
      <w:pPr>
        <w:keepNext/>
        <w:keepLines w:val="0"/>
        <w:jc w:val="center"/>
      </w:pPr>
      <w:r>
        <w:drawing>
          <wp:inline xmlns:a="http://schemas.openxmlformats.org/drawingml/2006/main" xmlns:pic="http://schemas.openxmlformats.org/drawingml/2006/picture">
            <wp:extent cx="5715000" cy="2857500"/>
            <wp:docPr id="8" name="Picture 8"/>
            <wp:cNvGraphicFramePr>
              <a:graphicFrameLocks noChangeAspect="1"/>
            </wp:cNvGraphicFramePr>
            <a:graphic>
              <a:graphicData uri="http://schemas.openxmlformats.org/drawingml/2006/picture">
                <pic:pic>
                  <pic:nvPicPr>
                    <pic:cNvPr id="0" name="09_secondary.png"/>
                    <pic:cNvPicPr/>
                  </pic:nvPicPr>
                  <pic:blipFill>
                    <a:blip r:embed="rId17"/>
                    <a:stretch>
                      <a:fillRect/>
                    </a:stretch>
                  </pic:blipFill>
                  <pic:spPr>
                    <a:xfrm>
                      <a:off x="0" y="0"/>
                      <a:ext cx="5715000" cy="2857500"/>
                    </a:xfrm>
                    <a:prstGeom prst="rect"/>
                  </pic:spPr>
                </pic:pic>
              </a:graphicData>
            </a:graphic>
          </wp:inline>
        </w:drawing>
      </w:r>
    </w:p>
    <w:p>
      <w:pPr>
        <w:keepNext w:val="0"/>
        <w:keepLines w:val="0"/>
        <w:widowControl w:val="0"/>
        <w:spacing w:before="0" w:after="120" w:line="288" w:lineRule="auto"/>
        <w:jc w:val="center"/>
      </w:pPr>
      <w:r>
        <w:rPr>
          <w:rFonts w:ascii="Songti SC" w:hAnsi="Songti SC" w:eastAsia="Songti SC" w:cs="Songti SC"/>
          <w:b w:val="0"/>
          <w:sz w:val="21"/>
        </w:rPr>
        <w:t>图11-1 二次沉淀池平剖计算草图</w:t>
      </w:r>
    </w:p>
    <w:p>
      <w:pPr>
        <w:keepNext/>
        <w:keepLines w:val="0"/>
        <w:widowControl w:val="0"/>
        <w:spacing w:before="0" w:after="120" w:line="288" w:lineRule="auto"/>
        <w:jc w:val="center"/>
      </w:pPr>
      <w:r>
        <w:rPr>
          <w:rFonts w:ascii="Songti SC" w:hAnsi="Songti SC" w:eastAsia="Songti SC" w:cs="Songti SC"/>
          <w:b w:val="0"/>
          <w:sz w:val="21"/>
        </w:rPr>
        <w:t>表11-1 校核项、计算值汇总</w:t>
      </w:r>
    </w:p>
    <w:tbl>
      <w:tblPr>
        <w:tblW w:type="auto" w:w="0"/>
        <w:jc w:val="center"/>
        <w:tblLayout w:type="fixed"/>
        <w:tblLook w:firstColumn="1" w:firstRow="1" w:lastColumn="0" w:lastRow="0" w:noHBand="0" w:noVBand="1" w:val="04A0"/>
      </w:tblPr>
      <w:tblGrid>
        <w:gridCol w:w="3081"/>
        <w:gridCol w:w="3081"/>
        <w:gridCol w:w="3081"/>
      </w:tblGrid>
      <w:tr>
        <w:trPr>
          <w:tblHeader w:val="true"/>
          <w:cantSplit/>
        </w:trPr>
        <w:tc>
          <w:tcPr>
            <w:tcW w:type="dxa" w:w="2835"/>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校核项</w:t>
            </w:r>
          </w:p>
        </w:tc>
        <w:tc>
          <w:tcPr>
            <w:tcW w:type="dxa" w:w="3231"/>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计算值</w:t>
            </w:r>
          </w:p>
        </w:tc>
        <w:tc>
          <w:tcPr>
            <w:tcW w:type="dxa" w:w="2665"/>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限值/解释</w:t>
            </w:r>
          </w:p>
        </w:tc>
      </w:tr>
      <w:tr>
        <w:trPr>
          <w:cantSplit/>
        </w:trPr>
        <w:tc>
          <w:tcPr>
            <w:tcW w:type="dxa" w:w="283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最高时表面负荷</w:t>
            </w:r>
          </w:p>
        </w:tc>
        <w:tc>
          <w:tcPr>
            <w:tcW w:type="dxa" w:w="323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0.806 m³/(m²·h)</w:t>
            </w:r>
          </w:p>
        </w:tc>
        <w:tc>
          <w:tcPr>
            <w:tcW w:type="dxa" w:w="266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0.6～1.5课程/标准范围</w:t>
            </w:r>
          </w:p>
        </w:tc>
      </w:tr>
      <w:tr>
        <w:trPr>
          <w:cantSplit/>
        </w:trPr>
        <w:tc>
          <w:tcPr>
            <w:tcW w:type="dxa" w:w="283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最高时外部HRT</w:t>
            </w:r>
          </w:p>
        </w:tc>
        <w:tc>
          <w:tcPr>
            <w:tcW w:type="dxa" w:w="323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3.847 h</w:t>
            </w:r>
          </w:p>
        </w:tc>
        <w:tc>
          <w:tcPr>
            <w:tcW w:type="dxa" w:w="266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1.5～4 h</w:t>
            </w:r>
          </w:p>
        </w:tc>
      </w:tr>
      <w:tr>
        <w:trPr>
          <w:cantSplit/>
        </w:trPr>
        <w:tc>
          <w:tcPr>
            <w:tcW w:type="dxa" w:w="283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最高时固体负荷</w:t>
            </w:r>
          </w:p>
        </w:tc>
        <w:tc>
          <w:tcPr>
            <w:tcW w:type="dxa" w:w="323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148.55 kg/(m²·d)</w:t>
            </w:r>
          </w:p>
        </w:tc>
        <w:tc>
          <w:tcPr>
            <w:tcW w:type="dxa" w:w="266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≤150</w:t>
            </w:r>
          </w:p>
        </w:tc>
      </w:tr>
      <w:tr>
        <w:trPr>
          <w:cantSplit/>
        </w:trPr>
        <w:tc>
          <w:tcPr>
            <w:tcW w:type="dxa" w:w="283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D/h</w:t>
            </w:r>
          </w:p>
        </w:tc>
        <w:tc>
          <w:tcPr>
            <w:tcW w:type="dxa" w:w="323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11.94</w:t>
            </w:r>
          </w:p>
        </w:tc>
        <w:tc>
          <w:tcPr>
            <w:tcW w:type="dxa" w:w="266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6～12</w:t>
            </w:r>
          </w:p>
        </w:tc>
      </w:tr>
      <w:tr>
        <w:trPr>
          <w:cantSplit/>
        </w:trPr>
        <w:tc>
          <w:tcPr>
            <w:tcW w:type="dxa" w:w="283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最高时堰负荷</w:t>
            </w:r>
          </w:p>
        </w:tc>
        <w:tc>
          <w:tcPr>
            <w:tcW w:type="dxa" w:w="323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1.130 L/(m·s)</w:t>
            </w:r>
          </w:p>
        </w:tc>
        <w:tc>
          <w:tcPr>
            <w:tcW w:type="dxa" w:w="266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≤1.7</w:t>
            </w:r>
          </w:p>
        </w:tc>
      </w:tr>
    </w:tbl>
    <w:p>
      <w:pPr>
        <w:spacing w:after="20"/>
      </w:pPr>
    </w:p>
    <w:p>
      <w:pPr>
        <w:pStyle w:val="Heading2"/>
        <w:keepNext/>
        <w:keepLines w:val="0"/>
      </w:pPr>
      <w:r>
        <w:t>11.2 固体负荷与二沉控制体</w:t>
      </w:r>
    </w:p>
    <w:p>
      <w:pPr>
        <w:pStyle w:val="BodyText"/>
        <w:keepNext w:val="0"/>
        <w:keepLines w:val="0"/>
        <w:widowControl w:val="0"/>
        <w:spacing w:before="0" w:after="120" w:line="288" w:lineRule="auto"/>
        <w:ind w:firstLine="420"/>
      </w:pPr>
      <w:r>
        <w:rPr>
          <w:rFonts w:ascii="Songti SC" w:hAnsi="Songti SC" w:eastAsia="Songti SC" w:cs="Songti SC"/>
          <w:b w:val="0"/>
          <w:sz w:val="24"/>
        </w:rPr>
        <w:t>二沉固体负荷采用含铁盐稳态库存的总MLSS 4.379 kg/m³，且投药点在二沉前，因此当日新生成铁盐固体2768.84 kg/d需在二沉进口加一次。最高时：</w:t>
      </w:r>
    </w:p>
    <w:p>
      <w:pPr>
        <w:keepNext w:val="0"/>
        <w:keepLines w:val="0"/>
        <w:widowControl w:val="0"/>
        <w:spacing w:before="0" w:after="100" w:line="288" w:lineRule="auto"/>
        <w:jc w:val="center"/>
      </w:pPr>
      <m:oMathPara>
        <m:oMath>
          <m:r>
            <m:t>SL=[162000×(1+0.75)×4.379+2768.84]/8375.49=148.55 kg/(m²·d)</m:t>
          </m:r>
        </m:oMath>
      </m:oMathPara>
    </w:p>
    <w:p>
      <w:pPr>
        <w:pStyle w:val="BodyText"/>
        <w:keepNext w:val="0"/>
        <w:keepLines w:val="0"/>
        <w:widowControl w:val="0"/>
        <w:spacing w:before="0" w:after="120" w:line="288" w:lineRule="auto"/>
        <w:ind w:firstLine="420"/>
      </w:pPr>
      <w:r>
        <w:rPr>
          <w:rFonts w:ascii="Songti SC" w:hAnsi="Songti SC" w:eastAsia="Songti SC" w:cs="Songti SC"/>
          <w:b w:val="0"/>
          <w:sz w:val="24"/>
        </w:rPr>
        <w:t>构筑物工艺负荷与相连管渠、配水能力统一按最高时6750 m³/h（Kz=1.50）校核，3台工作泵组合与该峰值相同。泵组按台数调节，低水量时按泥位停运部分二沉池。</w:t>
      </w:r>
    </w:p>
    <w:p>
      <w:pPr>
        <w:pStyle w:val="BodyText"/>
        <w:keepNext w:val="0"/>
        <w:keepLines w:val="0"/>
        <w:widowControl w:val="0"/>
        <w:spacing w:before="0" w:after="120" w:line="288" w:lineRule="auto"/>
        <w:ind w:firstLine="420"/>
      </w:pPr>
      <w:r>
        <w:rPr>
          <w:rFonts w:ascii="Songti SC" w:hAnsi="Songti SC" w:eastAsia="Songti SC" w:cs="Songti SC"/>
          <w:b w:val="0"/>
          <w:sz w:val="24"/>
        </w:rPr>
        <w:t>平均状态下回流浓度XR由二沉控制体反解。进项包括外部+RAS携带固体及新生铁盐固体；出项包括RAS、WAS和出水SS。</w:t>
      </w:r>
    </w:p>
    <w:p>
      <w:pPr>
        <w:keepNext w:val="0"/>
        <w:keepLines w:val="0"/>
        <w:widowControl w:val="0"/>
        <w:spacing w:before="0" w:after="100" w:line="288" w:lineRule="auto"/>
        <w:jc w:val="center"/>
      </w:pPr>
      <m:oMathPara>
        <m:oMath>
          <m:r>
            <m:t>XR=[(1+R)QXsec+Mchem−Mout]/(RQ)=10.0815 kg/m³</m:t>
          </m:r>
        </m:oMath>
      </m:oMathPara>
    </w:p>
    <w:p>
      <w:pPr>
        <w:keepNext w:val="0"/>
        <w:keepLines w:val="0"/>
        <w:widowControl w:val="0"/>
        <w:spacing w:before="0" w:after="100" w:line="288" w:lineRule="auto"/>
        <w:jc w:val="center"/>
      </w:pPr>
      <m:oMathPara>
        <m:oMath>
          <m:r>
            <m:t>QW=[Mout−QXe]/(XR−Xe)=1156.27 m³/d</m:t>
          </m:r>
        </m:oMath>
      </m:oMathPara>
    </w:p>
    <w:p>
      <w:pPr>
        <w:pStyle w:val="BodyText"/>
        <w:keepNext w:val="0"/>
        <w:keepLines w:val="0"/>
        <w:widowControl w:val="0"/>
        <w:spacing w:before="0" w:after="120" w:line="288" w:lineRule="auto"/>
        <w:ind w:firstLine="420"/>
      </w:pPr>
      <w:r>
        <w:rPr>
          <w:rFonts w:ascii="Songti SC" w:hAnsi="Songti SC" w:eastAsia="Songti SC" w:cs="Songti SC"/>
          <w:b w:val="0"/>
          <w:sz w:val="24"/>
        </w:rPr>
        <w:t>Qe=Q−QW=106843.7 m³/d，Xe=0.020 kg/m³。二沉控制体残差和全系统排固残差均小于10⁻⁹ kg/d。GB 50014—2021第7.5.5条要求活性污泥法二沉池连续排泥，污泥贮存按不大于2 h污泥量校核。</w:t>
      </w:r>
    </w:p>
    <w:p>
      <w:pPr>
        <w:keepNext w:val="0"/>
        <w:keepLines w:val="0"/>
        <w:widowControl w:val="0"/>
        <w:spacing w:before="0" w:after="100" w:line="288" w:lineRule="auto"/>
        <w:jc w:val="center"/>
      </w:pPr>
      <m:oMathPara>
        <m:oMath>
          <m:r>
            <m:t>V2h=[81000/8+1156.27/8]/24×2=855.79 m³/池</m:t>
          </m:r>
        </m:oMath>
      </m:oMathPara>
    </w:p>
    <w:p>
      <w:pPr>
        <w:keepNext w:val="0"/>
        <w:keepLines w:val="0"/>
        <w:widowControl w:val="0"/>
        <w:spacing w:before="0" w:after="100" w:line="288" w:lineRule="auto"/>
        <w:jc w:val="center"/>
      </w:pPr>
      <m:oMathPara>
        <m:oMath>
          <m:r>
            <m:t>Vwedge=2π×0.05×[18.5(18.5²−3²)/2−(18.5³−3³)/3]=308.20 m³</m:t>
          </m:r>
        </m:oMath>
      </m:oMathPara>
    </w:p>
    <w:p>
      <w:pPr>
        <w:keepNext w:val="0"/>
        <w:keepLines w:val="0"/>
        <w:widowControl w:val="0"/>
        <w:spacing w:before="0" w:after="100" w:line="288" w:lineRule="auto"/>
        <w:jc w:val="center"/>
      </w:pPr>
      <m:oMathPara>
        <m:oMath>
          <m:r>
            <m:t>Vs=1046.94×0.40+308.20+π×6²/4×0.50=741.11 m³/池</m:t>
          </m:r>
        </m:oMath>
      </m:oMathPara>
    </w:p>
    <w:p>
      <w:pPr>
        <w:keepNext w:val="0"/>
        <w:keepLines w:val="0"/>
        <w:widowControl w:val="0"/>
        <w:spacing w:before="0" w:after="100" w:line="288" w:lineRule="auto"/>
        <w:jc w:val="center"/>
      </w:pPr>
      <m:oMathPara>
        <m:oMath>
          <m:r>
            <m:t>ts=1.732 h&lt;2 h</m:t>
          </m:r>
        </m:oMath>
      </m:oMathPara>
    </w:p>
    <w:p>
      <w:pPr>
        <w:pStyle w:val="BodyText"/>
        <w:keepNext w:val="0"/>
        <w:keepLines w:val="0"/>
        <w:widowControl w:val="0"/>
        <w:spacing w:before="0" w:after="120" w:line="288" w:lineRule="auto"/>
        <w:ind w:firstLine="420"/>
      </w:pPr>
      <w:r>
        <w:rPr>
          <w:rFonts w:ascii="Songti SC" w:hAnsi="Songti SC" w:eastAsia="Songti SC" w:cs="Songti SC"/>
          <w:b w:val="0"/>
          <w:sz w:val="24"/>
        </w:rPr>
        <w:t>每池有效贮泥由0.40 m水平基准层、坡度0.05的环形坡底楔体308.20 m³，以及D6 m、深0.50 m局部集泥坑组成。沉淀区3.1 m下另设0.50 m缓冲层；缓冲层上缘高出刮泥板0.30 m。周边工艺底EL27.400 m、环形坡底内缘EL26.625 m、局部集泥坑底EL26.125 m。贮泥容积按上述三部分计取，各池连续刮吸泥。</w:t>
      </w:r>
    </w:p>
    <w:p>
      <w:pPr>
        <w:keepNext/>
        <w:keepLines w:val="0"/>
        <w:widowControl w:val="0"/>
        <w:spacing w:before="0" w:after="120" w:line="288" w:lineRule="auto"/>
        <w:jc w:val="center"/>
      </w:pPr>
      <w:r>
        <w:rPr>
          <w:rFonts w:ascii="Songti SC" w:hAnsi="Songti SC" w:eastAsia="Songti SC" w:cs="Songti SC"/>
          <w:b w:val="0"/>
          <w:sz w:val="21"/>
        </w:rPr>
        <w:t>表11-2 二沉池有效贮泥容积组成</w:t>
      </w:r>
    </w:p>
    <w:tbl>
      <w:tblPr>
        <w:tblW w:type="auto" w:w="0"/>
        <w:jc w:val="center"/>
        <w:tblLayout w:type="fixed"/>
        <w:tblLook w:firstColumn="1" w:firstRow="1" w:lastColumn="0" w:lastRow="0" w:noHBand="0" w:noVBand="1" w:val="04A0"/>
      </w:tblPr>
      <w:tblGrid>
        <w:gridCol w:w="3081"/>
        <w:gridCol w:w="3081"/>
        <w:gridCol w:w="3081"/>
      </w:tblGrid>
      <w:tr>
        <w:trPr>
          <w:tblHeader w:val="true"/>
          <w:cantSplit/>
        </w:trPr>
        <w:tc>
          <w:tcPr>
            <w:tcW w:type="dxa" w:w="2381"/>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贮泥组成</w:t>
            </w:r>
          </w:p>
        </w:tc>
        <w:tc>
          <w:tcPr>
            <w:tcW w:type="dxa" w:w="4082"/>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几何或计算参数</w:t>
            </w:r>
          </w:p>
        </w:tc>
        <w:tc>
          <w:tcPr>
            <w:tcW w:type="dxa" w:w="2154"/>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容积 m³/池</w:t>
            </w:r>
          </w:p>
        </w:tc>
      </w:tr>
      <w:tr>
        <w:trPr>
          <w:cantSplit/>
        </w:trPr>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水平基准层</w:t>
            </w:r>
          </w:p>
        </w:tc>
        <w:tc>
          <w:tcPr>
            <w:tcW w:type="dxa" w:w="408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净沉淀面积1046.936 m²×0.40 m</w:t>
            </w:r>
          </w:p>
        </w:tc>
        <w:tc>
          <w:tcPr>
            <w:tcW w:type="dxa" w:w="215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418.77</w:t>
            </w:r>
          </w:p>
        </w:tc>
      </w:tr>
      <w:tr>
        <w:trPr>
          <w:cantSplit/>
        </w:trPr>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坡底楔体</w:t>
            </w:r>
          </w:p>
        </w:tc>
        <w:tc>
          <w:tcPr>
            <w:tcW w:type="dxa" w:w="408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环形底坡0.05，r=3.0～18.5 m</w:t>
            </w:r>
          </w:p>
        </w:tc>
        <w:tc>
          <w:tcPr>
            <w:tcW w:type="dxa" w:w="215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308.20</w:t>
            </w:r>
          </w:p>
        </w:tc>
      </w:tr>
      <w:tr>
        <w:trPr>
          <w:cantSplit/>
        </w:trPr>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中心集泥坑</w:t>
            </w:r>
          </w:p>
        </w:tc>
        <w:tc>
          <w:tcPr>
            <w:tcW w:type="dxa" w:w="408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D6 m×0.50 m</w:t>
            </w:r>
          </w:p>
        </w:tc>
        <w:tc>
          <w:tcPr>
            <w:tcW w:type="dxa" w:w="215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14.14</w:t>
            </w:r>
          </w:p>
        </w:tc>
      </w:tr>
      <w:tr>
        <w:trPr>
          <w:cantSplit/>
        </w:trPr>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有效贮泥合计</w:t>
            </w:r>
          </w:p>
        </w:tc>
        <w:tc>
          <w:tcPr>
            <w:tcW w:type="dxa" w:w="408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对应连续排泥量1.732 h</w:t>
            </w:r>
          </w:p>
        </w:tc>
        <w:tc>
          <w:tcPr>
            <w:tcW w:type="dxa" w:w="215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741.11</w:t>
            </w:r>
          </w:p>
        </w:tc>
      </w:tr>
      <w:tr>
        <w:trPr>
          <w:cantSplit/>
        </w:trPr>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2 h校核值</w:t>
            </w:r>
          </w:p>
        </w:tc>
        <w:tc>
          <w:tcPr>
            <w:tcW w:type="dxa" w:w="408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按RAS与WAS合计</w:t>
            </w:r>
          </w:p>
        </w:tc>
        <w:tc>
          <w:tcPr>
            <w:tcW w:type="dxa" w:w="215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855.79</w:t>
            </w:r>
          </w:p>
        </w:tc>
      </w:tr>
    </w:tbl>
    <w:p>
      <w:pPr>
        <w:spacing w:after="20"/>
      </w:pPr>
    </w:p>
    <w:p>
      <w:pPr>
        <w:pStyle w:val="Heading2"/>
        <w:keepNext/>
        <w:keepLines w:val="0"/>
      </w:pPr>
      <w:r>
        <w:t>11.3 进出水与堰</w:t>
      </w:r>
    </w:p>
    <w:p>
      <w:pPr>
        <w:pStyle w:val="BodyText"/>
        <w:keepNext w:val="0"/>
        <w:keepLines w:val="0"/>
        <w:widowControl w:val="0"/>
        <w:spacing w:before="0" w:after="120" w:line="288" w:lineRule="auto"/>
        <w:ind w:firstLine="420"/>
      </w:pPr>
      <w:r>
        <w:rPr>
          <w:rFonts w:ascii="Songti SC" w:hAnsi="Songti SC" w:eastAsia="Songti SC" w:cs="Songti SC"/>
          <w:b w:val="0"/>
          <w:sz w:val="24"/>
        </w:rPr>
        <w:t>中心线D33 m双侧环形堰，每池堰长207.35 m，按最高时单池0.234375 m³/s，堰负荷1.130 L/(m·s)，小于1.7 L/(m·s)。按0.20 m间距约1037个堰口。单池混合液支管DN900、最高时0.4102 m³/s、流速0.645 m/s；出水DN700、0.2344 m³/s、0.609 m/s。</w:t>
      </w:r>
    </w:p>
    <w:p>
      <w:pPr>
        <w:pStyle w:val="Heading1"/>
        <w:keepNext/>
        <w:keepLines w:val="0"/>
      </w:pPr>
      <w:r>
        <w:t>12 连接管渠和配水设施</w:t>
      </w:r>
    </w:p>
    <w:p>
      <w:pPr>
        <w:pStyle w:val="Heading2"/>
        <w:keepNext/>
        <w:keepLines w:val="0"/>
      </w:pPr>
      <w:r>
        <w:t>12.1 计算方法与流量口径</w:t>
      </w:r>
    </w:p>
    <w:p>
      <w:pPr>
        <w:pStyle w:val="BodyText"/>
        <w:keepNext w:val="0"/>
        <w:keepLines w:val="0"/>
        <w:widowControl w:val="0"/>
        <w:spacing w:before="0" w:after="120" w:line="288" w:lineRule="auto"/>
        <w:ind w:firstLine="420"/>
      </w:pPr>
      <w:r>
        <w:rPr>
          <w:rFonts w:ascii="Songti SC" w:hAnsi="Songti SC" w:eastAsia="Songti SC" w:cs="Songti SC"/>
          <w:b w:val="0"/>
          <w:sz w:val="24"/>
        </w:rPr>
        <w:t>压力管采用Darcy-Weisbach式，课程阶段统一λ=0.020；局部损失用Σζ。长度取总平面中心线折线，公共段只计一次、支管取最不利单支；表中长度均为总平面计算草图的中心线量取值（非实测，含泵房内12 m布置假定），后续CAD总图确定后须逐段替换重算。GB 50014—2021第7.1.5条规定水泵提升进厂时，应按工作水泵最大组合流量校核相连管渠及处理设施配水系统，因此本章按6750 m³/h。</w:t>
      </w:r>
    </w:p>
    <w:p>
      <w:pPr>
        <w:keepNext w:val="0"/>
        <w:keepLines w:val="0"/>
        <w:widowControl w:val="0"/>
        <w:spacing w:before="0" w:after="100" w:line="288" w:lineRule="auto"/>
        <w:jc w:val="center"/>
      </w:pPr>
      <m:oMathPara>
        <m:oMath>
          <m:r>
            <m:t>v=Q/A；hf=λ(L/D)v²/(2g)；hj=Σζv²/(2g)</m:t>
          </m:r>
        </m:oMath>
      </m:oMathPara>
    </w:p>
    <w:p>
      <w:pPr>
        <w:keepNext/>
        <w:keepLines w:val="0"/>
        <w:jc w:val="center"/>
      </w:pPr>
      <w:r>
        <w:drawing>
          <wp:inline xmlns:a="http://schemas.openxmlformats.org/drawingml/2006/main" xmlns:pic="http://schemas.openxmlformats.org/drawingml/2006/picture">
            <wp:extent cx="5715000" cy="2857500"/>
            <wp:docPr id="9" name="Picture 9"/>
            <wp:cNvGraphicFramePr>
              <a:graphicFrameLocks noChangeAspect="1"/>
            </wp:cNvGraphicFramePr>
            <a:graphic>
              <a:graphicData uri="http://schemas.openxmlformats.org/drawingml/2006/picture">
                <pic:pic>
                  <pic:nvPicPr>
                    <pic:cNvPr id="0" name="10_pipes.png"/>
                    <pic:cNvPicPr/>
                  </pic:nvPicPr>
                  <pic:blipFill>
                    <a:blip r:embed="rId18"/>
                    <a:stretch>
                      <a:fillRect/>
                    </a:stretch>
                  </pic:blipFill>
                  <pic:spPr>
                    <a:xfrm>
                      <a:off x="0" y="0"/>
                      <a:ext cx="5715000" cy="2857500"/>
                    </a:xfrm>
                    <a:prstGeom prst="rect"/>
                  </pic:spPr>
                </pic:pic>
              </a:graphicData>
            </a:graphic>
          </wp:inline>
        </w:drawing>
      </w:r>
    </w:p>
    <w:p>
      <w:pPr>
        <w:keepNext w:val="0"/>
        <w:keepLines w:val="0"/>
        <w:widowControl w:val="0"/>
        <w:spacing w:before="0" w:after="120" w:line="288" w:lineRule="auto"/>
        <w:jc w:val="center"/>
      </w:pPr>
      <w:r>
        <w:rPr>
          <w:rFonts w:ascii="Songti SC" w:hAnsi="Songti SC" w:eastAsia="Songti SC" w:cs="Songti SC"/>
          <w:b w:val="0"/>
          <w:sz w:val="21"/>
        </w:rPr>
        <w:t>图12-1 主要连接管渠与配水接口</w:t>
      </w:r>
    </w:p>
    <w:p>
      <w:pPr>
        <w:keepNext/>
        <w:keepLines w:val="0"/>
        <w:widowControl w:val="0"/>
        <w:spacing w:before="0" w:after="120" w:line="288" w:lineRule="auto"/>
        <w:jc w:val="center"/>
      </w:pPr>
      <w:r>
        <w:rPr>
          <w:rFonts w:ascii="Songti SC" w:hAnsi="Songti SC" w:eastAsia="Songti SC" w:cs="Songti SC"/>
          <w:b w:val="0"/>
          <w:sz w:val="21"/>
        </w:rPr>
        <w:t>表12-1 管段、Q m³/s汇总</w:t>
      </w:r>
    </w:p>
    <w:tbl>
      <w:tblPr>
        <w:tblW w:type="auto" w:w="0"/>
        <w:jc w:val="center"/>
        <w:tblLayout w:type="fixed"/>
        <w:tblLook w:firstColumn="1" w:firstRow="1" w:lastColumn="0" w:lastRow="0" w:noHBand="0" w:noVBand="1" w:val="04A0"/>
      </w:tblPr>
      <w:tblGrid>
        <w:gridCol w:w="1540"/>
        <w:gridCol w:w="1540"/>
        <w:gridCol w:w="1540"/>
        <w:gridCol w:w="1540"/>
        <w:gridCol w:w="1540"/>
        <w:gridCol w:w="1540"/>
      </w:tblGrid>
      <w:tr>
        <w:trPr>
          <w:tblHeader w:val="true"/>
          <w:cantSplit/>
        </w:trPr>
        <w:tc>
          <w:tcPr>
            <w:tcW w:type="dxa" w:w="2381"/>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9"/>
              </w:rPr>
              <w:t>管段</w:t>
            </w:r>
          </w:p>
        </w:tc>
        <w:tc>
          <w:tcPr>
            <w:tcW w:type="dxa" w:w="1531"/>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9"/>
              </w:rPr>
              <w:t>Q m³/s</w:t>
            </w:r>
          </w:p>
        </w:tc>
        <w:tc>
          <w:tcPr>
            <w:tcW w:type="dxa" w:w="1247"/>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9"/>
              </w:rPr>
              <w:t>管径</w:t>
            </w:r>
          </w:p>
        </w:tc>
        <w:tc>
          <w:tcPr>
            <w:tcW w:type="dxa" w:w="1134"/>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9"/>
              </w:rPr>
              <w:t>L m</w:t>
            </w:r>
          </w:p>
        </w:tc>
        <w:tc>
          <w:tcPr>
            <w:tcW w:type="dxa" w:w="1304"/>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9"/>
              </w:rPr>
              <w:t>v m/s</w:t>
            </w:r>
          </w:p>
        </w:tc>
        <w:tc>
          <w:tcPr>
            <w:tcW w:type="dxa" w:w="1304"/>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9"/>
              </w:rPr>
              <w:t>损失 m</w:t>
            </w:r>
          </w:p>
        </w:tc>
      </w:tr>
      <w:tr>
        <w:trPr>
          <w:cantSplit/>
        </w:trPr>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9"/>
              </w:rPr>
              <w:t>单泵内部支管</w:t>
            </w:r>
          </w:p>
        </w:tc>
        <w:tc>
          <w:tcPr>
            <w:tcW w:type="dxa" w:w="153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0.6250</w:t>
            </w:r>
          </w:p>
        </w:tc>
        <w:tc>
          <w:tcPr>
            <w:tcW w:type="dxa" w:w="124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DN900</w:t>
            </w:r>
          </w:p>
        </w:tc>
        <w:tc>
          <w:tcPr>
            <w:tcW w:type="dxa" w:w="113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12.0</w:t>
            </w:r>
          </w:p>
        </w:tc>
        <w:tc>
          <w:tcPr>
            <w:tcW w:type="dxa" w:w="130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0.982</w:t>
            </w:r>
          </w:p>
        </w:tc>
        <w:tc>
          <w:tcPr>
            <w:tcW w:type="dxa" w:w="130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0.225</w:t>
            </w:r>
          </w:p>
        </w:tc>
      </w:tr>
      <w:tr>
        <w:trPr>
          <w:cantSplit/>
        </w:trPr>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9"/>
              </w:rPr>
              <w:t>泵至细格栅单线</w:t>
            </w:r>
          </w:p>
        </w:tc>
        <w:tc>
          <w:tcPr>
            <w:tcW w:type="dxa" w:w="153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0.9375</w:t>
            </w:r>
          </w:p>
        </w:tc>
        <w:tc>
          <w:tcPr>
            <w:tcW w:type="dxa" w:w="124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DN1000</w:t>
            </w:r>
          </w:p>
        </w:tc>
        <w:tc>
          <w:tcPr>
            <w:tcW w:type="dxa" w:w="113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35.0</w:t>
            </w:r>
          </w:p>
        </w:tc>
        <w:tc>
          <w:tcPr>
            <w:tcW w:type="dxa" w:w="130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1.194</w:t>
            </w:r>
          </w:p>
        </w:tc>
        <w:tc>
          <w:tcPr>
            <w:tcW w:type="dxa" w:w="130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0.196</w:t>
            </w:r>
          </w:p>
        </w:tc>
      </w:tr>
      <w:tr>
        <w:trPr>
          <w:cantSplit/>
        </w:trPr>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9"/>
              </w:rPr>
              <w:t>沉砂A线至最远初沉</w:t>
            </w:r>
          </w:p>
        </w:tc>
        <w:tc>
          <w:tcPr>
            <w:tcW w:type="dxa" w:w="153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0.9375</w:t>
            </w:r>
          </w:p>
        </w:tc>
        <w:tc>
          <w:tcPr>
            <w:tcW w:type="dxa" w:w="124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DN1200</w:t>
            </w:r>
          </w:p>
        </w:tc>
        <w:tc>
          <w:tcPr>
            <w:tcW w:type="dxa" w:w="113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110.0</w:t>
            </w:r>
          </w:p>
        </w:tc>
        <w:tc>
          <w:tcPr>
            <w:tcW w:type="dxa" w:w="130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0.829</w:t>
            </w:r>
          </w:p>
        </w:tc>
        <w:tc>
          <w:tcPr>
            <w:tcW w:type="dxa" w:w="130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0.169</w:t>
            </w:r>
          </w:p>
        </w:tc>
      </w:tr>
      <w:tr>
        <w:trPr>
          <w:cantSplit/>
        </w:trPr>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9"/>
              </w:rPr>
              <w:t>沉砂B线至最远初沉</w:t>
            </w:r>
          </w:p>
        </w:tc>
        <w:tc>
          <w:tcPr>
            <w:tcW w:type="dxa" w:w="153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0.9375</w:t>
            </w:r>
          </w:p>
        </w:tc>
        <w:tc>
          <w:tcPr>
            <w:tcW w:type="dxa" w:w="124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DN1200</w:t>
            </w:r>
          </w:p>
        </w:tc>
        <w:tc>
          <w:tcPr>
            <w:tcW w:type="dxa" w:w="113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115.0</w:t>
            </w:r>
          </w:p>
        </w:tc>
        <w:tc>
          <w:tcPr>
            <w:tcW w:type="dxa" w:w="130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0.829</w:t>
            </w:r>
          </w:p>
        </w:tc>
        <w:tc>
          <w:tcPr>
            <w:tcW w:type="dxa" w:w="130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0.155</w:t>
            </w:r>
          </w:p>
        </w:tc>
      </w:tr>
      <w:tr>
        <w:trPr>
          <w:cantSplit/>
        </w:trPr>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9"/>
              </w:rPr>
              <w:t>初沉至最远A²/O</w:t>
            </w:r>
          </w:p>
        </w:tc>
        <w:tc>
          <w:tcPr>
            <w:tcW w:type="dxa" w:w="153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0.4688</w:t>
            </w:r>
          </w:p>
        </w:tc>
        <w:tc>
          <w:tcPr>
            <w:tcW w:type="dxa" w:w="124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DN900</w:t>
            </w:r>
          </w:p>
        </w:tc>
        <w:tc>
          <w:tcPr>
            <w:tcW w:type="dxa" w:w="113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147.5</w:t>
            </w:r>
          </w:p>
        </w:tc>
        <w:tc>
          <w:tcPr>
            <w:tcW w:type="dxa" w:w="130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0.737</w:t>
            </w:r>
          </w:p>
        </w:tc>
        <w:tc>
          <w:tcPr>
            <w:tcW w:type="dxa" w:w="130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0.132</w:t>
            </w:r>
          </w:p>
        </w:tc>
      </w:tr>
      <w:tr>
        <w:trPr>
          <w:cantSplit/>
        </w:trPr>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9"/>
              </w:rPr>
              <w:t>最远生物池至配水井</w:t>
            </w:r>
          </w:p>
        </w:tc>
        <w:tc>
          <w:tcPr>
            <w:tcW w:type="dxa" w:w="153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0.8203</w:t>
            </w:r>
          </w:p>
        </w:tc>
        <w:tc>
          <w:tcPr>
            <w:tcW w:type="dxa" w:w="124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DN1200</w:t>
            </w:r>
          </w:p>
        </w:tc>
        <w:tc>
          <w:tcPr>
            <w:tcW w:type="dxa" w:w="113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262.5</w:t>
            </w:r>
          </w:p>
        </w:tc>
        <w:tc>
          <w:tcPr>
            <w:tcW w:type="dxa" w:w="130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0.725</w:t>
            </w:r>
          </w:p>
        </w:tc>
        <w:tc>
          <w:tcPr>
            <w:tcW w:type="dxa" w:w="130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0.184</w:t>
            </w:r>
          </w:p>
        </w:tc>
      </w:tr>
      <w:tr>
        <w:trPr>
          <w:cantSplit/>
        </w:trPr>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9"/>
              </w:rPr>
              <w:t>二沉最不利进水支管</w:t>
            </w:r>
          </w:p>
        </w:tc>
        <w:tc>
          <w:tcPr>
            <w:tcW w:type="dxa" w:w="153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0.4102</w:t>
            </w:r>
          </w:p>
        </w:tc>
        <w:tc>
          <w:tcPr>
            <w:tcW w:type="dxa" w:w="124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DN900</w:t>
            </w:r>
          </w:p>
        </w:tc>
        <w:tc>
          <w:tcPr>
            <w:tcW w:type="dxa" w:w="113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175.0</w:t>
            </w:r>
          </w:p>
        </w:tc>
        <w:tc>
          <w:tcPr>
            <w:tcW w:type="dxa" w:w="130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0.645</w:t>
            </w:r>
          </w:p>
        </w:tc>
        <w:tc>
          <w:tcPr>
            <w:tcW w:type="dxa" w:w="130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0.125</w:t>
            </w:r>
          </w:p>
        </w:tc>
      </w:tr>
      <w:tr>
        <w:trPr>
          <w:cantSplit/>
        </w:trPr>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9"/>
              </w:rPr>
              <w:t>二沉最不利出水支管</w:t>
            </w:r>
          </w:p>
        </w:tc>
        <w:tc>
          <w:tcPr>
            <w:tcW w:type="dxa" w:w="153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0.2344</w:t>
            </w:r>
          </w:p>
        </w:tc>
        <w:tc>
          <w:tcPr>
            <w:tcW w:type="dxa" w:w="124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DN700</w:t>
            </w:r>
          </w:p>
        </w:tc>
        <w:tc>
          <w:tcPr>
            <w:tcW w:type="dxa" w:w="113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190.0</w:t>
            </w:r>
          </w:p>
        </w:tc>
        <w:tc>
          <w:tcPr>
            <w:tcW w:type="dxa" w:w="130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0.609</w:t>
            </w:r>
          </w:p>
        </w:tc>
        <w:tc>
          <w:tcPr>
            <w:tcW w:type="dxa" w:w="130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0.140</w:t>
            </w:r>
          </w:p>
        </w:tc>
      </w:tr>
      <w:tr>
        <w:trPr>
          <w:cantSplit/>
        </w:trPr>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9"/>
              </w:rPr>
              <w:t>二沉出水A线汇流管</w:t>
            </w:r>
          </w:p>
        </w:tc>
        <w:tc>
          <w:tcPr>
            <w:tcW w:type="dxa" w:w="153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0.9375</w:t>
            </w:r>
          </w:p>
        </w:tc>
        <w:tc>
          <w:tcPr>
            <w:tcW w:type="dxa" w:w="124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DN1200</w:t>
            </w:r>
          </w:p>
        </w:tc>
        <w:tc>
          <w:tcPr>
            <w:tcW w:type="dxa" w:w="113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75.0</w:t>
            </w:r>
          </w:p>
        </w:tc>
        <w:tc>
          <w:tcPr>
            <w:tcW w:type="dxa" w:w="130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0.829</w:t>
            </w:r>
          </w:p>
        </w:tc>
        <w:tc>
          <w:tcPr>
            <w:tcW w:type="dxa" w:w="130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0.131</w:t>
            </w:r>
          </w:p>
        </w:tc>
      </w:tr>
      <w:tr>
        <w:trPr>
          <w:cantSplit/>
        </w:trPr>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9"/>
              </w:rPr>
              <w:t>终端至厂界</w:t>
            </w:r>
          </w:p>
        </w:tc>
        <w:tc>
          <w:tcPr>
            <w:tcW w:type="dxa" w:w="153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1.8750</w:t>
            </w:r>
          </w:p>
        </w:tc>
        <w:tc>
          <w:tcPr>
            <w:tcW w:type="dxa" w:w="124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DN1500</w:t>
            </w:r>
          </w:p>
        </w:tc>
        <w:tc>
          <w:tcPr>
            <w:tcW w:type="dxa" w:w="113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28.0</w:t>
            </w:r>
          </w:p>
        </w:tc>
        <w:tc>
          <w:tcPr>
            <w:tcW w:type="dxa" w:w="130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1.061</w:t>
            </w:r>
          </w:p>
        </w:tc>
        <w:tc>
          <w:tcPr>
            <w:tcW w:type="dxa" w:w="130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9"/>
              </w:rPr>
              <w:t>0.079</w:t>
            </w:r>
          </w:p>
        </w:tc>
      </w:tr>
    </w:tbl>
    <w:p>
      <w:pPr>
        <w:spacing w:after="20"/>
      </w:pPr>
    </w:p>
    <w:p>
      <w:pPr>
        <w:pStyle w:val="BodyText"/>
        <w:keepNext w:val="0"/>
        <w:keepLines w:val="0"/>
        <w:widowControl w:val="0"/>
        <w:spacing w:before="0" w:after="120" w:line="288" w:lineRule="auto"/>
        <w:ind w:firstLine="420"/>
      </w:pPr>
      <w:r>
        <w:rPr>
          <w:rFonts w:ascii="Songti SC" w:hAnsi="Songti SC" w:eastAsia="Songti SC" w:cs="Songti SC"/>
          <w:b w:val="0"/>
          <w:sz w:val="24"/>
        </w:rPr>
        <w:t>泵至细格栅按0.9375 m³/s计算，DN1000流速1.194 m/s、损失0.196 m。分配和汇流段按所带池数确定流量；单支管采用该支服务的最大组合流量。后续CAD总图若调整中心线长度，管损和高程表应同步更新。</w:t>
      </w:r>
    </w:p>
    <w:p>
      <w:pPr>
        <w:keepNext/>
        <w:keepLines w:val="0"/>
        <w:widowControl w:val="0"/>
        <w:spacing w:before="0" w:after="120" w:line="288" w:lineRule="auto"/>
        <w:jc w:val="center"/>
      </w:pPr>
      <w:r>
        <w:rPr>
          <w:rFonts w:ascii="Songti SC" w:hAnsi="Songti SC" w:eastAsia="Songti SC" w:cs="Songti SC"/>
          <w:b w:val="0"/>
          <w:sz w:val="21"/>
        </w:rPr>
        <w:t>表12-2 控制管段、中心线坐标折线（m）汇总</w:t>
      </w:r>
    </w:p>
    <w:tbl>
      <w:tblPr>
        <w:tblW w:type="auto" w:w="0"/>
        <w:jc w:val="center"/>
        <w:tblLayout w:type="fixed"/>
        <w:tblLook w:firstColumn="1" w:firstRow="1" w:lastColumn="0" w:lastRow="0" w:noHBand="0" w:noVBand="1" w:val="04A0"/>
      </w:tblPr>
      <w:tblGrid>
        <w:gridCol w:w="3081"/>
        <w:gridCol w:w="3081"/>
        <w:gridCol w:w="3081"/>
      </w:tblGrid>
      <w:tr>
        <w:trPr>
          <w:tblHeader w:val="true"/>
          <w:cantSplit/>
        </w:trPr>
        <w:tc>
          <w:tcPr>
            <w:tcW w:type="dxa" w:w="2381"/>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7"/>
              </w:rPr>
              <w:t>控制管段</w:t>
            </w:r>
          </w:p>
        </w:tc>
        <w:tc>
          <w:tcPr>
            <w:tcW w:type="dxa" w:w="4932"/>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7"/>
              </w:rPr>
              <w:t>中心线坐标折线（m）</w:t>
            </w:r>
          </w:p>
        </w:tc>
        <w:tc>
          <w:tcPr>
            <w:tcW w:type="dxa" w:w="1304"/>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7"/>
              </w:rPr>
              <w:t>曼哈顿长度 m</w:t>
            </w:r>
          </w:p>
        </w:tc>
      </w:tr>
      <w:tr>
        <w:trPr>
          <w:cantSplit/>
        </w:trPr>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7"/>
              </w:rPr>
              <w:t>泵至细格栅单线</w:t>
            </w:r>
          </w:p>
        </w:tc>
        <w:tc>
          <w:tcPr>
            <w:tcW w:type="dxa" w:w="493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(360,280)→(360,270)→(335,270)</w:t>
            </w:r>
          </w:p>
        </w:tc>
        <w:tc>
          <w:tcPr>
            <w:tcW w:type="dxa" w:w="130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35.0</w:t>
            </w:r>
          </w:p>
        </w:tc>
      </w:tr>
      <w:tr>
        <w:trPr>
          <w:cantSplit/>
        </w:trPr>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7"/>
              </w:rPr>
              <w:t>沉砂A线至最远初沉</w:t>
            </w:r>
          </w:p>
        </w:tc>
        <w:tc>
          <w:tcPr>
            <w:tcW w:type="dxa" w:w="493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(300,260)→(270,260)→(270,270)→(200,270)</w:t>
            </w:r>
          </w:p>
        </w:tc>
        <w:tc>
          <w:tcPr>
            <w:tcW w:type="dxa" w:w="130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110.0</w:t>
            </w:r>
          </w:p>
        </w:tc>
      </w:tr>
      <w:tr>
        <w:trPr>
          <w:cantSplit/>
        </w:trPr>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7"/>
              </w:rPr>
              <w:t>沉砂B线至最远初沉</w:t>
            </w:r>
          </w:p>
        </w:tc>
        <w:tc>
          <w:tcPr>
            <w:tcW w:type="dxa" w:w="493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(300,245)→(270,245)→(270,230)→(200,230)</w:t>
            </w:r>
          </w:p>
        </w:tc>
        <w:tc>
          <w:tcPr>
            <w:tcW w:type="dxa" w:w="130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115.0</w:t>
            </w:r>
          </w:p>
        </w:tc>
      </w:tr>
      <w:tr>
        <w:trPr>
          <w:cantSplit/>
        </w:trPr>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7"/>
              </w:rPr>
              <w:t>初沉至最远A²/O</w:t>
            </w:r>
          </w:p>
        </w:tc>
        <w:tc>
          <w:tcPr>
            <w:tcW w:type="dxa" w:w="493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(200,230)→(200,177.5)→(155,177.5)→(155,127.5)</w:t>
            </w:r>
          </w:p>
        </w:tc>
        <w:tc>
          <w:tcPr>
            <w:tcW w:type="dxa" w:w="130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147.5</w:t>
            </w:r>
          </w:p>
        </w:tc>
      </w:tr>
      <w:tr>
        <w:trPr>
          <w:cantSplit/>
        </w:trPr>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7"/>
              </w:rPr>
              <w:t>最远生物池至配水井</w:t>
            </w:r>
          </w:p>
        </w:tc>
        <w:tc>
          <w:tcPr>
            <w:tcW w:type="dxa" w:w="493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(85,177.5)→(245,177.5)→(245,145)→(245,75)</w:t>
            </w:r>
          </w:p>
        </w:tc>
        <w:tc>
          <w:tcPr>
            <w:tcW w:type="dxa" w:w="130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262.5</w:t>
            </w:r>
          </w:p>
        </w:tc>
      </w:tr>
      <w:tr>
        <w:trPr>
          <w:cantSplit/>
        </w:trPr>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7"/>
              </w:rPr>
              <w:t>二沉最不利进水支管</w:t>
            </w:r>
          </w:p>
        </w:tc>
        <w:tc>
          <w:tcPr>
            <w:tcW w:type="dxa" w:w="493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(245,45)→(245,35)→(80,35)</w:t>
            </w:r>
          </w:p>
        </w:tc>
        <w:tc>
          <w:tcPr>
            <w:tcW w:type="dxa" w:w="130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175.0</w:t>
            </w:r>
          </w:p>
        </w:tc>
      </w:tr>
      <w:tr>
        <w:trPr>
          <w:cantSplit/>
        </w:trPr>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7"/>
              </w:rPr>
              <w:t>二沉最不利出水支管</w:t>
            </w:r>
          </w:p>
        </w:tc>
        <w:tc>
          <w:tcPr>
            <w:tcW w:type="dxa" w:w="493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(80,80)→(270,80)</w:t>
            </w:r>
          </w:p>
        </w:tc>
        <w:tc>
          <w:tcPr>
            <w:tcW w:type="dxa" w:w="130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190.0</w:t>
            </w:r>
          </w:p>
        </w:tc>
      </w:tr>
      <w:tr>
        <w:trPr>
          <w:cantSplit/>
        </w:trPr>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7"/>
              </w:rPr>
              <w:t>二沉出水A线汇流管</w:t>
            </w:r>
          </w:p>
        </w:tc>
        <w:tc>
          <w:tcPr>
            <w:tcW w:type="dxa" w:w="493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(270,80)→(300,80)→(300,35)</w:t>
            </w:r>
          </w:p>
        </w:tc>
        <w:tc>
          <w:tcPr>
            <w:tcW w:type="dxa" w:w="130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75.0</w:t>
            </w:r>
          </w:p>
        </w:tc>
      </w:tr>
      <w:tr>
        <w:trPr>
          <w:cantSplit/>
        </w:trPr>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7"/>
              </w:rPr>
              <w:t>终端至厂界</w:t>
            </w:r>
          </w:p>
        </w:tc>
        <w:tc>
          <w:tcPr>
            <w:tcW w:type="dxa" w:w="493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(372,30)→(400,30)</w:t>
            </w:r>
          </w:p>
        </w:tc>
        <w:tc>
          <w:tcPr>
            <w:tcW w:type="dxa" w:w="130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28.0</w:t>
            </w:r>
          </w:p>
        </w:tc>
      </w:tr>
    </w:tbl>
    <w:p>
      <w:pPr>
        <w:spacing w:after="20"/>
      </w:pPr>
    </w:p>
    <w:p>
      <w:pPr>
        <w:pStyle w:val="BodyText"/>
        <w:keepNext w:val="0"/>
        <w:keepLines w:val="0"/>
        <w:widowControl w:val="0"/>
        <w:spacing w:before="0" w:after="120" w:line="288" w:lineRule="auto"/>
        <w:ind w:firstLine="420"/>
      </w:pPr>
      <w:r>
        <w:rPr>
          <w:rFonts w:ascii="Songti SC" w:hAnsi="Songti SC" w:eastAsia="Songti SC" w:cs="Songti SC"/>
          <w:b w:val="0"/>
          <w:sz w:val="24"/>
        </w:rPr>
        <w:t>坐标原点为厂区西南角，x向东、y向北。4个初沉、4个A²/O和8个二沉均已建立入口/出口分支；逐支计算后最大值为：初沉至A²/O 147.5 m、生物池至二沉配水井262.5 m、二沉进水支管175.0 m、二沉出水支管190.0 m。总平面图使用同一套坐标和同一比例。</w:t>
      </w:r>
    </w:p>
    <w:p>
      <w:pPr>
        <w:pStyle w:val="Heading2"/>
        <w:keepNext/>
        <w:keepLines w:val="0"/>
      </w:pPr>
      <w:r>
        <w:t>12.2 配水、分流和运行控制</w:t>
      </w:r>
    </w:p>
    <w:p>
      <w:pPr>
        <w:pStyle w:val="BodyText"/>
        <w:keepNext w:val="0"/>
        <w:keepLines w:val="0"/>
        <w:widowControl w:val="0"/>
        <w:spacing w:before="0" w:after="120" w:line="288" w:lineRule="auto"/>
        <w:ind w:firstLine="420"/>
      </w:pPr>
      <w:r>
        <w:rPr>
          <w:rFonts w:ascii="Songti SC" w:hAnsi="Songti SC" w:eastAsia="Songti SC" w:cs="Songti SC"/>
          <w:b w:val="0"/>
          <w:sz w:val="24"/>
        </w:rPr>
        <w:t>初沉每条水线设1座配水井，向2座池分流；二沉设置4座配水井，每井对应1个A²/O系列并向2座二沉池分流。堰顶等高，各支路设闸门和流量测量。正常由工作泵台数调节，管渠、堰口和配水井入口具备6750 m³/h最高时组合过水能力。</w:t>
      </w:r>
    </w:p>
    <w:p>
      <w:pPr>
        <w:keepNext/>
        <w:keepLines w:val="0"/>
        <w:widowControl w:val="0"/>
        <w:spacing w:before="0" w:after="120" w:line="288" w:lineRule="auto"/>
        <w:jc w:val="center"/>
      </w:pPr>
      <w:r>
        <w:rPr>
          <w:rFonts w:ascii="Songti SC" w:hAnsi="Songti SC" w:eastAsia="Songti SC" w:cs="Songti SC"/>
          <w:b w:val="0"/>
          <w:sz w:val="21"/>
        </w:rPr>
        <w:t>表12-3 配水单元、服务对象汇总</w:t>
      </w:r>
    </w:p>
    <w:tbl>
      <w:tblPr>
        <w:tblW w:type="auto" w:w="0"/>
        <w:jc w:val="center"/>
        <w:tblLayout w:type="fixed"/>
        <w:tblLook w:firstColumn="1" w:firstRow="1" w:lastColumn="0" w:lastRow="0" w:noHBand="0" w:noVBand="1" w:val="04A0"/>
      </w:tblPr>
      <w:tblGrid>
        <w:gridCol w:w="2310"/>
        <w:gridCol w:w="2310"/>
        <w:gridCol w:w="2310"/>
        <w:gridCol w:w="2310"/>
      </w:tblGrid>
      <w:tr>
        <w:trPr>
          <w:tblHeader w:val="true"/>
          <w:cantSplit/>
        </w:trPr>
        <w:tc>
          <w:tcPr>
            <w:tcW w:type="dxa" w:w="1701"/>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配水单元</w:t>
            </w:r>
          </w:p>
        </w:tc>
        <w:tc>
          <w:tcPr>
            <w:tcW w:type="dxa" w:w="1701"/>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服务对象</w:t>
            </w:r>
          </w:p>
        </w:tc>
        <w:tc>
          <w:tcPr>
            <w:tcW w:type="dxa" w:w="3005"/>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组合流量分配</w:t>
            </w:r>
          </w:p>
        </w:tc>
        <w:tc>
          <w:tcPr>
            <w:tcW w:type="dxa" w:w="2438"/>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控制</w:t>
            </w:r>
          </w:p>
        </w:tc>
      </w:tr>
      <w:tr>
        <w:trPr>
          <w:cantSplit/>
        </w:trPr>
        <w:tc>
          <w:tcPr>
            <w:tcW w:type="dxa" w:w="170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前处理两线</w:t>
            </w:r>
          </w:p>
        </w:tc>
        <w:tc>
          <w:tcPr>
            <w:tcW w:type="dxa" w:w="170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细格栅、沉砂</w:t>
            </w:r>
          </w:p>
        </w:tc>
        <w:tc>
          <w:tcPr>
            <w:tcW w:type="dxa" w:w="300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2×0.9375 m³/s</w:t>
            </w:r>
          </w:p>
        </w:tc>
        <w:tc>
          <w:tcPr>
            <w:tcW w:type="dxa" w:w="243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跨线联络，正常均分</w:t>
            </w:r>
          </w:p>
        </w:tc>
      </w:tr>
      <w:tr>
        <w:trPr>
          <w:cantSplit/>
        </w:trPr>
        <w:tc>
          <w:tcPr>
            <w:tcW w:type="dxa" w:w="170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初沉配水</w:t>
            </w:r>
          </w:p>
        </w:tc>
        <w:tc>
          <w:tcPr>
            <w:tcW w:type="dxa" w:w="170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2井→4池</w:t>
            </w:r>
          </w:p>
        </w:tc>
        <w:tc>
          <w:tcPr>
            <w:tcW w:type="dxa" w:w="300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0.46875 m³/s·池</w:t>
            </w:r>
          </w:p>
        </w:tc>
        <w:tc>
          <w:tcPr>
            <w:tcW w:type="dxa" w:w="243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指形堰+闸门+流量计</w:t>
            </w:r>
          </w:p>
        </w:tc>
      </w:tr>
      <w:tr>
        <w:trPr>
          <w:cantSplit/>
        </w:trPr>
        <w:tc>
          <w:tcPr>
            <w:tcW w:type="dxa" w:w="170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A²/O配水</w:t>
            </w:r>
          </w:p>
        </w:tc>
        <w:tc>
          <w:tcPr>
            <w:tcW w:type="dxa" w:w="170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4系列</w:t>
            </w:r>
          </w:p>
        </w:tc>
        <w:tc>
          <w:tcPr>
            <w:tcW w:type="dxa" w:w="300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0.46875 m³/s·系列</w:t>
            </w:r>
          </w:p>
        </w:tc>
        <w:tc>
          <w:tcPr>
            <w:tcW w:type="dxa" w:w="243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独立进水闸门</w:t>
            </w:r>
          </w:p>
        </w:tc>
      </w:tr>
      <w:tr>
        <w:trPr>
          <w:cantSplit/>
        </w:trPr>
        <w:tc>
          <w:tcPr>
            <w:tcW w:type="dxa" w:w="170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二沉配水</w:t>
            </w:r>
          </w:p>
        </w:tc>
        <w:tc>
          <w:tcPr>
            <w:tcW w:type="dxa" w:w="170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4井→8池</w:t>
            </w:r>
          </w:p>
        </w:tc>
        <w:tc>
          <w:tcPr>
            <w:tcW w:type="dxa" w:w="300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外部0.23438、混合液0.41016 m³/s·池</w:t>
            </w:r>
          </w:p>
        </w:tc>
        <w:tc>
          <w:tcPr>
            <w:tcW w:type="dxa" w:w="243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每井2路等堰、泥位联控</w:t>
            </w:r>
          </w:p>
        </w:tc>
      </w:tr>
      <w:tr>
        <w:trPr>
          <w:cantSplit/>
        </w:trPr>
        <w:tc>
          <w:tcPr>
            <w:tcW w:type="dxa" w:w="170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终端</w:t>
            </w:r>
          </w:p>
        </w:tc>
        <w:tc>
          <w:tcPr>
            <w:tcW w:type="dxa" w:w="170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2格接触池/2计量渠</w:t>
            </w:r>
          </w:p>
        </w:tc>
        <w:tc>
          <w:tcPr>
            <w:tcW w:type="dxa" w:w="300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2×0.9375 m³/s</w:t>
            </w:r>
          </w:p>
        </w:tc>
        <w:tc>
          <w:tcPr>
            <w:tcW w:type="dxa" w:w="243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检修时限流</w:t>
            </w:r>
          </w:p>
        </w:tc>
      </w:tr>
    </w:tbl>
    <w:p>
      <w:pPr>
        <w:spacing w:after="20"/>
      </w:pPr>
    </w:p>
    <w:p>
      <w:pPr>
        <w:pStyle w:val="Heading2"/>
        <w:keepNext/>
        <w:keepLines w:val="0"/>
      </w:pPr>
      <w:r>
        <w:t>12.3 进厂管边界</w:t>
      </w:r>
    </w:p>
    <w:p>
      <w:pPr>
        <w:pStyle w:val="BodyText"/>
        <w:keepNext w:val="0"/>
        <w:keepLines w:val="0"/>
        <w:widowControl w:val="0"/>
        <w:spacing w:before="0" w:after="120" w:line="288" w:lineRule="auto"/>
        <w:ind w:firstLine="420"/>
      </w:pPr>
      <w:r>
        <w:rPr>
          <w:rFonts w:ascii="Songti SC" w:hAnsi="Songti SC" w:eastAsia="Songti SC" w:cs="Songti SC"/>
          <w:b w:val="0"/>
          <w:sz w:val="24"/>
        </w:rPr>
        <w:t>进厂D1200由任务书固定，管底EL23.30 m。原复核在最高时流量、h/D=0.75条件下流速约1.786 m/s、坡度约2.089‰。本轮不擅自改变题设管径；施工深化须核上游水位、管材允许流速、冲刷和3台工作泵组合时的壅水，必要时增加并联或限流措施。</w:t>
      </w:r>
    </w:p>
    <w:p>
      <w:pPr>
        <w:pStyle w:val="BodyText"/>
        <w:keepNext w:val="0"/>
        <w:keepLines w:val="0"/>
        <w:widowControl w:val="0"/>
        <w:spacing w:before="40" w:after="120" w:line="288" w:lineRule="auto"/>
      </w:pPr>
      <w:r>
        <w:rPr>
          <w:rFonts w:ascii="Songti SC" w:hAnsi="Songti SC" w:eastAsia="Songti SC" w:cs="Songti SC"/>
          <w:b/>
          <w:sz w:val="22"/>
        </w:rPr>
        <w:t>说明：</w:t>
      </w:r>
      <w:r>
        <w:rPr>
          <w:rFonts w:ascii="Songti SC" w:hAnsi="Songti SC" w:eastAsia="Songti SC" w:cs="Songti SC"/>
          <w:b w:val="0"/>
          <w:sz w:val="22"/>
        </w:rPr>
        <w:t>管网λ、局部阻力和长度为课程阶段输入；阀门、渐变、仪表和厂家设备确定后必须逐段替换。</w:t>
      </w:r>
    </w:p>
    <w:p>
      <w:pPr>
        <w:pStyle w:val="Heading1"/>
        <w:keepNext/>
        <w:keepLines w:val="0"/>
      </w:pPr>
      <w:r>
        <w:t>13 总平面布置</w:t>
      </w:r>
    </w:p>
    <w:p>
      <w:pPr>
        <w:pStyle w:val="Heading2"/>
        <w:keepNext/>
        <w:keepLines w:val="0"/>
      </w:pPr>
      <w:r>
        <w:t>13.1 布置原则</w:t>
      </w:r>
    </w:p>
    <w:p>
      <w:pPr>
        <w:pStyle w:val="BodyText"/>
        <w:keepNext w:val="0"/>
        <w:keepLines w:val="0"/>
        <w:widowControl w:val="0"/>
        <w:spacing w:before="0" w:after="120" w:line="288" w:lineRule="auto"/>
        <w:ind w:firstLine="420"/>
      </w:pPr>
      <w:r>
        <w:rPr>
          <w:rFonts w:ascii="Songti SC" w:hAnsi="Songti SC" w:eastAsia="Songti SC" w:cs="Songti SC"/>
          <w:b w:val="0"/>
          <w:sz w:val="24"/>
        </w:rPr>
        <w:t>厂区按400 m×300 m矩形表达12 ha。进水位于北侧、距东墙40 m；前处理靠近进水，初沉与A²/O沿主流程布置，8座二沉池分两列，终端接触池和计量靠东侧排口。道路形成环线，药剂间靠近投加点，鼓风机房靠近好氧区并避开主导东南风对管理区的不利影响。</w:t>
      </w:r>
    </w:p>
    <w:p>
      <w:pPr>
        <w:keepNext/>
        <w:keepLines w:val="0"/>
        <w:jc w:val="center"/>
      </w:pPr>
      <w:r>
        <w:drawing>
          <wp:inline xmlns:a="http://schemas.openxmlformats.org/drawingml/2006/main" xmlns:pic="http://schemas.openxmlformats.org/drawingml/2006/picture">
            <wp:extent cx="5715000" cy="2857500"/>
            <wp:docPr id="10" name="Picture 10"/>
            <wp:cNvGraphicFramePr>
              <a:graphicFrameLocks noChangeAspect="1"/>
            </wp:cNvGraphicFramePr>
            <a:graphic>
              <a:graphicData uri="http://schemas.openxmlformats.org/drawingml/2006/picture">
                <pic:pic>
                  <pic:nvPicPr>
                    <pic:cNvPr id="0" name="11_site_layout.png"/>
                    <pic:cNvPicPr/>
                  </pic:nvPicPr>
                  <pic:blipFill>
                    <a:blip r:embed="rId19"/>
                    <a:stretch>
                      <a:fillRect/>
                    </a:stretch>
                  </pic:blipFill>
                  <pic:spPr>
                    <a:xfrm>
                      <a:off x="0" y="0"/>
                      <a:ext cx="5715000" cy="2857500"/>
                    </a:xfrm>
                    <a:prstGeom prst="rect"/>
                  </pic:spPr>
                </pic:pic>
              </a:graphicData>
            </a:graphic>
          </wp:inline>
        </w:drawing>
      </w:r>
    </w:p>
    <w:p>
      <w:pPr>
        <w:keepNext w:val="0"/>
        <w:keepLines w:val="0"/>
        <w:widowControl w:val="0"/>
        <w:spacing w:before="0" w:after="120" w:line="288" w:lineRule="auto"/>
        <w:jc w:val="center"/>
      </w:pPr>
      <w:r>
        <w:rPr>
          <w:rFonts w:ascii="Songti SC" w:hAnsi="Songti SC" w:eastAsia="Songti SC" w:cs="Songti SC"/>
          <w:b w:val="0"/>
          <w:sz w:val="21"/>
        </w:rPr>
        <w:t>图13-1 厂区总平面计算草图</w:t>
      </w:r>
    </w:p>
    <w:p>
      <w:pPr>
        <w:pStyle w:val="BodyText"/>
        <w:keepNext w:val="0"/>
        <w:keepLines w:val="0"/>
        <w:widowControl w:val="0"/>
        <w:spacing w:before="0" w:after="120" w:line="288" w:lineRule="auto"/>
        <w:ind w:firstLine="420"/>
      </w:pPr>
      <w:r>
        <w:rPr>
          <w:rFonts w:ascii="Songti SC" w:hAnsi="Songti SC" w:eastAsia="Songti SC" w:cs="Songti SC"/>
          <w:b w:val="0"/>
          <w:sz w:val="24"/>
        </w:rPr>
        <w:t>图中构筑物按确定性几何近似比例绘制，表达数量、相对尺寸和流向。进水井4格各16×10 m；A²/O为4系列、每系列净水面70×45 m；二沉池为8座净径37 m。A²/O结构外轮廓另计外墙和隔墙厚度，沉淀池外轮廓另计池壁和走道。总平面仍须在独立CAD/BIM成果中落实道路宽度、建筑物、绿化、地下管线、远期扩建和事故超越。</w:t>
      </w:r>
    </w:p>
    <w:p>
      <w:pPr>
        <w:pStyle w:val="Heading2"/>
        <w:keepNext/>
        <w:keepLines w:val="0"/>
      </w:pPr>
      <w:r>
        <w:t>13.2 检修与扩建</w:t>
      </w:r>
    </w:p>
    <w:p>
      <w:pPr>
        <w:pStyle w:val="BodyText"/>
        <w:keepNext w:val="0"/>
        <w:keepLines w:val="0"/>
        <w:widowControl w:val="0"/>
        <w:spacing w:before="0" w:after="120" w:line="288" w:lineRule="auto"/>
        <w:ind w:firstLine="420"/>
      </w:pPr>
      <w:r>
        <w:rPr>
          <w:rFonts w:ascii="Songti SC" w:hAnsi="Songti SC" w:eastAsia="Songti SC" w:cs="Songti SC"/>
          <w:b w:val="0"/>
          <w:sz w:val="24"/>
        </w:rPr>
        <w:t>前处理两线、进水井四格、生物池四系列、二沉八池均可分单元隔离。进水井每格1台泵，任一格检修隔离时其余3台泵仍具备1.875 m³/s的最高时输送能力；二沉低流量时可减少运行池数。厂区南侧保留远期用地，事故排放仅预留受控接口，任何直排须依法审批，不能把超越管写成常规运行路线。</w:t>
      </w:r>
    </w:p>
    <w:p>
      <w:pPr>
        <w:pStyle w:val="Heading1"/>
        <w:keepNext/>
        <w:keepLines w:val="0"/>
      </w:pPr>
      <w:r>
        <w:t>14 水力高程与出厂方式</w:t>
      </w:r>
    </w:p>
    <w:p>
      <w:pPr>
        <w:pStyle w:val="Heading2"/>
        <w:keepNext/>
        <w:keepLines w:val="0"/>
      </w:pPr>
      <w:r>
        <w:t>14.1 高程控制</w:t>
      </w:r>
    </w:p>
    <w:p>
      <w:pPr>
        <w:pStyle w:val="BodyText"/>
        <w:keepNext w:val="0"/>
        <w:keepLines w:val="0"/>
        <w:widowControl w:val="0"/>
        <w:spacing w:before="0" w:after="120" w:line="288" w:lineRule="auto"/>
        <w:ind w:firstLine="420"/>
      </w:pPr>
      <w:r>
        <w:rPr>
          <w:rFonts w:ascii="Songti SC" w:hAnsi="Songti SC" w:eastAsia="Songti SC" w:cs="Songti SC"/>
          <w:b w:val="0"/>
          <w:sz w:val="24"/>
        </w:rPr>
        <w:t>按任务书厂区地形平坦、标高27.3 m，以A²/O池工艺内底EL27.30 m（与厂坪同高）为竖向锚点，水深5.0 m，主体水面EL32.30 m。上游反推细格栅前EL34.30 m，下游推至出水控制井EL30.40 m。一次提升后依次重力流经沉砂、初沉、生物、二沉和终端。</w:t>
      </w:r>
    </w:p>
    <w:p>
      <w:pPr>
        <w:keepNext/>
        <w:keepLines w:val="0"/>
        <w:jc w:val="center"/>
      </w:pPr>
      <w:r>
        <w:drawing>
          <wp:inline xmlns:a="http://schemas.openxmlformats.org/drawingml/2006/main" xmlns:pic="http://schemas.openxmlformats.org/drawingml/2006/picture">
            <wp:extent cx="5715000" cy="2857500"/>
            <wp:docPr id="11" name="Picture 11"/>
            <wp:cNvGraphicFramePr>
              <a:graphicFrameLocks noChangeAspect="1"/>
            </wp:cNvGraphicFramePr>
            <a:graphic>
              <a:graphicData uri="http://schemas.openxmlformats.org/drawingml/2006/picture">
                <pic:pic>
                  <pic:nvPicPr>
                    <pic:cNvPr id="0" name="12_elevation.png"/>
                    <pic:cNvPicPr/>
                  </pic:nvPicPr>
                  <pic:blipFill>
                    <a:blip r:embed="rId20"/>
                    <a:stretch>
                      <a:fillRect/>
                    </a:stretch>
                  </pic:blipFill>
                  <pic:spPr>
                    <a:xfrm>
                      <a:off x="0" y="0"/>
                      <a:ext cx="5715000" cy="2857500"/>
                    </a:xfrm>
                    <a:prstGeom prst="rect"/>
                  </pic:spPr>
                </pic:pic>
              </a:graphicData>
            </a:graphic>
          </wp:inline>
        </w:drawing>
      </w:r>
    </w:p>
    <w:p>
      <w:pPr>
        <w:keepNext w:val="0"/>
        <w:keepLines w:val="0"/>
        <w:widowControl w:val="0"/>
        <w:spacing w:before="0" w:after="120" w:line="288" w:lineRule="auto"/>
        <w:jc w:val="center"/>
      </w:pPr>
      <w:r>
        <w:rPr>
          <w:rFonts w:ascii="Songti SC" w:hAnsi="Songti SC" w:eastAsia="Songti SC" w:cs="Songti SC"/>
          <w:b w:val="0"/>
          <w:sz w:val="21"/>
        </w:rPr>
        <w:t>图14-1 全厂水线高程控制草图</w:t>
      </w:r>
    </w:p>
    <w:p>
      <w:pPr>
        <w:keepNext/>
        <w:keepLines w:val="0"/>
        <w:widowControl w:val="0"/>
        <w:spacing w:before="0" w:after="120" w:line="288" w:lineRule="auto"/>
        <w:jc w:val="center"/>
      </w:pPr>
      <w:r>
        <w:rPr>
          <w:rFonts w:ascii="Songti SC" w:hAnsi="Songti SC" w:eastAsia="Songti SC" w:cs="Songti SC"/>
          <w:b w:val="0"/>
          <w:sz w:val="21"/>
        </w:rPr>
        <w:t>表14-1 设施、控制水位 EL m汇总</w:t>
      </w:r>
    </w:p>
    <w:tbl>
      <w:tblPr>
        <w:tblW w:type="auto" w:w="0"/>
        <w:jc w:val="center"/>
        <w:tblLayout w:type="fixed"/>
        <w:tblLook w:firstColumn="1" w:firstRow="1" w:lastColumn="0" w:lastRow="0" w:noHBand="0" w:noVBand="1" w:val="04A0"/>
      </w:tblPr>
      <w:tblGrid>
        <w:gridCol w:w="2310"/>
        <w:gridCol w:w="2310"/>
        <w:gridCol w:w="2310"/>
        <w:gridCol w:w="2310"/>
      </w:tblGrid>
      <w:tr>
        <w:trPr>
          <w:tblHeader w:val="true"/>
          <w:cantSplit/>
        </w:trPr>
        <w:tc>
          <w:tcPr>
            <w:tcW w:type="dxa" w:w="1984"/>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0"/>
              </w:rPr>
              <w:t>设施</w:t>
            </w:r>
          </w:p>
        </w:tc>
        <w:tc>
          <w:tcPr>
            <w:tcW w:type="dxa" w:w="2324"/>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0"/>
              </w:rPr>
              <w:t>控制水位 EL m</w:t>
            </w:r>
          </w:p>
        </w:tc>
        <w:tc>
          <w:tcPr>
            <w:tcW w:type="dxa" w:w="2324"/>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0"/>
              </w:rPr>
              <w:t>工艺内底 EL m</w:t>
            </w:r>
          </w:p>
        </w:tc>
        <w:tc>
          <w:tcPr>
            <w:tcW w:type="dxa" w:w="2154"/>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0"/>
              </w:rPr>
              <w:t>说明</w:t>
            </w:r>
          </w:p>
        </w:tc>
      </w:tr>
      <w:tr>
        <w:trPr>
          <w:cantSplit/>
        </w:trPr>
        <w:tc>
          <w:tcPr>
            <w:tcW w:type="dxa" w:w="198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0"/>
              </w:rPr>
              <w:t>入厂D1200</w:t>
            </w:r>
          </w:p>
        </w:tc>
        <w:tc>
          <w:tcPr>
            <w:tcW w:type="dxa" w:w="232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0"/>
              </w:rPr>
              <w:t>24.20</w:t>
            </w:r>
          </w:p>
        </w:tc>
        <w:tc>
          <w:tcPr>
            <w:tcW w:type="dxa" w:w="232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0"/>
              </w:rPr>
              <w:t>管底23.30</w:t>
            </w:r>
          </w:p>
        </w:tc>
        <w:tc>
          <w:tcPr>
            <w:tcW w:type="dxa" w:w="215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0"/>
              </w:rPr>
              <w:t>题设固定</w:t>
            </w:r>
          </w:p>
        </w:tc>
      </w:tr>
      <w:tr>
        <w:trPr>
          <w:cantSplit/>
        </w:trPr>
        <w:tc>
          <w:tcPr>
            <w:tcW w:type="dxa" w:w="198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0"/>
              </w:rPr>
              <w:t>进水井</w:t>
            </w:r>
          </w:p>
        </w:tc>
        <w:tc>
          <w:tcPr>
            <w:tcW w:type="dxa" w:w="232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0"/>
              </w:rPr>
              <w:t>22.60～23.80</w:t>
            </w:r>
          </w:p>
        </w:tc>
        <w:tc>
          <w:tcPr>
            <w:tcW w:type="dxa" w:w="232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0"/>
              </w:rPr>
              <w:t>20.40</w:t>
            </w:r>
          </w:p>
        </w:tc>
        <w:tc>
          <w:tcPr>
            <w:tcW w:type="dxa" w:w="215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0"/>
              </w:rPr>
              <w:t>局部泵坑19.80</w:t>
            </w:r>
          </w:p>
        </w:tc>
      </w:tr>
      <w:tr>
        <w:trPr>
          <w:cantSplit/>
        </w:trPr>
        <w:tc>
          <w:tcPr>
            <w:tcW w:type="dxa" w:w="198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0"/>
              </w:rPr>
              <w:t>细格栅</w:t>
            </w:r>
          </w:p>
        </w:tc>
        <w:tc>
          <w:tcPr>
            <w:tcW w:type="dxa" w:w="232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0"/>
              </w:rPr>
              <w:t>34.30/34.15</w:t>
            </w:r>
          </w:p>
        </w:tc>
        <w:tc>
          <w:tcPr>
            <w:tcW w:type="dxa" w:w="232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0"/>
              </w:rPr>
              <w:t>后渠底33.15</w:t>
            </w:r>
          </w:p>
        </w:tc>
        <w:tc>
          <w:tcPr>
            <w:tcW w:type="dxa" w:w="215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0"/>
              </w:rPr>
              <w:t>最大水深1.0m</w:t>
            </w:r>
          </w:p>
        </w:tc>
      </w:tr>
      <w:tr>
        <w:trPr>
          <w:cantSplit/>
        </w:trPr>
        <w:tc>
          <w:tcPr>
            <w:tcW w:type="dxa" w:w="198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0"/>
              </w:rPr>
              <w:t>沉砂</w:t>
            </w:r>
          </w:p>
        </w:tc>
        <w:tc>
          <w:tcPr>
            <w:tcW w:type="dxa" w:w="232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0"/>
              </w:rPr>
              <w:t>33.75</w:t>
            </w:r>
          </w:p>
        </w:tc>
        <w:tc>
          <w:tcPr>
            <w:tcW w:type="dxa" w:w="232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0"/>
              </w:rPr>
              <w:t>31.25</w:t>
            </w:r>
          </w:p>
        </w:tc>
        <w:tc>
          <w:tcPr>
            <w:tcW w:type="dxa" w:w="215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0"/>
              </w:rPr>
              <w:t>砂斗另低1.50m</w:t>
            </w:r>
          </w:p>
        </w:tc>
      </w:tr>
      <w:tr>
        <w:trPr>
          <w:cantSplit/>
        </w:trPr>
        <w:tc>
          <w:tcPr>
            <w:tcW w:type="dxa" w:w="198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0"/>
              </w:rPr>
              <w:t>初沉</w:t>
            </w:r>
          </w:p>
        </w:tc>
        <w:tc>
          <w:tcPr>
            <w:tcW w:type="dxa" w:w="232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0"/>
              </w:rPr>
              <w:t>33.00</w:t>
            </w:r>
          </w:p>
        </w:tc>
        <w:tc>
          <w:tcPr>
            <w:tcW w:type="dxa" w:w="232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0"/>
              </w:rPr>
              <w:t>池底29.50</w:t>
            </w:r>
          </w:p>
        </w:tc>
        <w:tc>
          <w:tcPr>
            <w:tcW w:type="dxa" w:w="215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0"/>
              </w:rPr>
              <w:t>平流式有效水深3.5m</w:t>
            </w:r>
          </w:p>
        </w:tc>
      </w:tr>
      <w:tr>
        <w:trPr>
          <w:cantSplit/>
        </w:trPr>
        <w:tc>
          <w:tcPr>
            <w:tcW w:type="dxa" w:w="198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0"/>
              </w:rPr>
              <w:t>A²/O</w:t>
            </w:r>
          </w:p>
        </w:tc>
        <w:tc>
          <w:tcPr>
            <w:tcW w:type="dxa" w:w="232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0"/>
              </w:rPr>
              <w:t>32.30</w:t>
            </w:r>
          </w:p>
        </w:tc>
        <w:tc>
          <w:tcPr>
            <w:tcW w:type="dxa" w:w="232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0"/>
              </w:rPr>
              <w:t>27.30</w:t>
            </w:r>
          </w:p>
        </w:tc>
        <w:tc>
          <w:tcPr>
            <w:tcW w:type="dxa" w:w="215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0"/>
              </w:rPr>
              <w:t>墙顶32.80</w:t>
            </w:r>
          </w:p>
        </w:tc>
      </w:tr>
      <w:tr>
        <w:trPr>
          <w:cantSplit/>
        </w:trPr>
        <w:tc>
          <w:tcPr>
            <w:tcW w:type="dxa" w:w="198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0"/>
              </w:rPr>
              <w:t>二沉</w:t>
            </w:r>
          </w:p>
        </w:tc>
        <w:tc>
          <w:tcPr>
            <w:tcW w:type="dxa" w:w="232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0"/>
              </w:rPr>
              <w:t>31.40</w:t>
            </w:r>
          </w:p>
        </w:tc>
        <w:tc>
          <w:tcPr>
            <w:tcW w:type="dxa" w:w="232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0"/>
              </w:rPr>
              <w:t>周边27.400/内缘26.625/坑底26.125</w:t>
            </w:r>
          </w:p>
        </w:tc>
        <w:tc>
          <w:tcPr>
            <w:tcW w:type="dxa" w:w="215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0"/>
              </w:rPr>
              <w:t>沉淀3.1+缓冲0.5+基准贮泥0.4m</w:t>
            </w:r>
          </w:p>
        </w:tc>
      </w:tr>
      <w:tr>
        <w:trPr>
          <w:cantSplit/>
        </w:trPr>
        <w:tc>
          <w:tcPr>
            <w:tcW w:type="dxa" w:w="198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0"/>
              </w:rPr>
              <w:t>接触池/控制井</w:t>
            </w:r>
          </w:p>
        </w:tc>
        <w:tc>
          <w:tcPr>
            <w:tcW w:type="dxa" w:w="232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0"/>
              </w:rPr>
              <w:t>30.90/30.40</w:t>
            </w:r>
          </w:p>
        </w:tc>
        <w:tc>
          <w:tcPr>
            <w:tcW w:type="dxa" w:w="232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0"/>
              </w:rPr>
              <w:t>26.10/暂27.90</w:t>
            </w:r>
          </w:p>
        </w:tc>
        <w:tc>
          <w:tcPr>
            <w:tcW w:type="dxa" w:w="215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0"/>
              </w:rPr>
              <w:t>接触池净水深4.8m</w:t>
            </w:r>
          </w:p>
        </w:tc>
      </w:tr>
    </w:tbl>
    <w:p>
      <w:pPr>
        <w:spacing w:after="20"/>
      </w:pPr>
    </w:p>
    <w:p>
      <w:pPr>
        <w:keepNext/>
        <w:keepLines w:val="0"/>
        <w:widowControl w:val="0"/>
        <w:spacing w:before="0" w:after="120" w:line="288" w:lineRule="auto"/>
        <w:jc w:val="center"/>
      </w:pPr>
      <w:r>
        <w:rPr>
          <w:rFonts w:ascii="Songti SC" w:hAnsi="Songti SC" w:eastAsia="Songti SC" w:cs="Songti SC"/>
          <w:b w:val="0"/>
          <w:sz w:val="21"/>
        </w:rPr>
        <w:t>表14-2 串联段、上/下游 EL m汇总</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tblHeader w:val="true"/>
          <w:cantSplit/>
        </w:trPr>
        <w:tc>
          <w:tcPr>
            <w:tcW w:type="dxa" w:w="2551"/>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7"/>
              </w:rPr>
              <w:t>串联段</w:t>
            </w:r>
          </w:p>
        </w:tc>
        <w:tc>
          <w:tcPr>
            <w:tcW w:type="dxa" w:w="1984"/>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7"/>
              </w:rPr>
              <w:t>上/下游 EL m</w:t>
            </w:r>
          </w:p>
        </w:tc>
        <w:tc>
          <w:tcPr>
            <w:tcW w:type="dxa" w:w="1361"/>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7"/>
              </w:rPr>
              <w:t>采用落差 m</w:t>
            </w:r>
          </w:p>
        </w:tc>
        <w:tc>
          <w:tcPr>
            <w:tcW w:type="dxa" w:w="1361"/>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7"/>
              </w:rPr>
              <w:t>已算需求 m</w:t>
            </w:r>
          </w:p>
        </w:tc>
        <w:tc>
          <w:tcPr>
            <w:tcW w:type="dxa" w:w="1247"/>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7"/>
              </w:rPr>
              <w:t>剩余 m</w:t>
            </w:r>
          </w:p>
        </w:tc>
      </w:tr>
      <w:tr>
        <w:trPr>
          <w:cantSplit/>
        </w:trPr>
        <w:tc>
          <w:tcPr>
            <w:tcW w:type="dxa" w:w="255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7"/>
              </w:rPr>
              <w:t>细格栅过栅</w:t>
            </w:r>
          </w:p>
        </w:tc>
        <w:tc>
          <w:tcPr>
            <w:tcW w:type="dxa" w:w="198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34.30/34.15</w:t>
            </w:r>
          </w:p>
        </w:tc>
        <w:tc>
          <w:tcPr>
            <w:tcW w:type="dxa" w:w="136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0.150</w:t>
            </w:r>
          </w:p>
        </w:tc>
        <w:tc>
          <w:tcPr>
            <w:tcW w:type="dxa" w:w="136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0.078</w:t>
            </w:r>
          </w:p>
        </w:tc>
        <w:tc>
          <w:tcPr>
            <w:tcW w:type="dxa" w:w="124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0.072</w:t>
            </w:r>
          </w:p>
        </w:tc>
      </w:tr>
      <w:tr>
        <w:trPr>
          <w:cantSplit/>
        </w:trPr>
        <w:tc>
          <w:tcPr>
            <w:tcW w:type="dxa" w:w="255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7"/>
              </w:rPr>
              <w:t>细格栅至沉砂主体</w:t>
            </w:r>
          </w:p>
        </w:tc>
        <w:tc>
          <w:tcPr>
            <w:tcW w:type="dxa" w:w="198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34.15/33.75</w:t>
            </w:r>
          </w:p>
        </w:tc>
        <w:tc>
          <w:tcPr>
            <w:tcW w:type="dxa" w:w="136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0.400</w:t>
            </w:r>
          </w:p>
        </w:tc>
        <w:tc>
          <w:tcPr>
            <w:tcW w:type="dxa" w:w="136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0.150</w:t>
            </w:r>
          </w:p>
        </w:tc>
        <w:tc>
          <w:tcPr>
            <w:tcW w:type="dxa" w:w="124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0.250</w:t>
            </w:r>
          </w:p>
        </w:tc>
      </w:tr>
      <w:tr>
        <w:trPr>
          <w:cantSplit/>
        </w:trPr>
        <w:tc>
          <w:tcPr>
            <w:tcW w:type="dxa" w:w="255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7"/>
              </w:rPr>
              <w:t>沉砂至初沉水面</w:t>
            </w:r>
          </w:p>
        </w:tc>
        <w:tc>
          <w:tcPr>
            <w:tcW w:type="dxa" w:w="198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33.75/33.00</w:t>
            </w:r>
          </w:p>
        </w:tc>
        <w:tc>
          <w:tcPr>
            <w:tcW w:type="dxa" w:w="136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0.750</w:t>
            </w:r>
          </w:p>
        </w:tc>
        <w:tc>
          <w:tcPr>
            <w:tcW w:type="dxa" w:w="136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0.669</w:t>
            </w:r>
          </w:p>
        </w:tc>
        <w:tc>
          <w:tcPr>
            <w:tcW w:type="dxa" w:w="124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0.081</w:t>
            </w:r>
          </w:p>
        </w:tc>
      </w:tr>
      <w:tr>
        <w:trPr>
          <w:cantSplit/>
        </w:trPr>
        <w:tc>
          <w:tcPr>
            <w:tcW w:type="dxa" w:w="255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7"/>
              </w:rPr>
              <w:t>初沉至A2O水面</w:t>
            </w:r>
          </w:p>
        </w:tc>
        <w:tc>
          <w:tcPr>
            <w:tcW w:type="dxa" w:w="198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33.00/32.30</w:t>
            </w:r>
          </w:p>
        </w:tc>
        <w:tc>
          <w:tcPr>
            <w:tcW w:type="dxa" w:w="136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0.700</w:t>
            </w:r>
          </w:p>
        </w:tc>
        <w:tc>
          <w:tcPr>
            <w:tcW w:type="dxa" w:w="136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0.482</w:t>
            </w:r>
          </w:p>
        </w:tc>
        <w:tc>
          <w:tcPr>
            <w:tcW w:type="dxa" w:w="124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0.218</w:t>
            </w:r>
          </w:p>
        </w:tc>
      </w:tr>
      <w:tr>
        <w:trPr>
          <w:cantSplit/>
        </w:trPr>
        <w:tc>
          <w:tcPr>
            <w:tcW w:type="dxa" w:w="255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7"/>
              </w:rPr>
              <w:t>A2O至二沉配水井上游</w:t>
            </w:r>
          </w:p>
        </w:tc>
        <w:tc>
          <w:tcPr>
            <w:tcW w:type="dxa" w:w="198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32.30/31.95</w:t>
            </w:r>
          </w:p>
        </w:tc>
        <w:tc>
          <w:tcPr>
            <w:tcW w:type="dxa" w:w="136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0.350</w:t>
            </w:r>
          </w:p>
        </w:tc>
        <w:tc>
          <w:tcPr>
            <w:tcW w:type="dxa" w:w="136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0.184</w:t>
            </w:r>
          </w:p>
        </w:tc>
        <w:tc>
          <w:tcPr>
            <w:tcW w:type="dxa" w:w="124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0.166</w:t>
            </w:r>
          </w:p>
        </w:tc>
      </w:tr>
      <w:tr>
        <w:trPr>
          <w:cantSplit/>
        </w:trPr>
        <w:tc>
          <w:tcPr>
            <w:tcW w:type="dxa" w:w="255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7"/>
              </w:rPr>
              <w:t>二沉配水堰</w:t>
            </w:r>
          </w:p>
        </w:tc>
        <w:tc>
          <w:tcPr>
            <w:tcW w:type="dxa" w:w="198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31.95/31.55</w:t>
            </w:r>
          </w:p>
        </w:tc>
        <w:tc>
          <w:tcPr>
            <w:tcW w:type="dxa" w:w="136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0.400</w:t>
            </w:r>
          </w:p>
        </w:tc>
        <w:tc>
          <w:tcPr>
            <w:tcW w:type="dxa" w:w="136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0.355</w:t>
            </w:r>
          </w:p>
        </w:tc>
        <w:tc>
          <w:tcPr>
            <w:tcW w:type="dxa" w:w="124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0.045</w:t>
            </w:r>
          </w:p>
        </w:tc>
      </w:tr>
      <w:tr>
        <w:trPr>
          <w:cantSplit/>
        </w:trPr>
        <w:tc>
          <w:tcPr>
            <w:tcW w:type="dxa" w:w="255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7"/>
              </w:rPr>
              <w:t>配水井至二沉水面</w:t>
            </w:r>
          </w:p>
        </w:tc>
        <w:tc>
          <w:tcPr>
            <w:tcW w:type="dxa" w:w="198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31.55/31.40</w:t>
            </w:r>
          </w:p>
        </w:tc>
        <w:tc>
          <w:tcPr>
            <w:tcW w:type="dxa" w:w="136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0.150</w:t>
            </w:r>
          </w:p>
        </w:tc>
        <w:tc>
          <w:tcPr>
            <w:tcW w:type="dxa" w:w="136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0.125</w:t>
            </w:r>
          </w:p>
        </w:tc>
        <w:tc>
          <w:tcPr>
            <w:tcW w:type="dxa" w:w="124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0.025</w:t>
            </w:r>
          </w:p>
        </w:tc>
      </w:tr>
      <w:tr>
        <w:trPr>
          <w:cantSplit/>
        </w:trPr>
        <w:tc>
          <w:tcPr>
            <w:tcW w:type="dxa" w:w="255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7"/>
              </w:rPr>
              <w:t>二沉至接触池</w:t>
            </w:r>
          </w:p>
        </w:tc>
        <w:tc>
          <w:tcPr>
            <w:tcW w:type="dxa" w:w="198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31.40/30.90</w:t>
            </w:r>
          </w:p>
        </w:tc>
        <w:tc>
          <w:tcPr>
            <w:tcW w:type="dxa" w:w="136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0.500</w:t>
            </w:r>
          </w:p>
        </w:tc>
        <w:tc>
          <w:tcPr>
            <w:tcW w:type="dxa" w:w="136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0.472</w:t>
            </w:r>
          </w:p>
        </w:tc>
        <w:tc>
          <w:tcPr>
            <w:tcW w:type="dxa" w:w="124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0.028</w:t>
            </w:r>
          </w:p>
        </w:tc>
      </w:tr>
      <w:tr>
        <w:trPr>
          <w:cantSplit/>
        </w:trPr>
        <w:tc>
          <w:tcPr>
            <w:tcW w:type="dxa" w:w="255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7"/>
              </w:rPr>
              <w:t>接触池至控制井</w:t>
            </w:r>
          </w:p>
        </w:tc>
        <w:tc>
          <w:tcPr>
            <w:tcW w:type="dxa" w:w="198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30.90/30.40</w:t>
            </w:r>
          </w:p>
        </w:tc>
        <w:tc>
          <w:tcPr>
            <w:tcW w:type="dxa" w:w="136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0.500</w:t>
            </w:r>
          </w:p>
        </w:tc>
        <w:tc>
          <w:tcPr>
            <w:tcW w:type="dxa" w:w="136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0.300</w:t>
            </w:r>
          </w:p>
        </w:tc>
        <w:tc>
          <w:tcPr>
            <w:tcW w:type="dxa" w:w="124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7"/>
              </w:rPr>
              <w:t>0.200</w:t>
            </w:r>
          </w:p>
        </w:tc>
      </w:tr>
    </w:tbl>
    <w:p>
      <w:pPr>
        <w:spacing w:after="20"/>
      </w:pPr>
    </w:p>
    <w:p>
      <w:pPr>
        <w:pStyle w:val="BodyText"/>
        <w:keepNext w:val="0"/>
        <w:keepLines w:val="0"/>
        <w:widowControl w:val="0"/>
        <w:spacing w:before="0" w:after="120" w:line="288" w:lineRule="auto"/>
        <w:ind w:firstLine="420"/>
      </w:pPr>
      <w:r>
        <w:rPr>
          <w:rFonts w:ascii="Songti SC" w:hAnsi="Songti SC" w:eastAsia="Songti SC" w:cs="Songti SC"/>
          <w:b w:val="0"/>
          <w:sz w:val="24"/>
        </w:rPr>
        <w:t>九段采用落差合计3.90 m，等于细格栅前34.30 m至控制井30.40 m的水位差；每段采用落差均不小于当前已计算的管损、堰差或池内损失，剩余范围为0.025～0.250 m。设备和构造确定后，应在相应段内消耗余量，不跨段重复使用。</w:t>
      </w:r>
    </w:p>
    <w:p>
      <w:pPr>
        <w:pStyle w:val="BodyText"/>
        <w:keepNext w:val="0"/>
        <w:keepLines w:val="0"/>
        <w:widowControl w:val="0"/>
        <w:spacing w:before="0" w:after="120" w:line="288" w:lineRule="auto"/>
        <w:ind w:firstLine="420"/>
      </w:pPr>
      <w:r>
        <w:rPr>
          <w:rFonts w:ascii="Songti SC" w:hAnsi="Songti SC" w:eastAsia="Songti SC" w:cs="Songti SC"/>
          <w:b w:val="0"/>
          <w:sz w:val="24"/>
        </w:rPr>
        <w:t>竖向布置原则：全厂占地面积最大的A²/O池工艺内底取EL27.30 m，与厂坪EL27.30 m齐平，使该池既不挖方也不抬方，减少土方和围护工程量；其余构筑物在此锚点上下调整。A²/O池底标高与曝气淹没深度、鼓风机65 kPa压力账和高程表保持一致。</w:t>
      </w:r>
    </w:p>
    <w:p>
      <w:pPr>
        <w:pStyle w:val="BodyText"/>
        <w:keepNext w:val="0"/>
        <w:keepLines w:val="0"/>
        <w:widowControl w:val="0"/>
        <w:spacing w:before="0" w:after="120" w:line="288" w:lineRule="auto"/>
        <w:ind w:firstLine="420"/>
      </w:pPr>
      <w:r>
        <w:rPr>
          <w:rFonts w:ascii="Songti SC" w:hAnsi="Songti SC" w:eastAsia="Songti SC" w:cs="Songti SC"/>
          <w:b w:val="0"/>
          <w:sz w:val="24"/>
        </w:rPr>
        <w:t>构筑物内部水头损失按教师要求对照《给水排水设计手册 第5册 城镇排水》常用损失范围复核：本设计各段采用落差均不小于该段已计算的管线、堰口或池内损失，并留有0.03～0.25 m余量，未把某段余量跨段重复使用；配水井落差由配水堰0.35 m与池内外损失0.12 m组成，未出现此前草稿中偏大的配水井落差。施工图阶段应结合厂家设备和构筑物构造逐段替换手册经验值。</w:t>
      </w:r>
    </w:p>
    <w:p>
      <w:pPr>
        <w:pStyle w:val="Heading2"/>
        <w:keepNext/>
        <w:keepLines w:val="0"/>
      </w:pPr>
      <w:r>
        <w:t>14.2 泵扬程与重力损失的边界</w:t>
      </w:r>
    </w:p>
    <w:p>
      <w:pPr>
        <w:pStyle w:val="BodyText"/>
        <w:keepNext w:val="0"/>
        <w:keepLines w:val="0"/>
        <w:widowControl w:val="0"/>
        <w:spacing w:before="0" w:after="120" w:line="288" w:lineRule="auto"/>
        <w:ind w:firstLine="420"/>
      </w:pPr>
      <w:r>
        <w:rPr>
          <w:rFonts w:ascii="Songti SC" w:hAnsi="Songti SC" w:eastAsia="Songti SC" w:cs="Songti SC"/>
          <w:b w:val="0"/>
          <w:sz w:val="24"/>
        </w:rPr>
        <w:t>提升泵扬程只含最低进水井水位至细格栅前水位差、泵内DN900损失、泵后DN1000损失和0.80 m余量，得到12.921 m并取13.0 m。后续重力水线逐段分配水位落差，不再把其总落差重复加到泵扬程。A²/O池底保持EL27.30 m，因此曝气淹没和65 kPa压力账与高程一致。</w:t>
      </w:r>
    </w:p>
    <w:p>
      <w:pPr>
        <w:pStyle w:val="Heading2"/>
        <w:keepNext/>
        <w:keepLines w:val="0"/>
      </w:pPr>
      <w:r>
        <w:t>14.3 出厂和洪水边界</w:t>
      </w:r>
    </w:p>
    <w:p>
      <w:pPr>
        <w:pStyle w:val="BodyText"/>
        <w:keepNext w:val="0"/>
        <w:keepLines w:val="0"/>
        <w:widowControl w:val="0"/>
        <w:spacing w:before="0" w:after="120" w:line="288" w:lineRule="auto"/>
        <w:ind w:firstLine="420"/>
      </w:pPr>
      <w:r>
        <w:rPr>
          <w:rFonts w:ascii="Songti SC" w:hAnsi="Songti SC" w:eastAsia="Songti SC" w:cs="Songti SC"/>
          <w:b w:val="0"/>
          <w:sz w:val="24"/>
        </w:rPr>
        <w:t>任务书原文同时给出最高洪水位25.00 m及计算式18+0.5M m，M为组号。组号未提供，因此本设计采用题设25.00 m进行主校核，并保留公式待提交人核对。出水控制井EL30.40 m，厂内DN1500长28 m；厂外长度暂按100 m、同径、λ=0.020估算。记h_in和h_out分别为厂内、厂外水头损失。实际排口坐标、长度、河床和防倒灌构造必须补测。</w:t>
      </w:r>
    </w:p>
    <w:p>
      <w:pPr>
        <w:keepNext w:val="0"/>
        <w:keepLines w:val="0"/>
        <w:widowControl w:val="0"/>
        <w:spacing w:before="0" w:after="100" w:line="288" w:lineRule="auto"/>
        <w:jc w:val="center"/>
      </w:pPr>
      <m:oMathPara>
        <m:oMath>
          <m:r>
            <m:t>ELriver,allow=30.40−hin−hout−0.10≈30.05 m</m:t>
          </m:r>
        </m:oMath>
      </m:oMathPara>
    </w:p>
    <w:p>
      <w:pPr>
        <w:pStyle w:val="BodyText"/>
        <w:keepNext w:val="0"/>
        <w:keepLines w:val="0"/>
        <w:widowControl w:val="0"/>
        <w:spacing w:before="0" w:after="120" w:line="288" w:lineRule="auto"/>
        <w:ind w:firstLine="420"/>
      </w:pPr>
      <w:r>
        <w:rPr>
          <w:rFonts w:ascii="Songti SC" w:hAnsi="Songti SC" w:eastAsia="Songti SC" w:cs="Songti SC"/>
          <w:b w:val="0"/>
          <w:sz w:val="24"/>
        </w:rPr>
        <w:t>在25.00 m洪水情景下具重力出厂水头；若组号公式得到更高水位但仍低于约30.05 m，课程估算仍成立。任何接近上限的情况应重做非恒定流水力分析并设置防倒灌或应急提升。</w:t>
      </w:r>
    </w:p>
    <w:p>
      <w:pPr>
        <w:pStyle w:val="Heading1"/>
        <w:keepNext/>
        <w:keepLines w:val="0"/>
      </w:pPr>
      <w:r>
        <w:t>15 接触消毒与计量</w:t>
      </w:r>
    </w:p>
    <w:p>
      <w:pPr>
        <w:pStyle w:val="BodyText"/>
        <w:keepNext w:val="0"/>
        <w:keepLines w:val="0"/>
        <w:widowControl w:val="0"/>
        <w:spacing w:before="0" w:after="120" w:line="288" w:lineRule="auto"/>
        <w:ind w:firstLine="420"/>
      </w:pPr>
      <w:r>
        <w:rPr>
          <w:rFonts w:ascii="Songti SC" w:hAnsi="Songti SC" w:eastAsia="Songti SC" w:cs="Songti SC"/>
          <w:b w:val="0"/>
          <w:sz w:val="24"/>
        </w:rPr>
        <w:t>设置2格折流接触池，每格45 m×8 m×4.8 m，总有效容积3456 m³。按最高时（3台工作泵组合）6750 m³/h：</w:t>
      </w:r>
    </w:p>
    <w:p>
      <w:pPr>
        <w:keepNext w:val="0"/>
        <w:keepLines w:val="0"/>
        <w:widowControl w:val="0"/>
        <w:spacing w:before="0" w:after="100" w:line="288" w:lineRule="auto"/>
        <w:jc w:val="center"/>
      </w:pPr>
      <m:oMathPara>
        <m:oMath>
          <m:r>
            <m:t>t=3456/6750×60=30.72 min</m:t>
          </m:r>
        </m:oMath>
      </m:oMathPara>
    </w:p>
    <w:p>
      <w:pPr>
        <w:keepNext/>
        <w:keepLines w:val="0"/>
        <w:jc w:val="center"/>
      </w:pPr>
      <w:r>
        <w:drawing>
          <wp:inline xmlns:a="http://schemas.openxmlformats.org/drawingml/2006/main" xmlns:pic="http://schemas.openxmlformats.org/drawingml/2006/picture">
            <wp:extent cx="5715000" cy="2857500"/>
            <wp:docPr id="12" name="Picture 12"/>
            <wp:cNvGraphicFramePr>
              <a:graphicFrameLocks noChangeAspect="1"/>
            </wp:cNvGraphicFramePr>
            <a:graphic>
              <a:graphicData uri="http://schemas.openxmlformats.org/drawingml/2006/picture">
                <pic:pic>
                  <pic:nvPicPr>
                    <pic:cNvPr id="0" name="13_terminal.png"/>
                    <pic:cNvPicPr/>
                  </pic:nvPicPr>
                  <pic:blipFill>
                    <a:blip r:embed="rId21"/>
                    <a:stretch>
                      <a:fillRect/>
                    </a:stretch>
                  </pic:blipFill>
                  <pic:spPr>
                    <a:xfrm>
                      <a:off x="0" y="0"/>
                      <a:ext cx="5715000" cy="2857500"/>
                    </a:xfrm>
                    <a:prstGeom prst="rect"/>
                  </pic:spPr>
                </pic:pic>
              </a:graphicData>
            </a:graphic>
          </wp:inline>
        </w:drawing>
      </w:r>
    </w:p>
    <w:p>
      <w:pPr>
        <w:keepNext w:val="0"/>
        <w:keepLines w:val="0"/>
        <w:widowControl w:val="0"/>
        <w:spacing w:before="0" w:after="120" w:line="288" w:lineRule="auto"/>
        <w:jc w:val="center"/>
      </w:pPr>
      <w:r>
        <w:rPr>
          <w:rFonts w:ascii="Songti SC" w:hAnsi="Songti SC" w:eastAsia="Songti SC" w:cs="Songti SC"/>
          <w:b w:val="0"/>
          <w:sz w:val="21"/>
        </w:rPr>
        <w:t>图15-1 接触消毒与计量终端计算草图</w:t>
      </w:r>
    </w:p>
    <w:p>
      <w:pPr>
        <w:pStyle w:val="BodyText"/>
        <w:keepNext w:val="0"/>
        <w:keepLines w:val="0"/>
        <w:widowControl w:val="0"/>
        <w:spacing w:before="0" w:after="120" w:line="288" w:lineRule="auto"/>
        <w:ind w:firstLine="420"/>
      </w:pPr>
      <w:r>
        <w:rPr>
          <w:rFonts w:ascii="Songti SC" w:hAnsi="Songti SC" w:eastAsia="Songti SC" w:cs="Songti SC"/>
          <w:b w:val="0"/>
          <w:sz w:val="24"/>
        </w:rPr>
        <w:t>30 min为课程设计假设。由于任务书未给出进水粪大肠菌群、余氯、消毒剂需量或CT试验，本阶段预留药剂投加接口，固定剂量在现场需求试验后确定，并按GB 18918表4瞬时粪大肠菌群限值校准。若采用次氯酸钠消毒，课程阶段暂按有效氯投加量3～5 mg/L、接触30 min预留加药能力（工程假定，须经消毒试验和余氯控制确认）；若采用紫外消毒，则按设计流量和透光率由厂家选型。两条1.50 m长喉道临界流量计各按0.9375 m³/s，矩形临界水深yc=(Q²/gb²)^(1/3)=0.341 m；最终需按选用的标准槽型标定。</w:t>
      </w:r>
    </w:p>
    <w:p>
      <w:pPr>
        <w:pStyle w:val="Heading1"/>
        <w:keepNext/>
        <w:keepLines w:val="0"/>
      </w:pPr>
      <w:r>
        <w:t>16 主要构筑物和设备汇总</w:t>
      </w:r>
    </w:p>
    <w:p>
      <w:pPr>
        <w:keepNext/>
        <w:keepLines w:val="0"/>
        <w:widowControl w:val="0"/>
        <w:spacing w:before="0" w:after="120" w:line="288" w:lineRule="auto"/>
        <w:jc w:val="center"/>
      </w:pPr>
      <w:r>
        <w:rPr>
          <w:rFonts w:ascii="Songti SC" w:hAnsi="Songti SC" w:eastAsia="Songti SC" w:cs="Songti SC"/>
          <w:b w:val="0"/>
          <w:sz w:val="21"/>
        </w:rPr>
        <w:t>表16-1 单元、数量汇总</w:t>
      </w:r>
    </w:p>
    <w:tbl>
      <w:tblPr>
        <w:tblW w:type="auto" w:w="0"/>
        <w:jc w:val="center"/>
        <w:tblLayout w:type="fixed"/>
        <w:tblLook w:firstColumn="1" w:firstRow="1" w:lastColumn="0" w:lastRow="0" w:noHBand="0" w:noVBand="1" w:val="04A0"/>
      </w:tblPr>
      <w:tblGrid>
        <w:gridCol w:w="2310"/>
        <w:gridCol w:w="2310"/>
        <w:gridCol w:w="2310"/>
        <w:gridCol w:w="2310"/>
      </w:tblGrid>
      <w:tr>
        <w:trPr>
          <w:tblHeader w:val="true"/>
          <w:cantSplit/>
        </w:trPr>
        <w:tc>
          <w:tcPr>
            <w:tcW w:type="dxa" w:w="1814"/>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8"/>
              </w:rPr>
              <w:t>单元</w:t>
            </w:r>
          </w:p>
        </w:tc>
        <w:tc>
          <w:tcPr>
            <w:tcW w:type="dxa" w:w="1134"/>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8"/>
              </w:rPr>
              <w:t>数量</w:t>
            </w:r>
          </w:p>
        </w:tc>
        <w:tc>
          <w:tcPr>
            <w:tcW w:type="dxa" w:w="3402"/>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8"/>
              </w:rPr>
              <w:t>采用规格</w:t>
            </w:r>
          </w:p>
        </w:tc>
        <w:tc>
          <w:tcPr>
            <w:tcW w:type="dxa" w:w="2381"/>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8"/>
              </w:rPr>
              <w:t>关键校核</w:t>
            </w:r>
          </w:p>
        </w:tc>
      </w:tr>
      <w:tr>
        <w:trPr>
          <w:cantSplit/>
        </w:trPr>
        <w:tc>
          <w:tcPr>
            <w:tcW w:type="dxa" w:w="181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粗格栅</w:t>
            </w:r>
          </w:p>
        </w:tc>
        <w:tc>
          <w:tcPr>
            <w:tcW w:type="dxa" w:w="113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2线</w:t>
            </w:r>
          </w:p>
        </w:tc>
        <w:tc>
          <w:tcPr>
            <w:tcW w:type="dxa" w:w="340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b25mm，48净空隙，B1.75m</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v=0.909m/s；25%堵塞h=0.969m</w:t>
            </w:r>
          </w:p>
        </w:tc>
      </w:tr>
      <w:tr>
        <w:trPr>
          <w:cantSplit/>
        </w:trPr>
        <w:tc>
          <w:tcPr>
            <w:tcW w:type="dxa" w:w="181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进水井</w:t>
            </w:r>
          </w:p>
        </w:tc>
        <w:tc>
          <w:tcPr>
            <w:tcW w:type="dxa" w:w="113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4格</w:t>
            </w:r>
          </w:p>
        </w:tc>
        <w:tc>
          <w:tcPr>
            <w:tcW w:type="dxa" w:w="340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每格16×10×1.2m，192m³</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单泵5min需187.5m³；每格1台泵</w:t>
            </w:r>
          </w:p>
        </w:tc>
      </w:tr>
      <w:tr>
        <w:trPr>
          <w:cantSplit/>
        </w:trPr>
        <w:tc>
          <w:tcPr>
            <w:tcW w:type="dxa" w:w="181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提升泵</w:t>
            </w:r>
          </w:p>
        </w:tc>
        <w:tc>
          <w:tcPr>
            <w:tcW w:type="dxa" w:w="113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4台3用1备</w:t>
            </w:r>
          </w:p>
        </w:tc>
        <w:tc>
          <w:tcPr>
            <w:tcW w:type="dxa" w:w="340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2250m³/h，H13m，132kW</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组合6750m³/h（Kz=1.50）</w:t>
            </w:r>
          </w:p>
        </w:tc>
      </w:tr>
      <w:tr>
        <w:trPr>
          <w:cantSplit/>
        </w:trPr>
        <w:tc>
          <w:tcPr>
            <w:tcW w:type="dxa" w:w="181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细格栅</w:t>
            </w:r>
          </w:p>
        </w:tc>
        <w:tc>
          <w:tcPr>
            <w:tcW w:type="dxa" w:w="113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2线</w:t>
            </w:r>
          </w:p>
        </w:tc>
        <w:tc>
          <w:tcPr>
            <w:tcW w:type="dxa" w:w="340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b10mm，122净空隙，B2.10m</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v=0.894m/s；25%堵塞h=0.953m</w:t>
            </w:r>
          </w:p>
        </w:tc>
      </w:tr>
      <w:tr>
        <w:trPr>
          <w:cantSplit/>
        </w:trPr>
        <w:tc>
          <w:tcPr>
            <w:tcW w:type="dxa" w:w="181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曝气沉砂池</w:t>
            </w:r>
          </w:p>
        </w:tc>
        <w:tc>
          <w:tcPr>
            <w:tcW w:type="dxa" w:w="113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2座</w:t>
            </w:r>
          </w:p>
        </w:tc>
        <w:tc>
          <w:tcPr>
            <w:tcW w:type="dxa" w:w="340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30×3.8×2.55m</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v0.0967m/s；t5.168min</w:t>
            </w:r>
          </w:p>
        </w:tc>
      </w:tr>
      <w:tr>
        <w:trPr>
          <w:cantSplit/>
        </w:trPr>
        <w:tc>
          <w:tcPr>
            <w:tcW w:type="dxa" w:w="181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初沉池</w:t>
            </w:r>
          </w:p>
        </w:tc>
        <w:tc>
          <w:tcPr>
            <w:tcW w:type="dxa" w:w="113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4座</w:t>
            </w:r>
          </w:p>
        </w:tc>
        <w:tc>
          <w:tcPr>
            <w:tcW w:type="dxa" w:w="340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平流式，单池58×14.5×3.5m</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最高时q2.007；HRT1.744h</w:t>
            </w:r>
          </w:p>
        </w:tc>
      </w:tr>
      <w:tr>
        <w:trPr>
          <w:cantSplit/>
        </w:trPr>
        <w:tc>
          <w:tcPr>
            <w:tcW w:type="dxa" w:w="181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A²/O</w:t>
            </w:r>
          </w:p>
        </w:tc>
        <w:tc>
          <w:tcPr>
            <w:tcW w:type="dxa" w:w="113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4系列</w:t>
            </w:r>
          </w:p>
        </w:tc>
        <w:tc>
          <w:tcPr>
            <w:tcW w:type="dxa" w:w="340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70×45×5m；总63000m³；池底EL27.30m</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HRT14h（平均）；SRT20d</w:t>
            </w:r>
          </w:p>
        </w:tc>
      </w:tr>
      <w:tr>
        <w:trPr>
          <w:cantSplit/>
        </w:trPr>
        <w:tc>
          <w:tcPr>
            <w:tcW w:type="dxa" w:w="181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甲醇</w:t>
            </w:r>
          </w:p>
        </w:tc>
        <w:tc>
          <w:tcPr>
            <w:tcW w:type="dxa" w:w="113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2×100%计量泵</w:t>
            </w:r>
          </w:p>
        </w:tc>
        <w:tc>
          <w:tcPr>
            <w:tcW w:type="dxa" w:w="340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80%日储供12.0t/d；单泵≥700kg/h</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运行平衡9.315t/d；容量10.323t/d</w:t>
            </w:r>
          </w:p>
        </w:tc>
      </w:tr>
      <w:tr>
        <w:trPr>
          <w:cantSplit/>
        </w:trPr>
        <w:tc>
          <w:tcPr>
            <w:tcW w:type="dxa" w:w="181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FeCl₃</w:t>
            </w:r>
          </w:p>
        </w:tc>
        <w:tc>
          <w:tcPr>
            <w:tcW w:type="dxa" w:w="113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2×100%计量泵</w:t>
            </w:r>
          </w:p>
        </w:tc>
        <w:tc>
          <w:tcPr>
            <w:tcW w:type="dxa" w:w="340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40%日储供7.47m³/d；单泵≥0.45m³/h</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计算6.225m³/d；化学固体2.769t/d</w:t>
            </w:r>
          </w:p>
        </w:tc>
      </w:tr>
      <w:tr>
        <w:trPr>
          <w:cantSplit/>
        </w:trPr>
        <w:tc>
          <w:tcPr>
            <w:tcW w:type="dxa" w:w="181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NaHCO₃</w:t>
            </w:r>
          </w:p>
        </w:tc>
        <w:tc>
          <w:tcPr>
            <w:tcW w:type="dxa" w:w="113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2套干粉给料+2台溶液泵</w:t>
            </w:r>
          </w:p>
        </w:tc>
        <w:tc>
          <w:tcPr>
            <w:tcW w:type="dxa" w:w="340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99%日储供≤40t/d；单套给料≥2.75t/h</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仅进水碱度100mg/L边界</w:t>
            </w:r>
          </w:p>
        </w:tc>
      </w:tr>
      <w:tr>
        <w:trPr>
          <w:cantSplit/>
        </w:trPr>
        <w:tc>
          <w:tcPr>
            <w:tcW w:type="dxa" w:w="181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曝气器</w:t>
            </w:r>
          </w:p>
        </w:tc>
        <w:tc>
          <w:tcPr>
            <w:tcW w:type="dxa" w:w="113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10800盘</w:t>
            </w:r>
          </w:p>
        </w:tc>
        <w:tc>
          <w:tcPr>
            <w:tcW w:type="dxa" w:w="340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229mm，5Nm³/h·盘</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总54000Nm³/h</w:t>
            </w:r>
          </w:p>
        </w:tc>
      </w:tr>
      <w:tr>
        <w:trPr>
          <w:cantSplit/>
        </w:trPr>
        <w:tc>
          <w:tcPr>
            <w:tcW w:type="dxa" w:w="181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鼓风机</w:t>
            </w:r>
          </w:p>
        </w:tc>
        <w:tc>
          <w:tcPr>
            <w:tcW w:type="dxa" w:w="113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10台9用1备</w:t>
            </w:r>
          </w:p>
        </w:tc>
        <w:tc>
          <w:tcPr>
            <w:tcW w:type="dxa" w:w="340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AT200-0.8 S G5plus</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6000Nm³/h·台，65kPa</w:t>
            </w:r>
          </w:p>
        </w:tc>
      </w:tr>
      <w:tr>
        <w:trPr>
          <w:cantSplit/>
        </w:trPr>
        <w:tc>
          <w:tcPr>
            <w:tcW w:type="dxa" w:w="181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回流污泥泵</w:t>
            </w:r>
          </w:p>
        </w:tc>
        <w:tc>
          <w:tcPr>
            <w:tcW w:type="dxa" w:w="113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8台4用4备</w:t>
            </w:r>
          </w:p>
        </w:tc>
        <w:tc>
          <w:tcPr>
            <w:tcW w:type="dxa" w:w="340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1266m³/h，H3.0m，18.5kW</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4系列各1用1备</w:t>
            </w:r>
          </w:p>
        </w:tc>
      </w:tr>
      <w:tr>
        <w:trPr>
          <w:cantSplit/>
        </w:trPr>
        <w:tc>
          <w:tcPr>
            <w:tcW w:type="dxa" w:w="181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内回流泵</w:t>
            </w:r>
          </w:p>
        </w:tc>
        <w:tc>
          <w:tcPr>
            <w:tcW w:type="dxa" w:w="113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8台4用4备</w:t>
            </w:r>
          </w:p>
        </w:tc>
        <w:tc>
          <w:tcPr>
            <w:tcW w:type="dxa" w:w="340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4219m³/h，H1.2m，22kW</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4系列各1用1备</w:t>
            </w:r>
          </w:p>
        </w:tc>
      </w:tr>
      <w:tr>
        <w:trPr>
          <w:cantSplit/>
        </w:trPr>
        <w:tc>
          <w:tcPr>
            <w:tcW w:type="dxa" w:w="181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二沉池</w:t>
            </w:r>
          </w:p>
        </w:tc>
        <w:tc>
          <w:tcPr>
            <w:tcW w:type="dxa" w:w="113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8座</w:t>
            </w:r>
          </w:p>
        </w:tc>
        <w:tc>
          <w:tcPr>
            <w:tcW w:type="dxa" w:w="340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净D37，中心井D6，沉淀h3.1m</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固体148.55kg/(m²·d)</w:t>
            </w:r>
          </w:p>
        </w:tc>
      </w:tr>
      <w:tr>
        <w:trPr>
          <w:cantSplit/>
        </w:trPr>
        <w:tc>
          <w:tcPr>
            <w:tcW w:type="dxa" w:w="181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接触池</w:t>
            </w:r>
          </w:p>
        </w:tc>
        <w:tc>
          <w:tcPr>
            <w:tcW w:type="dxa" w:w="113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2格</w:t>
            </w:r>
          </w:p>
        </w:tc>
        <w:tc>
          <w:tcPr>
            <w:tcW w:type="dxa" w:w="340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45×8×4.8m</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组合流量t30.72min</w:t>
            </w:r>
          </w:p>
        </w:tc>
      </w:tr>
      <w:tr>
        <w:trPr>
          <w:cantSplit/>
        </w:trPr>
        <w:tc>
          <w:tcPr>
            <w:tcW w:type="dxa" w:w="181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计量渠</w:t>
            </w:r>
          </w:p>
        </w:tc>
        <w:tc>
          <w:tcPr>
            <w:tcW w:type="dxa" w:w="1134"/>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2条</w:t>
            </w:r>
          </w:p>
        </w:tc>
        <w:tc>
          <w:tcPr>
            <w:tcW w:type="dxa" w:w="3402"/>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长喉道，b1.50m</w:t>
            </w:r>
          </w:p>
        </w:tc>
        <w:tc>
          <w:tcPr>
            <w:tcW w:type="dxa" w:w="238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组合流量yc0.341m</w:t>
            </w:r>
          </w:p>
        </w:tc>
      </w:tr>
    </w:tbl>
    <w:p>
      <w:pPr>
        <w:spacing w:after="20"/>
      </w:pPr>
    </w:p>
    <w:p>
      <w:pPr>
        <w:pStyle w:val="Heading2"/>
        <w:keepNext/>
        <w:keepLines w:val="0"/>
      </w:pPr>
      <w:r>
        <w:t>16.1 主要设备厂家与参考型号</w:t>
      </w:r>
    </w:p>
    <w:p>
      <w:pPr>
        <w:pStyle w:val="BodyText"/>
        <w:keepNext w:val="0"/>
        <w:keepLines w:val="0"/>
        <w:widowControl w:val="0"/>
        <w:spacing w:before="0" w:after="120" w:line="288" w:lineRule="auto"/>
        <w:ind w:firstLine="420"/>
      </w:pPr>
      <w:r>
        <w:rPr>
          <w:rFonts w:ascii="Songti SC" w:hAnsi="Songti SC" w:eastAsia="Songti SC" w:cs="Songti SC"/>
          <w:b w:val="0"/>
          <w:sz w:val="24"/>
        </w:rPr>
        <w:t>下表给出课程阶段的主要设备参考厂家与系列。曝气器和鼓风机有官方样本支撑；泵、格栅、刮泥机和加药设备给出主流厂家与系列作为初选，具体型号、效率、轴功率、NPSH和曲线须由厂家按本设计工况正式确认，不得作为采购依据。</w:t>
      </w:r>
    </w:p>
    <w:p>
      <w:pPr>
        <w:keepNext/>
        <w:keepLines w:val="0"/>
        <w:widowControl w:val="0"/>
        <w:spacing w:before="0" w:after="120" w:line="288" w:lineRule="auto"/>
        <w:jc w:val="center"/>
      </w:pPr>
      <w:r>
        <w:rPr>
          <w:rFonts w:ascii="Songti SC" w:hAnsi="Songti SC" w:eastAsia="Songti SC" w:cs="Songti SC"/>
          <w:b w:val="0"/>
          <w:sz w:val="21"/>
        </w:rPr>
        <w:t>表16-2 设备、参考厂家汇总</w:t>
      </w:r>
    </w:p>
    <w:tbl>
      <w:tblPr>
        <w:tblW w:type="auto" w:w="0"/>
        <w:jc w:val="center"/>
        <w:tblLayout w:type="fixed"/>
        <w:tblLook w:firstColumn="1" w:firstRow="1" w:lastColumn="0" w:lastRow="0" w:noHBand="0" w:noVBand="1" w:val="04A0"/>
      </w:tblPr>
      <w:tblGrid>
        <w:gridCol w:w="2310"/>
        <w:gridCol w:w="2310"/>
        <w:gridCol w:w="2310"/>
        <w:gridCol w:w="2310"/>
      </w:tblGrid>
      <w:tr>
        <w:trPr>
          <w:tblHeader w:val="true"/>
          <w:cantSplit/>
        </w:trPr>
        <w:tc>
          <w:tcPr>
            <w:tcW w:type="dxa" w:w="1587"/>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8"/>
              </w:rPr>
              <w:t>设备</w:t>
            </w:r>
          </w:p>
        </w:tc>
        <w:tc>
          <w:tcPr>
            <w:tcW w:type="dxa" w:w="1928"/>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8"/>
              </w:rPr>
              <w:t>参考厂家</w:t>
            </w:r>
          </w:p>
        </w:tc>
        <w:tc>
          <w:tcPr>
            <w:tcW w:type="dxa" w:w="2041"/>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8"/>
              </w:rPr>
              <w:t>参考型号/系列</w:t>
            </w:r>
          </w:p>
        </w:tc>
        <w:tc>
          <w:tcPr>
            <w:tcW w:type="dxa" w:w="3175"/>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18"/>
              </w:rPr>
              <w:t>设计工况</w:t>
            </w:r>
          </w:p>
        </w:tc>
      </w:tr>
      <w:tr>
        <w:trPr>
          <w:cantSplit/>
        </w:trPr>
        <w:tc>
          <w:tcPr>
            <w:tcW w:type="dxa" w:w="158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粗格栅除污机</w:t>
            </w:r>
          </w:p>
        </w:tc>
        <w:tc>
          <w:tcPr>
            <w:tcW w:type="dxa" w:w="192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江苏天雨环保集团</w:t>
            </w:r>
          </w:p>
        </w:tc>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HGS型回转式机械格栅</w:t>
            </w:r>
          </w:p>
        </w:tc>
        <w:tc>
          <w:tcPr>
            <w:tcW w:type="dxa" w:w="317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栅隙25 mm；B1.75 m；单台Q≥0.9375 m³/s</w:t>
            </w:r>
          </w:p>
        </w:tc>
      </w:tr>
      <w:tr>
        <w:trPr>
          <w:cantSplit/>
        </w:trPr>
        <w:tc>
          <w:tcPr>
            <w:tcW w:type="dxa" w:w="158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细格栅除污机</w:t>
            </w:r>
          </w:p>
        </w:tc>
        <w:tc>
          <w:tcPr>
            <w:tcW w:type="dxa" w:w="192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江苏天雨环保集团</w:t>
            </w:r>
          </w:p>
        </w:tc>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HGS型回转式机械格栅</w:t>
            </w:r>
          </w:p>
        </w:tc>
        <w:tc>
          <w:tcPr>
            <w:tcW w:type="dxa" w:w="317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栅隙10 mm；B2.10 m；单台Q≥0.9375 m³/s</w:t>
            </w:r>
          </w:p>
        </w:tc>
      </w:tr>
      <w:tr>
        <w:trPr>
          <w:cantSplit/>
        </w:trPr>
        <w:tc>
          <w:tcPr>
            <w:tcW w:type="dxa" w:w="158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进水提升潜污泵</w:t>
            </w:r>
          </w:p>
        </w:tc>
        <w:tc>
          <w:tcPr>
            <w:tcW w:type="dxa" w:w="192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格兰富 Grundfos／飞力 Xylem Flygt</w:t>
            </w:r>
          </w:p>
        </w:tc>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SE/SL系列或N系列潜污泵</w:t>
            </w:r>
          </w:p>
        </w:tc>
        <w:tc>
          <w:tcPr>
            <w:tcW w:type="dxa" w:w="317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2250 m³/h；H13 m；132 kW；台数调节</w:t>
            </w:r>
          </w:p>
        </w:tc>
      </w:tr>
      <w:tr>
        <w:trPr>
          <w:cantSplit/>
        </w:trPr>
        <w:tc>
          <w:tcPr>
            <w:tcW w:type="dxa" w:w="158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鼓风机</w:t>
            </w:r>
          </w:p>
        </w:tc>
        <w:tc>
          <w:tcPr>
            <w:tcW w:type="dxa" w:w="192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AERZEN（艾珍）</w:t>
            </w:r>
          </w:p>
        </w:tc>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AT 200-0.8 S G5plus</w:t>
            </w:r>
          </w:p>
        </w:tc>
        <w:tc>
          <w:tcPr>
            <w:tcW w:type="dxa" w:w="317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6000 Nm³/h·台；设计压力65 kPa；10台9用1备</w:t>
            </w:r>
          </w:p>
        </w:tc>
      </w:tr>
      <w:tr>
        <w:trPr>
          <w:cantSplit/>
        </w:trPr>
        <w:tc>
          <w:tcPr>
            <w:tcW w:type="dxa" w:w="158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盘式微孔曝气器</w:t>
            </w:r>
          </w:p>
        </w:tc>
        <w:tc>
          <w:tcPr>
            <w:tcW w:type="dxa" w:w="192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Xylem Sanitaire</w:t>
            </w:r>
          </w:p>
        </w:tc>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Silver Series II 标准229 mm</w:t>
            </w:r>
          </w:p>
        </w:tc>
        <w:tc>
          <w:tcPr>
            <w:tcW w:type="dxa" w:w="317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5.0 Nm³/h·盘；共10800盘</w:t>
            </w:r>
          </w:p>
        </w:tc>
      </w:tr>
      <w:tr>
        <w:trPr>
          <w:cantSplit/>
        </w:trPr>
        <w:tc>
          <w:tcPr>
            <w:tcW w:type="dxa" w:w="158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潜水搅拌器</w:t>
            </w:r>
          </w:p>
        </w:tc>
        <w:tc>
          <w:tcPr>
            <w:tcW w:type="dxa" w:w="192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飞力 Xylem Flygt</w:t>
            </w:r>
          </w:p>
        </w:tc>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4400系列</w:t>
            </w:r>
          </w:p>
        </w:tc>
        <w:tc>
          <w:tcPr>
            <w:tcW w:type="dxa" w:w="317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厌氧/缺氧区按池容与推力选型</w:t>
            </w:r>
          </w:p>
        </w:tc>
      </w:tr>
      <w:tr>
        <w:trPr>
          <w:cantSplit/>
        </w:trPr>
        <w:tc>
          <w:tcPr>
            <w:tcW w:type="dxa" w:w="158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刮泥机</w:t>
            </w:r>
          </w:p>
        </w:tc>
        <w:tc>
          <w:tcPr>
            <w:tcW w:type="dxa" w:w="192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江苏一环集团</w:t>
            </w:r>
          </w:p>
        </w:tc>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初沉池桁车式刮泥机；二沉池周边传动刮泥机</w:t>
            </w:r>
          </w:p>
        </w:tc>
        <w:tc>
          <w:tcPr>
            <w:tcW w:type="dxa" w:w="317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初沉池58×14.5 m；二沉池D37</w:t>
            </w:r>
          </w:p>
        </w:tc>
      </w:tr>
      <w:tr>
        <w:trPr>
          <w:cantSplit/>
        </w:trPr>
        <w:tc>
          <w:tcPr>
            <w:tcW w:type="dxa" w:w="158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回流污泥泵</w:t>
            </w:r>
          </w:p>
        </w:tc>
        <w:tc>
          <w:tcPr>
            <w:tcW w:type="dxa" w:w="192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格兰富 Grundfos／飞力 Xylem Flygt</w:t>
            </w:r>
          </w:p>
        </w:tc>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无堵塞潜污泵</w:t>
            </w:r>
          </w:p>
        </w:tc>
        <w:tc>
          <w:tcPr>
            <w:tcW w:type="dxa" w:w="317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1266 m³/h；H3.0 m；18.5 kW</w:t>
            </w:r>
          </w:p>
        </w:tc>
      </w:tr>
      <w:tr>
        <w:trPr>
          <w:cantSplit/>
        </w:trPr>
        <w:tc>
          <w:tcPr>
            <w:tcW w:type="dxa" w:w="158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混合液内回流泵</w:t>
            </w:r>
          </w:p>
        </w:tc>
        <w:tc>
          <w:tcPr>
            <w:tcW w:type="dxa" w:w="192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格兰富 Grundfos／飞力 Xylem Flygt</w:t>
            </w:r>
          </w:p>
        </w:tc>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低扬程轴流／混流泵</w:t>
            </w:r>
          </w:p>
        </w:tc>
        <w:tc>
          <w:tcPr>
            <w:tcW w:type="dxa" w:w="317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4219 m³/h；H1.2 m；22 kW</w:t>
            </w:r>
          </w:p>
        </w:tc>
      </w:tr>
      <w:tr>
        <w:trPr>
          <w:cantSplit/>
        </w:trPr>
        <w:tc>
          <w:tcPr>
            <w:tcW w:type="dxa" w:w="158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甲醇计量泵</w:t>
            </w:r>
          </w:p>
        </w:tc>
        <w:tc>
          <w:tcPr>
            <w:tcW w:type="dxa" w:w="192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米顿罗 Milton Roy／普罗名特 ProMinent</w:t>
            </w:r>
          </w:p>
        </w:tc>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隔膜计量泵</w:t>
            </w:r>
          </w:p>
        </w:tc>
        <w:tc>
          <w:tcPr>
            <w:tcW w:type="dxa" w:w="317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≥700 kg/h；2×100%容量</w:t>
            </w:r>
          </w:p>
        </w:tc>
      </w:tr>
      <w:tr>
        <w:trPr>
          <w:cantSplit/>
        </w:trPr>
        <w:tc>
          <w:tcPr>
            <w:tcW w:type="dxa" w:w="158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FeCl₃计量泵</w:t>
            </w:r>
          </w:p>
        </w:tc>
        <w:tc>
          <w:tcPr>
            <w:tcW w:type="dxa" w:w="192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普罗名特 ProMinent</w:t>
            </w:r>
          </w:p>
        </w:tc>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gamma/L型隔膜计量泵</w:t>
            </w:r>
          </w:p>
        </w:tc>
        <w:tc>
          <w:tcPr>
            <w:tcW w:type="dxa" w:w="317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≥0.45 m³/h；2×100%容量</w:t>
            </w:r>
          </w:p>
        </w:tc>
      </w:tr>
      <w:tr>
        <w:trPr>
          <w:cantSplit/>
        </w:trPr>
        <w:tc>
          <w:tcPr>
            <w:tcW w:type="dxa" w:w="158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NaHCO₃干粉给料机</w:t>
            </w:r>
          </w:p>
        </w:tc>
        <w:tc>
          <w:tcPr>
            <w:tcW w:type="dxa" w:w="192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科倍隆 Coperion K-Tron</w:t>
            </w:r>
          </w:p>
        </w:tc>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失重式喂料机</w:t>
            </w:r>
          </w:p>
        </w:tc>
        <w:tc>
          <w:tcPr>
            <w:tcW w:type="dxa" w:w="317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≥2.75 t/h；2×100%容量</w:t>
            </w:r>
          </w:p>
        </w:tc>
      </w:tr>
      <w:tr>
        <w:trPr>
          <w:cantSplit/>
        </w:trPr>
        <w:tc>
          <w:tcPr>
            <w:tcW w:type="dxa" w:w="158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消毒设施</w:t>
            </w:r>
          </w:p>
        </w:tc>
        <w:tc>
          <w:tcPr>
            <w:tcW w:type="dxa" w:w="192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按消毒方案确定</w:t>
            </w:r>
          </w:p>
        </w:tc>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次氯酸钠计量泵或紫外消毒</w:t>
            </w:r>
          </w:p>
        </w:tc>
        <w:tc>
          <w:tcPr>
            <w:tcW w:type="dxa" w:w="317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剂量与CT由现场消毒需求试验确定</w:t>
            </w:r>
          </w:p>
        </w:tc>
      </w:tr>
      <w:tr>
        <w:trPr>
          <w:cantSplit/>
        </w:trPr>
        <w:tc>
          <w:tcPr>
            <w:tcW w:type="dxa" w:w="1587"/>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18"/>
              </w:rPr>
              <w:t>计量槽</w:t>
            </w:r>
          </w:p>
        </w:tc>
        <w:tc>
          <w:tcPr>
            <w:tcW w:type="dxa" w:w="192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标准槽型（巴氏等效）</w:t>
            </w:r>
          </w:p>
        </w:tc>
        <w:tc>
          <w:tcPr>
            <w:tcW w:type="dxa" w:w="2041"/>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长喉道临界流量计</w:t>
            </w:r>
          </w:p>
        </w:tc>
        <w:tc>
          <w:tcPr>
            <w:tcW w:type="dxa" w:w="3175"/>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18"/>
              </w:rPr>
              <w:t>喉宽1.50 m；0.9375 m³/s·条；2条</w:t>
            </w:r>
          </w:p>
        </w:tc>
      </w:tr>
    </w:tbl>
    <w:p>
      <w:pPr>
        <w:spacing w:after="20"/>
      </w:pPr>
    </w:p>
    <w:p>
      <w:pPr>
        <w:pStyle w:val="Heading2"/>
        <w:keepNext/>
        <w:keepLines w:val="0"/>
      </w:pPr>
      <w:r>
        <w:t>16.2 主要核验结论</w:t>
      </w:r>
    </w:p>
    <w:p>
      <w:pPr>
        <w:pStyle w:val="BodyText"/>
        <w:keepNext w:val="0"/>
        <w:keepLines w:val="0"/>
        <w:widowControl w:val="0"/>
        <w:spacing w:before="0" w:after="120" w:line="288" w:lineRule="auto"/>
        <w:ind w:firstLine="420"/>
      </w:pPr>
      <w:r>
        <w:rPr>
          <w:rFonts w:ascii="Songti SC" w:hAnsi="Songti SC" w:eastAsia="Songti SC" w:cs="Songti SC"/>
          <w:b w:val="0"/>
          <w:sz w:val="24"/>
        </w:rPr>
        <w:t>本设计完成50项工艺核验，覆盖格栅流速与堵塞水深、单格进水井容积、泵扬程、沉砂停留、A²/O负荷、低温反硝化、AOB SRT、氮/固体质量平衡、二沉表面/固体/堰负荷与贮泥、曝气容量、风压、入口风量、回流扬程、坐标长度、高程余量和接触时间。采用输入下各项均满足；结果仍须接受工程审核、现场取样与施工图审查。正常在运校核通过不等于检修工况自动满足，检修能力见16.3节。</w:t>
      </w:r>
    </w:p>
    <w:p>
      <w:pPr>
        <w:pStyle w:val="Heading2"/>
        <w:keepNext/>
        <w:keepLines w:val="0"/>
      </w:pPr>
      <w:r>
        <w:t>16.3 检修工况与待确认事项</w:t>
      </w:r>
    </w:p>
    <w:p>
      <w:pPr>
        <w:keepNext/>
        <w:keepLines w:val="0"/>
        <w:widowControl w:val="0"/>
        <w:spacing w:before="0" w:after="120" w:line="288" w:lineRule="auto"/>
        <w:jc w:val="center"/>
      </w:pPr>
      <w:r>
        <w:rPr>
          <w:rFonts w:ascii="Songti SC" w:hAnsi="Songti SC" w:eastAsia="Songti SC" w:cs="Songti SC"/>
          <w:b w:val="0"/>
          <w:sz w:val="21"/>
        </w:rPr>
        <w:t>表16-3 事项、定稿前/实施前要求汇总</w:t>
      </w:r>
    </w:p>
    <w:tbl>
      <w:tblPr>
        <w:tblW w:type="auto" w:w="0"/>
        <w:jc w:val="center"/>
        <w:tblLayout w:type="fixed"/>
        <w:tblLook w:firstColumn="1" w:firstRow="1" w:lastColumn="0" w:lastRow="0" w:noHBand="0" w:noVBand="1" w:val="04A0"/>
      </w:tblPr>
      <w:tblGrid>
        <w:gridCol w:w="4621"/>
        <w:gridCol w:w="4621"/>
      </w:tblGrid>
      <w:tr>
        <w:trPr>
          <w:tblHeader w:val="true"/>
          <w:cantSplit/>
        </w:trPr>
        <w:tc>
          <w:tcPr>
            <w:tcW w:type="dxa" w:w="1928"/>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事项</w:t>
            </w:r>
          </w:p>
        </w:tc>
        <w:tc>
          <w:tcPr>
            <w:tcW w:type="dxa" w:w="6803"/>
            <w:shd w:fill="D9EAF7"/>
            <w:tcBorders>
              <w:top w:val="single" w:sz="6" w:color="9AA7B5"/>
              <w:left w:val="single" w:sz="6" w:color="9AA7B5"/>
              <w:bottom w:val="single" w:sz="6" w:color="9AA7B5"/>
              <w:right w:val="single" w:sz="6" w:color="9AA7B5"/>
              <w:insideH w:val="single" w:sz="6" w:color="9AA7B5"/>
              <w:insideV w:val="single" w:sz="6" w:color="9AA7B5"/>
            </w:tcBorders>
            <w:vAlign w:val="center"/>
          </w:tcPr>
          <w:p>
            <w:pPr>
              <w:jc w:val="center"/>
            </w:pPr>
            <w:r>
              <w:rPr>
                <w:rFonts w:ascii="Songti SC" w:hAnsi="Songti SC" w:eastAsia="Songti SC" w:cs="Songti SC"/>
                <w:b/>
                <w:sz w:val="21"/>
              </w:rPr>
              <w:t>定稿前/实施前要求</w:t>
            </w:r>
          </w:p>
        </w:tc>
      </w:tr>
      <w:tr>
        <w:trPr>
          <w:cantSplit/>
        </w:trPr>
        <w:tc>
          <w:tcPr>
            <w:tcW w:type="dxa" w:w="192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检修能力</w:t>
            </w:r>
          </w:p>
        </w:tc>
        <w:tc>
          <w:tcPr>
            <w:tcW w:type="dxa" w:w="6803"/>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按现有4系列A²/O与8座二沉池，若任一单元停运并按最高时运行，格栅、沉砂、A²/O、二沉和接触池会出现容量或负荷缺口；本课程设计不据此声称检修工况达标。若需严格峰值N+1，应增设单元并按GB 55027—2022第4.3.7条重新闭合检修工况的HRT、MLSS、F/M、SRT和反硝化能力。</w:t>
            </w:r>
          </w:p>
        </w:tc>
      </w:tr>
      <w:tr>
        <w:trPr>
          <w:cantSplit/>
        </w:trPr>
        <w:tc>
          <w:tcPr>
            <w:tcW w:type="dxa" w:w="192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封面资料</w:t>
            </w:r>
          </w:p>
        </w:tc>
        <w:tc>
          <w:tcPr>
            <w:tcW w:type="dxa" w:w="6803"/>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班级、组号、成员、分工和指导教师由提交人填写</w:t>
            </w:r>
          </w:p>
        </w:tc>
      </w:tr>
      <w:tr>
        <w:trPr>
          <w:cantSplit/>
        </w:trPr>
        <w:tc>
          <w:tcPr>
            <w:tcW w:type="dxa" w:w="192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进水组分</w:t>
            </w:r>
          </w:p>
        </w:tc>
        <w:tc>
          <w:tcPr>
            <w:tcW w:type="dxa" w:w="6803"/>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TKN/NH₄-N、可利用COD、碱度、VSS/ISS和温度序列</w:t>
            </w:r>
          </w:p>
        </w:tc>
      </w:tr>
      <w:tr>
        <w:trPr>
          <w:cantSplit/>
        </w:trPr>
        <w:tc>
          <w:tcPr>
            <w:tcW w:type="dxa" w:w="192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投药</w:t>
            </w:r>
          </w:p>
        </w:tc>
        <w:tc>
          <w:tcPr>
            <w:tcW w:type="dxa" w:w="6803"/>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甲醇驯化与残余、FeCl₃烧杯试验、碱度/pH联控</w:t>
            </w:r>
          </w:p>
        </w:tc>
      </w:tr>
      <w:tr>
        <w:trPr>
          <w:cantSplit/>
        </w:trPr>
        <w:tc>
          <w:tcPr>
            <w:tcW w:type="dxa" w:w="192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设备</w:t>
            </w:r>
          </w:p>
        </w:tc>
        <w:tc>
          <w:tcPr>
            <w:tcW w:type="dxa" w:w="6803"/>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泵曲线、NPSH、曝气器现场SOTE、鼓风机入口状态换算</w:t>
            </w:r>
          </w:p>
        </w:tc>
      </w:tr>
      <w:tr>
        <w:trPr>
          <w:cantSplit/>
        </w:trPr>
        <w:tc>
          <w:tcPr>
            <w:tcW w:type="dxa" w:w="192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终端</w:t>
            </w:r>
          </w:p>
        </w:tc>
        <w:tc>
          <w:tcPr>
            <w:tcW w:type="dxa" w:w="6803"/>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消毒需求/CT、计量槽标定、粪大肠菌群在线/化验方案</w:t>
            </w:r>
          </w:p>
        </w:tc>
      </w:tr>
      <w:tr>
        <w:trPr>
          <w:cantSplit/>
        </w:trPr>
        <w:tc>
          <w:tcPr>
            <w:tcW w:type="dxa" w:w="1928"/>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left"/>
            </w:pPr>
            <w:r>
              <w:rPr>
                <w:rFonts w:ascii="Songti SC" w:hAnsi="Songti SC" w:eastAsia="Songti SC" w:cs="Songti SC"/>
                <w:b w:val="0"/>
                <w:sz w:val="21"/>
              </w:rPr>
              <w:t>厂外工程</w:t>
            </w:r>
          </w:p>
        </w:tc>
        <w:tc>
          <w:tcPr>
            <w:tcW w:type="dxa" w:w="6803"/>
            <w:tcBorders>
              <w:top w:val="single" w:sz="6" w:color="9AA7B5"/>
              <w:left w:val="single" w:sz="6" w:color="9AA7B5"/>
              <w:bottom w:val="single" w:sz="6" w:color="9AA7B5"/>
              <w:right w:val="single" w:sz="6" w:color="9AA7B5"/>
              <w:insideH w:val="single" w:sz="6" w:color="9AA7B5"/>
              <w:insideV w:val="single" w:sz="6" w:color="9AA7B5"/>
            </w:tcBorders>
            <w:vAlign w:val="center"/>
          </w:tcPr>
          <w:p>
            <w:pPr>
              <w:keepNext w:val="0"/>
              <w:keepLines w:val="0"/>
              <w:widowControl w:val="0"/>
              <w:spacing w:before="0" w:after="0" w:line="252" w:lineRule="auto"/>
              <w:jc w:val="center"/>
            </w:pPr>
            <w:r>
              <w:rPr>
                <w:rFonts w:ascii="Songti SC" w:hAnsi="Songti SC" w:eastAsia="Songti SC" w:cs="Songti SC"/>
                <w:b w:val="0"/>
                <w:sz w:val="21"/>
              </w:rPr>
              <w:t>组号对应洪水位、排口坐标、厂外管长和防倒灌</w:t>
            </w:r>
          </w:p>
        </w:tc>
      </w:tr>
    </w:tbl>
    <w:p>
      <w:pPr>
        <w:spacing w:after="20"/>
      </w:pPr>
    </w:p>
    <w:p>
      <w:pPr>
        <w:pStyle w:val="Heading1"/>
        <w:keepNext/>
        <w:keepLines w:val="0"/>
        <w:pageBreakBefore/>
      </w:pPr>
      <w:r>
        <w:t>参考文献</w:t>
      </w:r>
    </w:p>
    <w:p>
      <w:pPr>
        <w:keepNext w:val="0"/>
        <w:keepLines w:val="0"/>
        <w:widowControl w:val="0"/>
        <w:spacing w:before="0" w:after="120" w:line="288" w:lineRule="auto"/>
        <w:ind w:left="227" w:hanging="227"/>
      </w:pPr>
      <w:r>
        <w:rPr>
          <w:rFonts w:ascii="Songti SC" w:hAnsi="Songti SC" w:eastAsia="Songti SC" w:cs="Songti SC"/>
          <w:b w:val="0"/>
          <w:sz w:val="22"/>
        </w:rPr>
        <w:t>[1] 中国农业大学环境工程课程组. 本科生课程设计任务书（6）及污水处理厂课程设计指导书, 2026.</w:t>
      </w:r>
    </w:p>
    <w:p>
      <w:pPr>
        <w:keepNext w:val="0"/>
        <w:keepLines w:val="0"/>
        <w:widowControl w:val="0"/>
        <w:spacing w:before="0" w:after="120" w:line="288" w:lineRule="auto"/>
        <w:ind w:left="227" w:hanging="227"/>
      </w:pPr>
      <w:r>
        <w:rPr>
          <w:rFonts w:ascii="Songti SC" w:hAnsi="Songti SC" w:eastAsia="Songti SC" w:cs="Songti SC"/>
          <w:b w:val="0"/>
          <w:sz w:val="22"/>
        </w:rPr>
        <w:t>[2] 中华人民共和国住房和城乡建设部. GB 55027—2022 城乡排水工程项目规范. 北京: 中国建筑工业出版社, 2022.</w:t>
      </w:r>
    </w:p>
    <w:p>
      <w:pPr>
        <w:keepNext w:val="0"/>
        <w:keepLines w:val="0"/>
        <w:widowControl w:val="0"/>
        <w:spacing w:before="0" w:after="120" w:line="288" w:lineRule="auto"/>
        <w:ind w:left="227" w:hanging="227"/>
      </w:pPr>
      <w:r>
        <w:rPr>
          <w:rFonts w:ascii="Songti SC" w:hAnsi="Songti SC" w:eastAsia="Songti SC" w:cs="Songti SC"/>
          <w:b w:val="0"/>
          <w:sz w:val="22"/>
        </w:rPr>
        <w:t>[3] 中华人民共和国住房和城乡建设部. GB 50014—2021 室外排水设计标准. 北京: 中国计划出版社, 2021.</w:t>
      </w:r>
    </w:p>
    <w:p>
      <w:pPr>
        <w:keepNext w:val="0"/>
        <w:keepLines w:val="0"/>
        <w:widowControl w:val="0"/>
        <w:spacing w:before="0" w:after="120" w:line="288" w:lineRule="auto"/>
        <w:ind w:left="227" w:hanging="227"/>
      </w:pPr>
      <w:r>
        <w:rPr>
          <w:rFonts w:ascii="Songti SC" w:hAnsi="Songti SC" w:eastAsia="Songti SC" w:cs="Songti SC"/>
          <w:b w:val="0"/>
          <w:sz w:val="22"/>
        </w:rPr>
        <w:t>[4] 生态环境部. GB 18918—2002 城镇污水处理厂污染物排放标准（含2006年及2025年修改单，2025修改单自2026-03-01实施）.</w:t>
      </w:r>
    </w:p>
    <w:p>
      <w:pPr>
        <w:keepNext w:val="0"/>
        <w:keepLines w:val="0"/>
        <w:widowControl w:val="0"/>
        <w:spacing w:before="0" w:after="120" w:line="288" w:lineRule="auto"/>
        <w:ind w:left="227" w:hanging="227"/>
      </w:pPr>
      <w:r>
        <w:rPr>
          <w:rFonts w:ascii="Songti SC" w:hAnsi="Songti SC" w:eastAsia="Songti SC" w:cs="Songti SC"/>
          <w:b w:val="0"/>
          <w:sz w:val="22"/>
        </w:rPr>
        <w:t>[5] 江苏省市场监督管理局, 江苏省生态环境厅. DB32/4440—2022 城镇污水处理厂污染物排放标准. 2023-03-28实施.</w:t>
      </w:r>
    </w:p>
    <w:p>
      <w:pPr>
        <w:keepNext w:val="0"/>
        <w:keepLines w:val="0"/>
        <w:widowControl w:val="0"/>
        <w:spacing w:before="0" w:after="120" w:line="288" w:lineRule="auto"/>
        <w:ind w:left="227" w:hanging="227"/>
      </w:pPr>
      <w:r>
        <w:rPr>
          <w:rFonts w:ascii="Songti SC" w:hAnsi="Songti SC" w:eastAsia="Songti SC" w:cs="Songti SC"/>
          <w:b w:val="0"/>
          <w:sz w:val="22"/>
        </w:rPr>
        <w:t>[6] 环境保护部. HJ 576—2010 厌氧—缺氧—好氧活性污泥法污水处理工程技术规范, 2010.</w:t>
      </w:r>
    </w:p>
    <w:p>
      <w:pPr>
        <w:keepNext w:val="0"/>
        <w:keepLines w:val="0"/>
        <w:widowControl w:val="0"/>
        <w:spacing w:before="0" w:after="120" w:line="288" w:lineRule="auto"/>
        <w:ind w:left="227" w:hanging="227"/>
      </w:pPr>
      <w:r>
        <w:rPr>
          <w:rFonts w:ascii="Songti SC" w:hAnsi="Songti SC" w:eastAsia="Songti SC" w:cs="Songti SC"/>
          <w:b w:val="0"/>
          <w:sz w:val="22"/>
        </w:rPr>
        <w:t>[7] U.S. EPA. Nutrient Control Design Manual. EPA/600/R-10/100, August 2010. https://nepis.epa.gov/Exe/ZyPURL.cgi?Dockey=P1008KTD.TXT</w:t>
      </w:r>
    </w:p>
    <w:p>
      <w:pPr>
        <w:keepNext w:val="0"/>
        <w:keepLines w:val="0"/>
        <w:widowControl w:val="0"/>
        <w:spacing w:before="0" w:after="120" w:line="288" w:lineRule="auto"/>
        <w:ind w:left="227" w:hanging="227"/>
      </w:pPr>
      <w:r>
        <w:rPr>
          <w:rFonts w:ascii="Songti SC" w:hAnsi="Songti SC" w:eastAsia="Songti SC" w:cs="Songti SC"/>
          <w:b w:val="0"/>
          <w:sz w:val="22"/>
        </w:rPr>
        <w:t>[8] Xylem. Sanitaire Silver Series II Diffuser Datasheet, Standard 229 mm. https://www.xylem.com/siteassets/brand/sanitaire/resources/brochure/sanitaire-silver-series-ii-diffuser-datasheet-a4-low-en.pdf</w:t>
      </w:r>
    </w:p>
    <w:p>
      <w:pPr>
        <w:keepNext w:val="0"/>
        <w:keepLines w:val="0"/>
        <w:widowControl w:val="0"/>
        <w:spacing w:before="0" w:after="120" w:line="288" w:lineRule="auto"/>
        <w:ind w:left="227" w:hanging="227"/>
      </w:pPr>
      <w:r>
        <w:rPr>
          <w:rFonts w:ascii="Songti SC" w:hAnsi="Songti SC" w:eastAsia="Songti SC" w:cs="Songti SC"/>
          <w:b w:val="0"/>
          <w:sz w:val="22"/>
        </w:rPr>
        <w:t>[9] AERZEN. AERZEN Turbo Generation 5plus / AT 200-0.8 S official brochure. https://www.aerzen.com/fileadmin/user_upload/ifat2022/files/05_aerzen_turbo_g5plus_at60_en_en-GB.pdf</w:t>
      </w:r>
    </w:p>
    <w:p>
      <w:pPr>
        <w:keepNext w:val="0"/>
        <w:keepLines w:val="0"/>
        <w:widowControl w:val="0"/>
        <w:spacing w:before="0" w:after="120" w:line="288" w:lineRule="auto"/>
        <w:ind w:left="227" w:hanging="227"/>
      </w:pPr>
      <w:r>
        <w:rPr>
          <w:rFonts w:ascii="Songti SC" w:hAnsi="Songti SC" w:eastAsia="Songti SC" w:cs="Songti SC"/>
          <w:b w:val="0"/>
          <w:sz w:val="22"/>
        </w:rPr>
        <w:t>[10] 给水排水设计手册编写组. 给水排水设计手册 第5册 城镇排水. 北京: 中国建筑工业出版社.</w:t>
      </w:r>
    </w:p>
    <w:p>
      <w:pPr>
        <w:keepNext w:val="0"/>
        <w:keepLines w:val="0"/>
        <w:widowControl w:val="0"/>
        <w:spacing w:before="0" w:after="120" w:line="288" w:lineRule="auto"/>
        <w:ind w:left="227" w:hanging="227"/>
      </w:pPr>
      <w:r>
        <w:rPr>
          <w:rFonts w:ascii="Songti SC" w:hAnsi="Songti SC" w:eastAsia="Songti SC" w:cs="Songti SC"/>
          <w:b w:val="0"/>
          <w:sz w:val="22"/>
        </w:rPr>
        <w:t>[11] 给水排水设计手册编写组. 给水排水设计手册 第1册 常用资料. 北京: 中国建筑工业出版社.</w:t>
      </w:r>
    </w:p>
    <w:p>
      <w:pPr>
        <w:keepNext w:val="0"/>
        <w:keepLines w:val="0"/>
        <w:widowControl w:val="0"/>
        <w:spacing w:before="0" w:after="120" w:line="288" w:lineRule="auto"/>
        <w:ind w:left="227" w:hanging="227"/>
      </w:pPr>
      <w:r>
        <w:rPr>
          <w:rFonts w:ascii="Songti SC" w:hAnsi="Songti SC" w:eastAsia="Songti SC" w:cs="Songti SC"/>
          <w:b w:val="0"/>
          <w:sz w:val="22"/>
        </w:rPr>
        <w:t>[12] 中国农业大学资源与环境学院. 环境工程设计教案（污水处理厂课程设计）. 2026.</w:t>
      </w:r>
    </w:p>
    <w:sectPr w:rsidR="00FC693F" w:rsidRPr="0006063C" w:rsidSect="00034616">
      <w:footerReference w:type="default" r:id="rId9"/>
      <w:pgSz w:w="11906" w:h="16838"/>
      <w:pgMar w:top="1247" w:right="124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ngti SC" w:hAnsi="Songti SC" w:eastAsia="Songti SC" w:cs="Songti SC"/>
        <w:b w:val="0"/>
        <w:sz w:val="20"/>
      </w:rPr>
      <w:t xml:space="preserve">— </w:t>
    </w:r>
    <w:r>
      <w:rPr>
        <w:rFonts w:ascii="Songti SC" w:hAnsi="Songti SC" w:eastAsia="Songti SC" w:cs="Songti SC"/>
        <w:b w:val="0"/>
        <w:sz w:val="20"/>
      </w:rPr>
      <w:fldChar w:fldCharType="begin"/>
      <w:instrText xml:space="preserve">PAGE</w:instrText>
      <w:fldChar w:fldCharType="separate"/>
      <w:t>1</w:t>
      <w:fldChar w:fldCharType="end"/>
    </w:r>
    <w:r>
      <w:rPr>
        <w:rFonts w:ascii="Songti SC" w:hAnsi="Songti SC" w:eastAsia="Songti SC" w:cs="Songti SC"/>
        <w:b w:val="0"/>
        <w:sz w:val="20"/>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Songti SC" w:hAnsi="Songti SC" w:eastAsia="Songti SC" w:cs="Songti SC"/>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ngti SC" w:hAnsi="Songti SC" w:eastAsia="Songti SC" w:cs="Songti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val="0"/>
      <w:widowControl w:val="0"/>
      <w:spacing w:before="480" w:after="120" w:line="288" w:lineRule="auto"/>
      <w:jc w:val="center"/>
      <w:outlineLvl w:val="0"/>
    </w:pPr>
    <w:rPr>
      <w:rFonts w:ascii="Songti SC" w:hAnsi="Songti SC" w:eastAsia="Songti SC" w:cs="Songti SC"/>
      <w:b/>
      <w:bCs/>
      <w:color w:val="000000"/>
      <w:sz w:val="32"/>
      <w:szCs w:val="32"/>
    </w:rPr>
  </w:style>
  <w:style w:type="paragraph" w:styleId="Heading2">
    <w:name w:val="heading 2"/>
    <w:basedOn w:val="Normal"/>
    <w:next w:val="Normal"/>
    <w:link w:val="Heading2Char"/>
    <w:uiPriority w:val="9"/>
    <w:unhideWhenUsed/>
    <w:qFormat/>
    <w:rsid w:val="00FC693F"/>
    <w:pPr>
      <w:keepNext w:val="0"/>
      <w:keepLines w:val="0"/>
      <w:widowControl w:val="0"/>
      <w:spacing w:before="200" w:after="120" w:line="288" w:lineRule="auto"/>
      <w:outlineLvl w:val="1"/>
    </w:pPr>
    <w:rPr>
      <w:rFonts w:ascii="Songti SC" w:hAnsi="Songti SC" w:eastAsia="Songti SC" w:cs="Songti SC"/>
      <w:b/>
      <w:bCs/>
      <w:color w:val="000000"/>
      <w:sz w:val="28"/>
      <w:szCs w:val="28"/>
    </w:rPr>
  </w:style>
  <w:style w:type="paragraph" w:styleId="Heading3">
    <w:name w:val="heading 3"/>
    <w:basedOn w:val="Normal"/>
    <w:next w:val="Normal"/>
    <w:link w:val="Heading3Char"/>
    <w:uiPriority w:val="9"/>
    <w:unhideWhenUsed/>
    <w:qFormat/>
    <w:rsid w:val="00FC693F"/>
    <w:pPr>
      <w:keepNext w:val="0"/>
      <w:keepLines w:val="0"/>
      <w:widowControl w:val="0"/>
      <w:spacing w:before="200" w:after="120" w:line="288" w:lineRule="auto"/>
      <w:outlineLvl w:val="2"/>
    </w:pPr>
    <w:rPr>
      <w:rFonts w:ascii="Songti SC" w:hAnsi="Songti SC" w:eastAsia="Songti SC" w:cs="Songti SC"/>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keepLines w:val="0"/>
      <w:widowControl w:val="0"/>
      <w:spacing w:after="120" w:line="288" w:lineRule="auto"/>
      <w:contextualSpacing/>
    </w:pPr>
    <w:rPr>
      <w:rFonts w:ascii="Songti SC" w:hAnsi="Songti SC" w:eastAsia="Songti SC" w:cs="Songti SC"/>
      <w:b/>
      <w:color w:val="000000"/>
      <w:spacing w:val="5"/>
      <w:kern w:val="28"/>
      <w:sz w:val="44"/>
      <w:szCs w:val="44"/>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keepNext w:val="0"/>
      <w:keepLines w:val="0"/>
      <w:widowControl w:val="0"/>
      <w:spacing w:after="120" w:line="288" w:lineRule="auto"/>
    </w:pPr>
    <w:rPr>
      <w:rFonts w:ascii="Songti SC" w:hAnsi="Songti SC" w:eastAsia="Songti SC" w:cs="Songti SC"/>
      <w:b w:val="0"/>
      <w:color w:val="000000"/>
      <w:sz w:val="24"/>
      <w:szCs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