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64" w:lineRule="auto"/>
      </w:pPr>
      <w:r>
        <w:rPr>
          <w:rFonts w:ascii="Calibri" w:hAnsi="Calibri"/>
          <w:b/>
          <w:color w:val="000000"/>
          <w:sz w:val="46"/>
        </w:rPr>
        <w:t>COMPETITIVE ADVANTAGE BRIEF</w:t>
      </w:r>
    </w:p>
    <w:p>
      <w:pPr>
        <w:spacing w:before="0" w:after="280" w:line="264" w:lineRule="auto"/>
      </w:pPr>
      <w:r>
        <w:rPr>
          <w:rFonts w:ascii="Calibri" w:hAnsi="Calibri"/>
          <w:color w:val="666666"/>
          <w:sz w:val="28"/>
        </w:rPr>
        <w:t>FinSight vs. digital wallets, personal finance apps, and financial management platforms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</w:rPr>
        <w:t xml:space="preserve">Prepared for: </w:t>
      </w:r>
      <w:r>
        <w:rPr>
          <w:rFonts w:ascii="Calibri" w:hAnsi="Calibri"/>
          <w:color w:val="000000"/>
        </w:rPr>
        <w:t>FinSight product and business review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</w:rPr>
        <w:t xml:space="preserve">Date: </w:t>
      </w:r>
      <w:r>
        <w:rPr>
          <w:rFonts w:ascii="Calibri" w:hAnsi="Calibri"/>
          <w:color w:val="000000"/>
        </w:rPr>
        <w:t>July 9, 2026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</w:rPr>
        <w:t xml:space="preserve">Scope: </w:t>
      </w:r>
      <w:r>
        <w:rPr>
          <w:rFonts w:ascii="Calibri" w:hAnsi="Calibri"/>
          <w:color w:val="000000"/>
        </w:rPr>
        <w:t>ZaloPay, MoMo, Finhay, Money Lover, MISA Money Keeper, and MISA AMIS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</w:rPr>
        <w:t xml:space="preserve">Purpose: </w:t>
      </w:r>
      <w:r>
        <w:rPr>
          <w:rFonts w:ascii="Calibri" w:hAnsi="Calibri"/>
          <w:color w:val="000000"/>
        </w:rPr>
        <w:t>Clarify where FinSight can win and what claims the product should avoid.</w:t>
      </w:r>
    </w:p>
    <w:p>
      <w:pPr>
        <w:spacing w:before="0" w:after="240" w:line="264" w:lineRule="auto"/>
        <w:pBdr>
          <w:bottom w:val="single" w:sz="10" w:space="4" w:color="2E74B5"/>
        </w:pBdr>
      </w:pPr>
    </w:p>
    <w:p>
      <w:pPr>
        <w:spacing w:before="60" w:after="180" w:line="264" w:lineRule="auto"/>
        <w:ind w:left="115" w:right="115"/>
        <w:shd w:fill="F4F6F9"/>
        <w:pBdr>
          <w:top w:val="single" w:sz="4" w:space="6" w:color="D7DBE2"/>
          <w:left w:val="single" w:sz="4" w:space="6" w:color="D7DBE2"/>
          <w:bottom w:val="single" w:sz="4" w:space="6" w:color="D7DBE2"/>
          <w:right w:val="single" w:sz="4" w:space="6" w:color="D7DBE2"/>
        </w:pBdr>
      </w:pPr>
      <w:r>
        <w:rPr>
          <w:rFonts w:ascii="Calibri" w:hAnsi="Calibri"/>
          <w:b/>
          <w:color w:val="0B2545"/>
          <w:sz w:val="22"/>
        </w:rPr>
        <w:t xml:space="preserve">Executive recommendation: </w:t>
      </w:r>
      <w:r>
        <w:rPr>
          <w:rFonts w:ascii="Calibri" w:hAnsi="Calibri"/>
          <w:color w:val="000000"/>
          <w:sz w:val="22"/>
        </w:rPr>
        <w:t>Position FinSight as the financial intelligence layer that turns fragmented money data into a forward-looking score, risk forecast, and action plan. Do not position it as another wallet, expense tracker, investment app, or accounting system.</w:t>
      </w:r>
    </w:p>
    <w:p>
      <w:pPr>
        <w:pStyle w:val="Heading1"/>
      </w:pPr>
      <w:r>
        <w:t>Executive Takeaways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The category opening is intelligence, not tracking. </w:t>
      </w:r>
      <w:r>
        <w:rPr>
          <w:rFonts w:ascii="Calibri" w:hAnsi="Calibri"/>
          <w:b w:val="0"/>
          <w:color w:val="000000"/>
        </w:rPr>
        <w:t>Competitors are strong at payments, record keeping, investing, or business accounting; FinSight should own forecast, risk, and action.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Privacy can be a real wedge. </w:t>
      </w:r>
      <w:r>
        <w:rPr>
          <w:rFonts w:ascii="Calibri" w:hAnsi="Calibri"/>
          <w:b w:val="0"/>
          <w:color w:val="000000"/>
        </w:rPr>
        <w:t>Manual entry and PDF/CSV upload create a no-bank-login path that many consumers will trust more than full account linking.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The product must prove value fast. </w:t>
      </w:r>
      <w:r>
        <w:rPr>
          <w:rFonts w:ascii="Calibri" w:hAnsi="Calibri"/>
          <w:b w:val="0"/>
          <w:color w:val="000000"/>
        </w:rPr>
        <w:t>The first result screen should show score, cash-flow runway, shortfall alerts, and a prioritized action plan.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The B2B API roadmap is strategically important. </w:t>
      </w:r>
      <w:r>
        <w:rPr>
          <w:rFonts w:ascii="Calibri" w:hAnsi="Calibri"/>
          <w:b w:val="0"/>
          <w:color w:val="000000"/>
        </w:rPr>
        <w:t>It lets FinSight become an embedded financial wellness engine inside wallets, payroll, HR benefits, banks, and insurance journeys.</w:t>
      </w:r>
    </w:p>
    <w:p>
      <w:pPr>
        <w:pStyle w:val="Heading1"/>
      </w:pPr>
      <w:r>
        <w:t>Competitor Landscape</w:t>
      </w:r>
    </w:p>
    <w:p>
      <w:pPr>
        <w:spacing w:before="0" w:after="120" w:line="264" w:lineRule="auto"/>
      </w:pPr>
      <w:r>
        <w:rPr>
          <w:rFonts w:ascii="Calibri" w:hAnsi="Calibri"/>
          <w:color w:val="000000"/>
        </w:rPr>
        <w:t>The listed companies are not all direct substitutes. They compete for adjacent user jobs: payments, investing, expense tracking, personal record keeping, and business accounting. FinSight's opening is to become the intelligence layer that explains future risk and tells the user what to do next.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380"/>
        <w:gridCol w:w="1620"/>
        <w:gridCol w:w="3000"/>
        <w:gridCol w:w="3360"/>
      </w:tblGrid>
      <w:tr>
        <w:trPr>
          <w:tblHeader w:val="true"/>
        </w:trPr>
        <w:tc>
          <w:tcPr>
            <w:tcW w:w="138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Competitor</w:t>
            </w:r>
          </w:p>
        </w:tc>
        <w:tc>
          <w:tcPr>
            <w:tcW w:w="162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Primary job</w:t>
            </w:r>
          </w:p>
        </w:tc>
        <w:tc>
          <w:tcPr>
            <w:tcW w:w="3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Where competitors are strong</w:t>
            </w:r>
          </w:p>
        </w:tc>
        <w:tc>
          <w:tcPr>
            <w:tcW w:w="3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Strategic gap for FinSight</w:t>
            </w:r>
          </w:p>
        </w:tc>
      </w:tr>
      <w:tr>
        <w:tc>
          <w:tcPr>
            <w:tcW w:type="dxa" w:w="13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ZaloPay</w:t>
            </w:r>
          </w:p>
        </w:tc>
        <w:tc>
          <w:tcPr>
            <w:tcW w:type="dxa" w:w="16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Wallet and payment utility inside the Zalo ecosystem.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Strong payment convenience: Zalo chat transfer, bill payment, reminders, fee-light daily transactions, and merchant/lifestyle use cases.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FinSight should not compete on payment execution. It can win on cross-account cash-flow diagnosis, forward-looking shortfall alerts, and action plans that are independent of any wallet.</w:t>
            </w:r>
          </w:p>
        </w:tc>
      </w:tr>
      <w:tr>
        <w:tc>
          <w:tcPr>
            <w:tcW w:type="dxa" w:w="13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MoMo</w:t>
            </w:r>
          </w:p>
        </w:tc>
        <w:tc>
          <w:tcPr>
            <w:tcW w:type="dxa" w:w="16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Financial super app with payments, transfers, services, and financial product access.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Large consumer habit surface: transfers, bill payment, lifestyle services, financial services, and AI-backed interactions across many money tasks.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 broad super app can feel busy and product-led. FinSight can position as a neutral financial coach focused on clarity, risk, and next actions rather than promotions or cross-sell.</w:t>
            </w:r>
          </w:p>
        </w:tc>
      </w:tr>
      <w:tr>
        <w:tc>
          <w:tcPr>
            <w:tcW w:type="dxa" w:w="13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Finhay</w:t>
            </w:r>
          </w:p>
        </w:tc>
        <w:tc>
          <w:tcPr>
            <w:tcW w:type="dxa" w:w="16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Digital savings, investment, securities, insurance, and financial data ecosystem.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Strong for asset building and investment access, with fund, securities, bond/savings, insurance, and analysis/data products.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FinSight can own pre-investment readiness: emergency buffer, debt pressure, income volatility, and whether the user can safely commit money to goals.</w:t>
            </w:r>
          </w:p>
        </w:tc>
      </w:tr>
      <w:tr>
        <w:tc>
          <w:tcPr>
            <w:tcW w:type="dxa" w:w="13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Money Lover</w:t>
            </w:r>
          </w:p>
        </w:tc>
        <w:tc>
          <w:tcPr>
            <w:tcW w:type="dxa" w:w="16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Personal budgeting, expense tracking, wallets, reports, and recurring bill management.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Strong expense recording, category budgets, reports, recurring transactions, exports, and optional automatic bank sync in supported markets.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Tracking and reports explain where money went. FinSight should explain what will happen next, why it matters, and which concrete action changes the outcome.</w:t>
            </w:r>
          </w:p>
        </w:tc>
      </w:tr>
      <w:tr>
        <w:tc>
          <w:tcPr>
            <w:tcW w:type="dxa" w:w="13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MISA Money Keeper</w:t>
            </w:r>
          </w:p>
        </w:tc>
        <w:tc>
          <w:tcPr>
            <w:tcW w:type="dxa" w:w="16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Personal and family income/expense manager from MISA.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Strong local credibility, daily tracking, AI invoice scanning, automatic bank sync, budgets, family sharing, reports, reminders, and exports.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MISA can match tracking depth. FinSight needs sharper scoring transparency, scenario planning, risk forecasting, and a privacy-first input path that does not require bank credentials.</w:t>
            </w:r>
          </w:p>
        </w:tc>
      </w:tr>
      <w:tr>
        <w:tc>
          <w:tcPr>
            <w:tcW w:type="dxa" w:w="13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MISA AMIS</w:t>
            </w:r>
          </w:p>
        </w:tc>
        <w:tc>
          <w:tcPr>
            <w:tcW w:type="dxa" w:w="162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Business management and accounting platform.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Strong for enterprises and SMEs: finance-accounting, sales, HR, operations, cloud platform, AI agents, API/integration, and compliance-oriented workflows.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AMIS is a business operating system, not a personal financial wellness layer. FinSight can sell APIs and embedded insights to wallets, payroll, HR benefits, and banks.</w:t>
            </w:r>
          </w:p>
        </w:tc>
      </w:tr>
    </w:tbl>
    <w:p>
      <w:pPr>
        <w:spacing w:before="80" w:after="200" w:line="264" w:lineRule="auto"/>
      </w:pPr>
      <w:r>
        <w:rPr>
          <w:rFonts w:ascii="Calibri" w:hAnsi="Calibri"/>
          <w:color w:val="000000"/>
        </w:rPr>
        <w:t>Source note: Public pages and app listings reviewed on July 9, 2026; URLs are listed in the appendix.</w:t>
      </w:r>
    </w:p>
    <w:p>
      <w:pPr>
        <w:pStyle w:val="Heading1"/>
      </w:pPr>
      <w:r>
        <w:t>FinSight's Defensible Advantage</w:t>
      </w:r>
    </w:p>
    <w:p>
      <w:pPr>
        <w:spacing w:before="60" w:after="180" w:line="264" w:lineRule="auto"/>
        <w:ind w:left="115" w:right="115"/>
        <w:shd w:fill="F4F6F9"/>
        <w:pBdr>
          <w:top w:val="single" w:sz="4" w:space="6" w:color="D7DBE2"/>
          <w:left w:val="single" w:sz="4" w:space="6" w:color="D7DBE2"/>
          <w:bottom w:val="single" w:sz="4" w:space="6" w:color="D7DBE2"/>
          <w:right w:val="single" w:sz="4" w:space="6" w:color="D7DBE2"/>
        </w:pBdr>
      </w:pPr>
      <w:r>
        <w:rPr>
          <w:rFonts w:ascii="Calibri" w:hAnsi="Calibri"/>
          <w:b/>
          <w:color w:val="0B2545"/>
          <w:sz w:val="22"/>
        </w:rPr>
        <w:t xml:space="preserve">Positioning thesis: </w:t>
      </w:r>
      <w:r>
        <w:rPr>
          <w:rFonts w:ascii="Calibri" w:hAnsi="Calibri"/>
          <w:color w:val="000000"/>
          <w:sz w:val="22"/>
        </w:rPr>
        <w:t>FinSight should be framed as a personal financial intelligence system, not a wallet, tracker, investment marketplace, or accounting platform. The strongest claim is: FinSight helps users understand whether their future cash flow is safe and what to do next.</w:t>
      </w:r>
    </w:p>
    <w:p>
      <w:pPr>
        <w:pStyle w:val="Heading2"/>
      </w:pPr>
      <w:r>
        <w:t>1. Decision layer over transaction layer</w:t>
      </w:r>
    </w:p>
    <w:p>
      <w:pPr>
        <w:spacing w:before="0" w:after="120" w:line="264" w:lineRule="auto"/>
      </w:pPr>
      <w:r>
        <w:rPr>
          <w:rFonts w:ascii="Calibri" w:hAnsi="Calibri"/>
          <w:color w:val="000000"/>
        </w:rPr>
        <w:t>ZaloPay and MoMo optimize how money moves. Money Lover and MISA Money Keeper optimize how transactions are recorded. FinSight should optimize the decision after the data is available: can the user afford this month, what risk is building, and what action changes the forecast?</w:t>
      </w:r>
    </w:p>
    <w:p>
      <w:pPr>
        <w:pStyle w:val="Heading2"/>
      </w:pPr>
      <w:r>
        <w:t>2. Future orientation</w:t>
      </w:r>
    </w:p>
    <w:p>
      <w:pPr>
        <w:spacing w:before="0" w:after="120" w:line="264" w:lineRule="auto"/>
      </w:pPr>
      <w:r>
        <w:rPr>
          <w:rFonts w:ascii="Calibri" w:hAnsi="Calibri"/>
          <w:color w:val="000000"/>
        </w:rPr>
        <w:t>Most competitor surfaces are built around historical transactions, payments, or product access. FinSight's core surface should be forecast-first: 6-12 month cash flow, shortfall probability, debt pressure, emergency buffer, and goal feasibility.</w:t>
      </w:r>
    </w:p>
    <w:p>
      <w:pPr>
        <w:pStyle w:val="Heading2"/>
      </w:pPr>
      <w:r>
        <w:t>3. Privacy-first input</w:t>
      </w:r>
    </w:p>
    <w:p>
      <w:pPr>
        <w:spacing w:before="0" w:after="120" w:line="264" w:lineRule="auto"/>
      </w:pPr>
      <w:r>
        <w:rPr>
          <w:rFonts w:ascii="Calibri" w:hAnsi="Calibri"/>
          <w:color w:val="000000"/>
        </w:rPr>
        <w:t>A no-bank-login path is a clear trust differentiator. Manual input and PDF/CSV statement upload reduce adoption friction for users who want advice without sharing login credentials or connecting every account.</w:t>
      </w:r>
    </w:p>
    <w:p>
      <w:pPr>
        <w:pStyle w:val="Heading2"/>
      </w:pPr>
      <w:r>
        <w:t>4. Variable-income fit</w:t>
      </w:r>
    </w:p>
    <w:p>
      <w:pPr>
        <w:spacing w:before="0" w:after="120" w:line="264" w:lineRule="auto"/>
      </w:pPr>
      <w:r>
        <w:rPr>
          <w:rFonts w:ascii="Calibri" w:hAnsi="Calibri"/>
          <w:color w:val="000000"/>
        </w:rPr>
        <w:t>Freelancers, gig workers, small sellers, and multi-income households need scenario planning more than static monthly budgets. FinSight can model income variability and warn before a weak-income month turns into debt.</w:t>
      </w:r>
    </w:p>
    <w:p>
      <w:pPr>
        <w:pStyle w:val="Heading2"/>
      </w:pPr>
      <w:r>
        <w:t>5. Action specificity</w:t>
      </w:r>
    </w:p>
    <w:p>
      <w:pPr>
        <w:spacing w:before="0" w:after="120" w:line="264" w:lineRule="auto"/>
      </w:pPr>
      <w:r>
        <w:rPr>
          <w:rFonts w:ascii="Calibri" w:hAnsi="Calibri"/>
          <w:color w:val="000000"/>
        </w:rPr>
        <w:t>A useful insight should lead to a measurable action: reduce discretionary spend by a target amount, postpone a purchase, prioritize one debt, build a three-month buffer, or adjust goal contributions.</w:t>
      </w:r>
    </w:p>
    <w:p>
      <w:pPr>
        <w:pStyle w:val="Heading2"/>
      </w:pPr>
      <w:r>
        <w:t>6. Embeddable intelligence</w:t>
      </w:r>
    </w:p>
    <w:p>
      <w:pPr>
        <w:spacing w:before="0" w:after="120" w:line="264" w:lineRule="auto"/>
      </w:pPr>
      <w:r>
        <w:rPr>
          <w:rFonts w:ascii="Calibri" w:hAnsi="Calibri"/>
          <w:color w:val="000000"/>
        </w:rPr>
        <w:t>The API roadmap creates a B2B expansion path. FinSight can become the scoring, risk, and recommendation layer inside wallets, banks, payroll products, insurance journeys, and HR financial wellness benefits.</w:t>
      </w:r>
    </w:p>
    <w:p>
      <w:pPr>
        <w:pStyle w:val="Heading1"/>
      </w:pPr>
      <w:r>
        <w:t>Recommended Positioning</w:t>
      </w:r>
    </w:p>
    <w:p>
      <w:pPr>
        <w:pStyle w:val="Heading2"/>
      </w:pPr>
      <w:r>
        <w:t>Core market sentence</w:t>
      </w:r>
    </w:p>
    <w:p>
      <w:pPr>
        <w:spacing w:before="60" w:after="180" w:line="264" w:lineRule="auto"/>
        <w:ind w:left="115" w:right="115"/>
        <w:shd w:fill="F4F6F9"/>
        <w:pBdr>
          <w:top w:val="single" w:sz="4" w:space="6" w:color="D7DBE2"/>
          <w:left w:val="single" w:sz="4" w:space="6" w:color="D7DBE2"/>
          <w:bottom w:val="single" w:sz="4" w:space="6" w:color="D7DBE2"/>
          <w:right w:val="single" w:sz="4" w:space="6" w:color="D7DBE2"/>
        </w:pBdr>
      </w:pPr>
      <w:r>
        <w:rPr>
          <w:rFonts w:ascii="Calibri" w:hAnsi="Calibri"/>
          <w:b/>
          <w:color w:val="0B2545"/>
          <w:sz w:val="22"/>
        </w:rPr>
        <w:t xml:space="preserve">Use: </w:t>
      </w:r>
      <w:r>
        <w:rPr>
          <w:rFonts w:ascii="Calibri" w:hAnsi="Calibri"/>
          <w:color w:val="000000"/>
          <w:sz w:val="22"/>
        </w:rPr>
        <w:t>FinSight turns income, spending, debt, and goals into a forward-looking financial health score, cash-flow forecast, risk alerts, and concrete action plan - without requiring users to connect bank login credentials.</w:t>
      </w:r>
    </w:p>
    <w:p>
      <w:pPr>
        <w:pStyle w:val="Heading2"/>
      </w:pPr>
      <w:r>
        <w:t>Competitive messaging by category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Against wallets: </w:t>
      </w:r>
      <w:r>
        <w:rPr>
          <w:rFonts w:ascii="Calibri" w:hAnsi="Calibri"/>
          <w:b w:val="0"/>
          <w:color w:val="000000"/>
        </w:rPr>
        <w:t>We do not replace payment apps. We help users understand whether their money plan is safe before and after payments happen.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Against trackers: </w:t>
      </w:r>
      <w:r>
        <w:rPr>
          <w:rFonts w:ascii="Calibri" w:hAnsi="Calibri"/>
          <w:b w:val="0"/>
          <w:color w:val="000000"/>
        </w:rPr>
        <w:t>Tracking tells users where money went. FinSight tells users what is likely to happen next and how to improve the outcome.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Against investment apps: </w:t>
      </w:r>
      <w:r>
        <w:rPr>
          <w:rFonts w:ascii="Calibri" w:hAnsi="Calibri"/>
          <w:b w:val="0"/>
          <w:color w:val="000000"/>
        </w:rPr>
        <w:t>Before users invest, they need to know whether their emergency fund, debt load, and cash-flow volatility can support the commitment.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Against accounting platforms: </w:t>
      </w:r>
      <w:r>
        <w:rPr>
          <w:rFonts w:ascii="Calibri" w:hAnsi="Calibri"/>
          <w:b w:val="0"/>
          <w:color w:val="000000"/>
        </w:rPr>
        <w:t>Business accounting manages compliance and operations. FinSight manages personal financial health, risk, and behavior.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Against bank-led dashboards: </w:t>
      </w:r>
      <w:r>
        <w:rPr>
          <w:rFonts w:ascii="Calibri" w:hAnsi="Calibri"/>
          <w:b w:val="0"/>
          <w:color w:val="000000"/>
        </w:rPr>
        <w:t>Bank dashboards can be account-centric and product-centric. FinSight should stay user-centric, portable, and transparent.</w:t>
      </w:r>
    </w:p>
    <w:p>
      <w:pPr>
        <w:pStyle w:val="Heading2"/>
      </w:pPr>
      <w:r>
        <w:t>Claims to avoid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Do not claim FinSight is a payment replacement. </w:t>
      </w:r>
      <w:r>
        <w:rPr>
          <w:rFonts w:ascii="Calibri" w:hAnsi="Calibri"/>
          <w:b w:val="0"/>
          <w:color w:val="000000"/>
        </w:rPr>
        <w:t>ZaloPay and MoMo are stronger for transactions and daily commerce.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Do not claim regulated investment advice. </w:t>
      </w:r>
      <w:r>
        <w:rPr>
          <w:rFonts w:ascii="Calibri" w:hAnsi="Calibri"/>
          <w:b w:val="0"/>
          <w:color w:val="000000"/>
        </w:rPr>
        <w:t>FinSight can analyze readiness and tradeoffs, but Finhay owns investment product access.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Do not claim accounting replacement. </w:t>
      </w:r>
      <w:r>
        <w:rPr>
          <w:rFonts w:ascii="Calibri" w:hAnsi="Calibri"/>
          <w:b w:val="0"/>
          <w:color w:val="000000"/>
        </w:rPr>
        <w:t>MISA AMIS and MISA SME are purpose-built for business finance, tax, invoices, and operations.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Do not claim privacy without proof. </w:t>
      </w:r>
      <w:r>
        <w:rPr>
          <w:rFonts w:ascii="Calibri" w:hAnsi="Calibri"/>
          <w:b w:val="0"/>
          <w:color w:val="000000"/>
        </w:rPr>
        <w:t>The product needs plain-language data handling, export/delete controls, and clear separation from ad or cross-sell models.</w:t>
      </w:r>
    </w:p>
    <w:p>
      <w:pPr>
        <w:pStyle w:val="Heading1"/>
      </w:pPr>
      <w:r>
        <w:t>Product Implications</w:t>
      </w:r>
    </w:p>
    <w:p>
      <w:pPr>
        <w:spacing w:before="0" w:after="120" w:line="264" w:lineRule="auto"/>
      </w:pPr>
      <w:r>
        <w:rPr>
          <w:rFonts w:ascii="Calibri" w:hAnsi="Calibri"/>
          <w:color w:val="000000"/>
        </w:rPr>
        <w:t>The competitive claim only becomes credible if the product experience makes forecasting and action visible within the first session. The current five-step demo flow is a strong start, but the result screen should prove that FinSight can explain causes, project risk, and recommend actions better than a tracker.</w:t>
      </w:r>
    </w:p>
    <w:p>
      <w:pPr>
        <w:pStyle w:val="Heading2"/>
      </w:pPr>
      <w:r>
        <w:t>Near-term product requirements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0B2545"/>
        </w:rPr>
        <w:t xml:space="preserve">Transparent score model: </w:t>
      </w:r>
      <w:r>
        <w:rPr>
          <w:rFonts w:ascii="Calibri" w:hAnsi="Calibri"/>
          <w:color w:val="000000"/>
        </w:rPr>
        <w:t>Show the score components: income stability, spending discipline, debt burden, savings rate, emergency buffer, goal progress, and cash-flow volatility.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0B2545"/>
        </w:rPr>
        <w:t xml:space="preserve">Forecast-first dashboard: </w:t>
      </w:r>
      <w:r>
        <w:rPr>
          <w:rFonts w:ascii="Calibri" w:hAnsi="Calibri"/>
          <w:color w:val="000000"/>
        </w:rPr>
        <w:t>Make 6-month forecast, projected shortfalls, debt-to-income movement, and emergency runway visible above historical charts.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0B2545"/>
        </w:rPr>
        <w:t xml:space="preserve">Action plan with measurable impact: </w:t>
      </w:r>
      <w:r>
        <w:rPr>
          <w:rFonts w:ascii="Calibri" w:hAnsi="Calibri"/>
          <w:color w:val="000000"/>
        </w:rPr>
        <w:t>Each recommendation should show expected effect, difficulty, and timeframe, such as 'cut discretionary spend by 8 percent to avoid June shortfall'.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0B2545"/>
        </w:rPr>
        <w:t xml:space="preserve">Manual and file-based input: </w:t>
      </w:r>
      <w:r>
        <w:rPr>
          <w:rFonts w:ascii="Calibri" w:hAnsi="Calibri"/>
          <w:color w:val="000000"/>
        </w:rPr>
        <w:t>Keep manual input fast and add PDF/CSV upload so privacy-conscious users can get value without connecting bank credentials.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0B2545"/>
        </w:rPr>
        <w:t xml:space="preserve">Scenario planning: </w:t>
      </w:r>
      <w:r>
        <w:rPr>
          <w:rFonts w:ascii="Calibri" w:hAnsi="Calibri"/>
          <w:color w:val="000000"/>
        </w:rPr>
        <w:t>Let users test income drops, new debt, rent changes, extra debt repayment, or goal contribution changes.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/>
          <w:color w:val="0B2545"/>
        </w:rPr>
        <w:t xml:space="preserve">B2B-ready signal set: </w:t>
      </w:r>
      <w:r>
        <w:rPr>
          <w:rFonts w:ascii="Calibri" w:hAnsi="Calibri"/>
          <w:color w:val="000000"/>
        </w:rPr>
        <w:t>Package score, cash-flow risk, debt insight, spending pattern, goal feasibility, and action plan as API outputs with consent controls.</w:t>
      </w:r>
    </w:p>
    <w:p>
      <w:pPr>
        <w:pStyle w:val="Heading2"/>
      </w:pPr>
      <w:r>
        <w:t>90-day action plan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560"/>
        <w:gridCol w:w="2600"/>
        <w:gridCol w:w="2600"/>
        <w:gridCol w:w="2600"/>
      </w:tblGrid>
      <w:tr>
        <w:trPr>
          <w:tblHeader w:val="true"/>
        </w:trPr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Workstream</w:t>
            </w:r>
          </w:p>
        </w:tc>
        <w:tc>
          <w:tcPr>
            <w:tcW w:w="2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Days 1-30</w:t>
            </w:r>
          </w:p>
        </w:tc>
        <w:tc>
          <w:tcPr>
            <w:tcW w:w="2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Days 31-60</w:t>
            </w:r>
          </w:p>
        </w:tc>
        <w:tc>
          <w:tcPr>
            <w:tcW w:w="26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Days 61-90</w:t>
            </w:r>
          </w:p>
        </w:tc>
      </w:tr>
      <w:tr>
        <w:tc>
          <w:tcPr>
            <w:tcW w:type="dxa" w:w="1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Core model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Define score factors, weights, and minimum viable financial-health rules.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Add cash-flow forecast, risk flags, and recommendation ranking.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Run test cases for variable income, debt pressure, and low emergency fund scenarios.</w:t>
            </w:r>
          </w:p>
        </w:tc>
      </w:tr>
      <w:tr>
        <w:tc>
          <w:tcPr>
            <w:tcW w:type="dxa" w:w="1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UX proof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Refine results screen around score, cash-flow runway, risk, and actions.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Add scenario controls and recommendation impact estimates.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User-test against wallet/tracker mental models and improve clarity.</w:t>
            </w:r>
          </w:p>
        </w:tc>
      </w:tr>
      <w:tr>
        <w:tc>
          <w:tcPr>
            <w:tcW w:type="dxa" w:w="1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Trust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Write privacy promise, consent language, and data retention rules.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Prototype PDF/CSV upload with local validation and deletion flow.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Publish privacy-first onboarding and trust FAQ.</w:t>
            </w:r>
          </w:p>
        </w:tc>
      </w:tr>
      <w:tr>
        <w:tc>
          <w:tcPr>
            <w:tcW w:type="dxa" w:w="15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B2B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Define API response schema and target partner jobs.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sandbox output examples for wallet, payroll, and HR benefits partners.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Prepare partner one-pager and pilot criteria.</w:t>
            </w:r>
          </w:p>
        </w:tc>
      </w:tr>
    </w:tbl>
    <w:p>
      <w:pPr>
        <w:pStyle w:val="Heading1"/>
      </w:pPr>
      <w:r>
        <w:t>Competitive Risks And Mitigations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Wallets can add basic financial dashboards. </w:t>
      </w:r>
      <w:r>
        <w:rPr>
          <w:rFonts w:ascii="Calibri" w:hAnsi="Calibri"/>
          <w:b w:val="0"/>
          <w:color w:val="000000"/>
        </w:rPr>
        <w:t>Mitigation: Build deeper forecast and recommendation logic that is portable across wallets, not tied to one payment history.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Trackers can add AI summaries. </w:t>
      </w:r>
      <w:r>
        <w:rPr>
          <w:rFonts w:ascii="Calibri" w:hAnsi="Calibri"/>
          <w:b w:val="0"/>
          <w:color w:val="000000"/>
        </w:rPr>
        <w:t>Mitigation: Make recommendations measurable and outcome-linked, not just narrative summaries of categories.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Investment apps can add readiness checks. </w:t>
      </w:r>
      <w:r>
        <w:rPr>
          <w:rFonts w:ascii="Calibri" w:hAnsi="Calibri"/>
          <w:b w:val="0"/>
          <w:color w:val="000000"/>
        </w:rPr>
        <w:t>Mitigation: Own the broader household cash-flow context: debt, emergency runway, income volatility, and goal tradeoffs.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MISA has strong trust and local credibility. </w:t>
      </w:r>
      <w:r>
        <w:rPr>
          <w:rFonts w:ascii="Calibri" w:hAnsi="Calibri"/>
          <w:b w:val="0"/>
          <w:color w:val="000000"/>
        </w:rPr>
        <w:t>Mitigation: Do not fight on bookkeeping depth. Differentiate on personal financial intelligence and consumer/B2B embedded use cases.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b/>
          <w:color w:val="000000"/>
        </w:rPr>
        <w:t xml:space="preserve">No-bank-login input can create friction. </w:t>
      </w:r>
      <w:r>
        <w:rPr>
          <w:rFonts w:ascii="Calibri" w:hAnsi="Calibri"/>
          <w:b w:val="0"/>
          <w:color w:val="000000"/>
        </w:rPr>
        <w:t>Mitigation: Use progressive input: start with rough ranges, improve accuracy with PDF/CSV upload, and make optional connections user-controlled later.</w:t>
      </w:r>
    </w:p>
    <w:p>
      <w:pPr>
        <w:pStyle w:val="Heading1"/>
      </w:pPr>
      <w:r>
        <w:t>Appendix: Sources Reviewed</w:t>
      </w:r>
    </w:p>
    <w:p>
      <w:pPr>
        <w:spacing w:before="0" w:after="120" w:line="264" w:lineRule="auto"/>
      </w:pPr>
      <w:r>
        <w:rPr>
          <w:rFonts w:ascii="Calibri" w:hAnsi="Calibri"/>
          <w:color w:val="000000"/>
        </w:rPr>
        <w:t>The brief uses FinSight's local product pitch and public competitor materials reviewed on July 9, 2026. Competitor observations are summarized, not quoted.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/>
          <w:color w:val="000000"/>
        </w:rPr>
        <w:t xml:space="preserve">FinSight local product pitch: </w:t>
      </w:r>
      <w:r>
        <w:rPr>
          <w:rFonts w:ascii="Calibri" w:hAnsi="Calibri"/>
          <w:color w:val="1F4D78"/>
        </w:rPr>
        <w:t>D:/FinSight/PRODUCT_PITCH_COPY_READY_EN.txt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/>
          <w:color w:val="000000"/>
        </w:rPr>
        <w:t xml:space="preserve">ZaloPay bill payment page: </w:t>
      </w:r>
      <w:r>
        <w:rPr>
          <w:rFonts w:ascii="Calibri" w:hAnsi="Calibri"/>
          <w:color w:val="1F4D78"/>
        </w:rPr>
        <w:t>https://zalopay.vn/dich-vu/dien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/>
          <w:color w:val="000000"/>
        </w:rPr>
        <w:t xml:space="preserve">ZaloPay wallet transfer page: </w:t>
      </w:r>
      <w:r>
        <w:rPr>
          <w:rFonts w:ascii="Calibri" w:hAnsi="Calibri"/>
          <w:color w:val="1F4D78"/>
        </w:rPr>
        <w:t>https://zalopay.vn/dich-vu/chuyen-tien-vao-vi-zalopay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/>
          <w:color w:val="000000"/>
        </w:rPr>
        <w:t xml:space="preserve">MoMo homepage: </w:t>
      </w:r>
      <w:r>
        <w:rPr>
          <w:rFonts w:ascii="Calibri" w:hAnsi="Calibri"/>
          <w:color w:val="1F4D78"/>
        </w:rPr>
        <w:t>https://www.momo.vn/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/>
          <w:color w:val="000000"/>
        </w:rPr>
        <w:t xml:space="preserve">MoMo transfer page: </w:t>
      </w:r>
      <w:r>
        <w:rPr>
          <w:rFonts w:ascii="Calibri" w:hAnsi="Calibri"/>
          <w:color w:val="1F4D78"/>
        </w:rPr>
        <w:t>https://www.momo.vn/chuyen-tien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/>
          <w:color w:val="000000"/>
        </w:rPr>
        <w:t xml:space="preserve">Finhay homepage: </w:t>
      </w:r>
      <w:r>
        <w:rPr>
          <w:rFonts w:ascii="Calibri" w:hAnsi="Calibri"/>
          <w:color w:val="1F4D78"/>
        </w:rPr>
        <w:t>https://www.finhay.com.vn/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/>
          <w:color w:val="000000"/>
        </w:rPr>
        <w:t xml:space="preserve">Money Lover homepage: </w:t>
      </w:r>
      <w:r>
        <w:rPr>
          <w:rFonts w:ascii="Calibri" w:hAnsi="Calibri"/>
          <w:color w:val="1F4D78"/>
        </w:rPr>
        <w:t>https://moneylover.me/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/>
          <w:color w:val="000000"/>
        </w:rPr>
        <w:t xml:space="preserve">Money Lover Google Play listing: </w:t>
      </w:r>
      <w:r>
        <w:rPr>
          <w:rFonts w:ascii="Calibri" w:hAnsi="Calibri"/>
          <w:color w:val="1F4D78"/>
        </w:rPr>
        <w:t>https://play.google.com/store/apps/details?hl=en_US&amp;id=com.bookmark.money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/>
          <w:color w:val="000000"/>
        </w:rPr>
        <w:t xml:space="preserve">Money Lover support guide: </w:t>
      </w:r>
      <w:r>
        <w:rPr>
          <w:rFonts w:ascii="Calibri" w:hAnsi="Calibri"/>
          <w:color w:val="1F4D78"/>
        </w:rPr>
        <w:t>https://moneylover.zendesk.com/hc/en-us/articles/37017675637401-Getting-started-with-MoneyLover-a-short-guide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/>
          <w:color w:val="000000"/>
        </w:rPr>
        <w:t xml:space="preserve">MISA Money Keeper homepage: </w:t>
      </w:r>
      <w:r>
        <w:rPr>
          <w:rFonts w:ascii="Calibri" w:hAnsi="Calibri"/>
          <w:color w:val="1F4D78"/>
        </w:rPr>
        <w:t>https://moneykeeper.misa.vn/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/>
          <w:color w:val="000000"/>
        </w:rPr>
        <w:t xml:space="preserve">MISA Money Keeper Google Play listing: </w:t>
      </w:r>
      <w:r>
        <w:rPr>
          <w:rFonts w:ascii="Calibri" w:hAnsi="Calibri"/>
          <w:color w:val="1F4D78"/>
        </w:rPr>
        <w:t>https://play.google.com/store/apps/details?hl=en_US&amp;id=vn.com.misa.sothuchi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/>
          <w:color w:val="000000"/>
        </w:rPr>
        <w:t xml:space="preserve">MISA AMIS platform page: </w:t>
      </w:r>
      <w:r>
        <w:rPr>
          <w:rFonts w:ascii="Calibri" w:hAnsi="Calibri"/>
          <w:color w:val="1F4D78"/>
        </w:rPr>
        <w:t>https://amis.misa.vn/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  <w:b/>
          <w:color w:val="000000"/>
        </w:rPr>
        <w:t xml:space="preserve">AMIS Accounting Google Play listing: </w:t>
      </w:r>
      <w:r>
        <w:rPr>
          <w:rFonts w:ascii="Calibri" w:hAnsi="Calibri"/>
          <w:color w:val="1F4D78"/>
        </w:rPr>
        <w:t>https://play.google.com/store/apps/details?hl=en_US&amp;id=vn.com.misa.smecloud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666666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666666"/>
        <w:sz w:val="18"/>
      </w:rPr>
      <w:t>FinSight | Competitive Advantage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FinSight Competitive Advantage Brief</dc:title>
  <dc:subject>Competitive advantage against ZaloPay, MoMo, Finhay, Money Lover, and MISA</dc:subject>
  <dc:creator>OpenAI Codex</dc:creator>
  <cp:keywords>FinSight, competitive advantage, fintech, personal finance, Vietnam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