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trúc bảo đảm theo phạm vi bằng chứng cho việc tổng hợp hợp đồng tài chính Marlowe từ ngôn ngữ tự nhiên</w:t>
      </w:r>
    </w:p>
    <w:p>
      <w:r>
        <w:t xml:space="preserve"> </w:t>
      </w:r>
    </w:p>
    <w:p>
      <w:pPr>
        <w:pStyle w:val="Heading1"/>
      </w:pPr>
      <w:r>
        <w:t>Tóm tắt</w:t>
      </w:r>
    </w:p>
    <w:p>
      <w:r>
        <w:t>Mô hình ngôn ngữ lớn có thể tạo ra một hợp đồng tài chính hợp lệ về cấu trúc nhưng trái với ý định của người dùng về khoản thanh toán, thời hạn hoặc điều kiện rẽ nhánh. Bài báo trình bày một kiến trúc và nguyên mẫu tổng hợp ứng viên Marlowe Core V1, trong đó việc diễn giải yêu cầu, ý định đã được duyệt, việc xây dựng hợp đồng và bằng chứng về hành vi được tách biệt. Mỗi phát hiện được gắn với ứng viên, phiên bản ý định, phương pháp kiểm tra và phạm vi đã đánh giá. Kiến trúc phân biệt một giai đoạn chạy thành công với kết luận ngữ nghĩa thuận lợi và với quyền đưa ra tuyên bố rộng hơn. Chúng tôi mô tả luồng điều khiển đã triển khai, gồm làm rõ yêu cầu, sinh lại có giới hạn, kỳ vọng tham chiếu độc lập, khám phá có giới hạn và các kết quả chưa thể kết luận. Chúng tôi cũng đặc tả chính sách tổng hợp bằng chứng như một mục tiêu thiết kế, không xem các cấu trúc siêu dữ liệu hiện có là bằng chứng cho việc chính sách đã được áp dụng trên mọi đường đi. Ví dụ hợp đồng ký quỹ cho thấy việc không có cảnh báo và các trace chạy thành công không đủ chứng minh toàn bộ ý định được bảo toàn. Một báo cáo nội bộ gắn nhãn mô phỏng ghi nhận bốn trong hai mươi ca dự kiến đã tới bước phân tích kích thước giao dịch cục bộ, một ca bị giới hạn bởi nhà cung cấp và mười lăm ca chưa được thử. Các quan sát này chỉ cho thấy một phần pipeline có thể chạy tới các bước sau, không đo được mức giảm lỗi ngữ nghĩa. Bài báo xác định giao thức đánh giá độc lập với quyết định chấp nhận rõ ràng, mẫu số của tỷ lệ chấp nhận sai, độ bao phủ, ngân sách đối sánh và các scenario chấm cuối được giữ kín. Đóng góp là một kiến trúc bảo đảm có giới hạn và bản mô tả triển khai có thể kiểm tra; hiệu quả so sánh vẫn chưa được đo.</w:t>
      </w:r>
    </w:p>
    <w:p>
      <w:r>
        <w:t>Từ khóa: Marlowe; tổng hợp chương trình từ ngôn ngữ tự nhiên; bảo toàn ý định; ảo giác ngữ nghĩa; bằng chứng có phạm vi; hợp đồng thông minh</w:t>
      </w:r>
    </w:p>
    <w:p>
      <w:pPr>
        <w:pStyle w:val="Heading1"/>
      </w:pPr>
      <w:r>
        <w:t>1 Giới thiệu</w:t>
      </w:r>
    </w:p>
    <w:p>
      <w:r>
        <w:t>Việc tổng hợp hợp đồng tài chính có ít nhất hai điểm có thể sai về ngữ nghĩa. Mô hình có thể diễn giải sai yêu cầu, hoặc mã hóa sai một cách diễn giải đã được chấp nhận. Vì vậy, một hợp đồng phân tích cú pháp được và chạy được vẫn có thể chuyển đúng số tiền cho sai người nhận, dùng định danh token thiếu căn cứ hoặc bỏ qua nhánh hoàn tiền. Một bộ kiểm tra nhắm tới thuộc tính khác vẫn có thể cho hợp đồng đó đạt. Vấn đề nghiên cứu là xác định chính xác nội dung nào đã được kiểm tra và ngăn bằng chứng ấy bị trình bày thành một kết luận mạnh hơn.</w:t>
      </w:r>
    </w:p>
    <w:p>
      <w:r>
        <w:t>Trong bài này, chúng tôi dùng thuật ngữ ảo giác ngữ nghĩa theo nghĩa thao tác: những cam kết tài chính được đưa vào khi tổng hợp nhưng không có căn cứ hoặc mâu thuẫn với yêu cầu. Chúng có thể là tác nhân, tài sản, số tiền, thời hạn hoặc kết quả của nhánh được tự ý thêm vào. Không phải mọi lỗi sinh đều là ảo giác: cú pháp sai, hạ tầng không sẵn sàng và yêu cầu chưa đủ rõ là các loại kết quả riêng. Phân biệt này quan trọng vì một biện pháp có thể tăng tính hợp lệ về cấu trúc mà không cải thiện ý nghĩa tài chính.</w:t>
      </w:r>
    </w:p>
    <w:p>
      <w:r>
        <w:t>Đích tổng hợp của chúng tôi là Marlowe Core V1, một ngôn ngữ chuyên biệt cho hợp đồng tài chính. Ngữ nghĩa và các công cụ phân tích hiện có của Marlowe tạo nền tảng hữu ích để kiểm tra [2], nhưng chúng không quyết định người dùng thực sự muốn cách diễn giải nào. Vì vậy, chúng tôi biểu diễn cách diễn giải đã chấp nhận thành một artifact riêng và giữ ranh giới giữa việc chấp nhận artifact đó, quan sát hành vi của ứng viên và các kiểm tra vận hành tiếp theo.</w:t>
      </w:r>
    </w:p>
    <w:p>
      <w:r>
        <w:t>Bài báo có ba đóng góp. Thứ nhất, chúng tôi đặc tả hai ranh giới chuyển dịch và chính sách sử dụng bằng chứng theo phạm vi, với quy tắc không tự nâng cấp kết luận. Thứ hai, chúng tôi mô tả tuyến xử lý đã triển khai, kể cả trường hợp một scenario tham chiếu đạt nhưng mức khớp ý định vẫn chưa thể kết luận. Thứ ba, chúng tôi xác định giao thức tách việc phát hiện ứng viên sai khỏi chất lượng sinh ứng viên. Đây là các đóng góp về kiến trúc và phương pháp, không phải bằng chứng về một hệ thống chứng minh mới hay ưu thế đã được đo.</w:t>
      </w:r>
    </w:p>
    <w:p>
      <w:pPr>
        <w:pStyle w:val="Heading1"/>
      </w:pPr>
      <w:r>
        <w:t>2 Bối cảnh và công trình liên quan</w:t>
      </w:r>
    </w:p>
    <w:p>
      <w:r>
        <w:t>Marlowe biểu diễn hành vi tài chính bằng một ngôn ngữ hợp đồng hạn chế, với tài khoản, thanh toán, lựa chọn, tiền gửi và thời hạn. Ngữ nghĩa có thể thực thi của nó hỗ trợ mô phỏng; công trình đã công bố chứng minh một số thuộc tính ở mức ngôn ngữ bằng Isabelle và phát triển các phép phân tích chuyên biệt [2]. Những nền tảng này có giá trị vì hành vi ứng viên có thể được đánh giá theo ngữ nghĩa tài chính, thay vì suy ra từ lời giải thích của mô hình. Nguyên mẫu hiện tại gọi công cụ tham chiếu và SMT; nó không gọi Isabelle để chứng minh từng hợp đồng được sinh.</w:t>
      </w:r>
    </w:p>
    <w:p>
      <w:r>
        <w:t>Thuộc tính của ngôn ngữ, thuộc tính của ứng viên và điều kiện triển khai thuộc các tầng khác nhau. Một định lý ngữ nghĩa không xác định người nhận tiền mà người dùng mong muốn. Phân tích cảnh báo của ứng viên không xác thực việc phê duyệt. Một lần chạy tham chiếu thành công chỉ ghi nhận hành vi đối với đầu vào và trạng thái ban đầu được cung cấp; hành vi trên sổ cái còn phụ thuộc các giả định về triển khai và môi trường [2]. Kiến trúc giữ riêng các tầng này.</w:t>
      </w:r>
    </w:p>
    <w:p>
      <w:r>
        <w:t>FSM-SCG dùng biểu diễn trung gian hữu hạn trạng thái để định hướng việc sinh Solidity, rồi tinh chỉnh bằng phản hồi biên dịch và kiểm tra bảo mật [1]. LeVer kết hợp sinh, kiểm chứng, tấn công và sửa, trong đó có hình thức hóa dựa trên Lean cho Solidity [3]. Các hệ thống này đã cho thấy biểu diễn trung gian và phản hồi từ kiểm chứng hữu ích đối với việc tổng hợp hợp đồng. Không nên so sánh trực tiếp bằng số liệu các kết quả của chúng với quan sát Marlowe ở đây, vì ngôn ngữ, bộ dữ liệu, thuộc tính và giao thức khác nhau.</w:t>
      </w:r>
    </w:p>
    <w:p>
      <w:r>
        <w:t>Khác biệt mà bài báo theo đuổi nằm ở nguồn gốc của ý định tài chính đã được duyệt và điều kiện để sử dụng các loại bằng chứng khác nhau. Chọn Marlowe cho phép một số phép kiểm tra dùng trực tiếp ngữ nghĩa tham chiếu của nó. Lựa chọn này chuyển vị trí, chứ không xóa bỏ, các nghĩa vụ về độ tin cậy: cách diễn giải yêu cầu, chất lượng scenario, sự tương ứng giữa triển khai và ngữ nghĩa, cũng như thẩm quyền duyệt vẫn cần được xem xét. Chúng tôi không nhận nguồn gốc bằng chứng hoặc biểu diễn trung gian tự nó là mới. Giả thuyết nghiên cứu là một chính sách tổng hợp tường minh sẽ làm quyết định chấp nhận chính xác hơn, đổi lại độ bao phủ và công sức duyệt có thể giảm hoặc tăng theo cách đo được. Giả thuyết này cần được kiểm tra bằng nghiên cứu ở Mục 7.</w:t>
      </w:r>
    </w:p>
    <w:p>
      <w:pPr/>
      <w:r>
        <w:t>Cách định vị này cũng dựa trên nghiên cứu và tiêu chuẩn sẵn có về nguồn gốc dữ liệu và bảo đảm. W3C PROV-O biểu diễn quan hệ giữa thực thể, hoạt động và tác nhân [7]; Structured Assurance Case Metamodel của OMG tổ chức tuyên bố, lập luận và bằng chứng [8]. Do đó, khả năng truy vết và bản ghi bằng chứng tự chúng không tạo thành tính mới. Điểm chuyên biệt được đề xuất ở đây là quyết định về tính hợp lệ của bằng chứng cho tuyên bố liên quan đến ý định tài chính: một quan sát tham chiếu, kết luận SMT, quyết định của người duyệt hay kết quả kích thước giao dịch chỉ hỗ trợ tuyên bố khi định danh ứng viên, phiên bản ý định, giả định và phạm vi hành vi tương ứng khớp nhau. Nguyên mẫu không tuyên bố tuân thủ PROV-O hoặc SACM.</w:t>
      </w:r>
    </w:p>
    <w:p>
      <w:pPr>
        <w:pStyle w:val="Heading1"/>
      </w:pPr>
      <w:r>
        <w:t>3 Định nghĩa bài toán và phạm vi bảo đảm</w:t>
      </w:r>
    </w:p>
    <w:p>
      <w:pPr>
        <w:pStyle w:val="Heading2"/>
      </w:pPr>
      <w:r>
        <w:t>3.1 Hai ranh giới chuyển dịch</w:t>
      </w:r>
    </w:p>
    <w:p>
      <w:r>
        <w:t>Lịch sử yêu cầu gồm yêu cầu ban đầu và các thông điệp làm rõ có thể truy nguồn. Giai đoạn trích xuất đề xuất các claim và phạm vi hành vi. Người duyệt có thể tạo một bản chốt ý định được chấp nhận; từ đó hệ thống sinh ứng viên hợp đồng. Ranh giới thứ nhất là từ lịch sử yêu cầu sang ý định được chấp nhận; ranh giới thứ hai là từ ý định được chấp nhận sang hành vi của ứng viên. Sự chấp nhận ở ranh giới thứ nhất ghi nhận một quyết định duyệt, không phải tính đúng khách quan của cách diễn giải.</w:t>
      </w:r>
    </w:p>
    <w:p>
      <w:r>
        <w:t>Lỗi từ yêu cầu sang ý định xuất hiện khi bản chốt mâu thuẫn với lịch sử yêu cầu hiện có hoặc tự giải quyết một điểm mơ hồ quan trọng mà không có thông tin làm rõ tương ứng. Lỗi từ ý định sang hợp đồng xuất hiện khi hành vi ứng viên trái với bản chốt đã chấp nhận trong một phạm vi xác định. Hai lỗi phải được chấm riêng: ứng viên có thể hiện thực trung thành một cách diễn giải vốn đã sai. Đánh giá đầu cuối còn phải đối chiếu cách diễn giải được chấp nhận với yêu cầu do nhóm độc lập phân xử.</w:t>
      </w:r>
    </w:p>
    <w:p>
      <w:r>
        <w:t>Trong nghiên cứu này, phạm vi xác định các tác nhân, tài sản, số tiền, điều kiện thời gian, nhánh, trạng thái ban đầu và đầu vào được phép liên quan. Một tập scenario hữu hạn chỉ là phạm vi đã đánh giá, không tự động là toàn bộ miền đầu vào. Kết quả chưa thể kết luận có nghĩa phương pháp hoặc bằng chứng hiện có không thể quyết định claim được nêu; đó không phải vi phạm đã xác nhận, cũng không phải phép kiểm tra thành công.</w:t>
      </w:r>
    </w:p>
    <w:p>
      <w:pPr>
        <w:keepNext/>
        <w:jc w:val="center"/>
      </w:pPr>
      <w:r>
        <w:drawing>
          <wp:inline xmlns:a="http://schemas.openxmlformats.org/drawingml/2006/main" xmlns:pic="http://schemas.openxmlformats.org/drawingml/2006/picture">
            <wp:extent cx="6263640" cy="1545031"/>
            <wp:docPr id="1" name="Picture 1"/>
            <wp:cNvGraphicFramePr>
              <a:graphicFrameLocks noChangeAspect="1"/>
            </wp:cNvGraphicFramePr>
            <a:graphic>
              <a:graphicData uri="http://schemas.openxmlformats.org/drawingml/2006/picture">
                <pic:pic>
                  <pic:nvPicPr>
                    <pic:cNvPr id="0" name="paper-boundaries.png"/>
                    <pic:cNvPicPr/>
                  </pic:nvPicPr>
                  <pic:blipFill>
                    <a:blip r:embed="rId9"/>
                    <a:stretch>
                      <a:fillRect/>
                    </a:stretch>
                  </pic:blipFill>
                  <pic:spPr>
                    <a:xfrm>
                      <a:off x="0" y="0"/>
                      <a:ext cx="6263640" cy="1545031"/>
                    </a:xfrm>
                    <a:prstGeom prst="rect"/>
                  </pic:spPr>
                </pic:pic>
              </a:graphicData>
            </a:graphic>
          </wp:inline>
        </w:drawing>
      </w:r>
    </w:p>
    <w:p>
      <w:pPr>
        <w:pStyle w:val="Caption"/>
      </w:pPr>
      <w:r>
        <w:rPr>
          <w:b/>
        </w:rPr>
        <w:t>Hình 1. Hai ranh giới chuyển dịch. Việc duyệt ghi nhận một cách diễn giải; vẫn cần phân xử độc lập để đánh giá độ trung thực của cách diễn giải đó.</w:t>
      </w:r>
    </w:p>
    <w:p>
      <w:pPr>
        <w:pStyle w:val="Heading2"/>
      </w:pPr>
      <w:r>
        <w:t>3.2 Mô hình đe dọa và những nội dung nằm ngoài phạm vi</w:t>
      </w:r>
    </w:p>
    <w:p>
      <w:r>
        <w:t>Mô hình có thể tạo thông tin không có căn cứ, sinh cấu trúc sai, nhận nhầm một nhánh hoặc ánh xạ sai claim tới vị trí trong AST. Người duyệt có thể hiểu sai yêu cầu hoặc chấp nhận một cách diễn giải chưa đầy đủ. Công cụ có thể không sẵn sàng, hết thời gian chờ hoặc hoạt động trên miền được khai báo chưa đủ rõ. Bằng chứng lưu lại có thể trở nên cũ khi hợp đồng hay ý định thay đổi. Đây là các kiểu lỗi chính mà kiến trúc hướng tới.</w:t>
      </w:r>
    </w:p>
    <w:p>
      <w:r>
        <w:t>Nguyên mẫu không xác lập danh tính người duyệt bằng xác thực bên ngoài, không bảo vệ khóa ký, không bảo đảm tính toàn vẹn của một công cụ đã bị xâm phạm và không chứng minh các sự kiện ngoài chuỗi bất kỳ. Câu trả lời đóng vai và tài sản tổng hợp là giả định mô phỏng; chúng không chứng minh khách hàng thật đã đồng ý hoặc tài sản thật có nguồn gốc xác thực. Triển khai lên testnet công khai và cấp quyền sử dụng trong môi trường sản xuất nằm ngoài tuyến đã triển khai.</w:t>
      </w:r>
    </w:p>
    <w:p>
      <w:pPr>
        <w:pStyle w:val="Heading2"/>
      </w:pPr>
      <w:r>
        <w:t>3.3 Tính hợp lệ của bằng chứng như một chính sách thiết kế</w:t>
      </w:r>
    </w:p>
    <w:p>
      <w:r>
        <w:t>Một bản ghi bằng chứng cần xác định artifact là đối tượng kiểm tra, phiên bản ý định được chấp nhận nếu liên quan, công cụ và phiên bản của công cụ, thuộc tính, phạm vi đã đánh giá, các giả định, kết luận và artifact hỗ trợ. Chỉ có thể sử dụng bằng chứng cho một kết luận khi các định danh khớp với ứng viên hiện tại và bằng chứng bao phủ đúng nội dung kết luận. Bằng chứng bổ sung có thể mở rộng tập quan sát được ghi nhận, nhưng không âm thầm chuyển một claim hữu hạn thành claim cho mọi trường hợp.</w:t>
      </w:r>
    </w:p>
    <w:p>
      <w:r>
        <w:t>Chúng tôi đặt ra năm nghĩa vụ cho chính sách. Ràng buộc định danh ngăn bằng chứng của ứng viên này xác nhận ứng viên khác. Ràng buộc ý định yêu cầu duyệt lại và kiểm tra tiếp sau khi ý định thay đổi về nghĩa. Bảo toàn phạm vi ngăn kết quả của một trace trở thành bảo đảm cho mọi đầu vào. Tách kết luận ngăn việc chạy xong một giai đoạn, thiếu bằng chứng hoặc không có finding bị xem là thành công về ngữ nghĩa. Tách thẩm quyền ngăn phát hiện kỹ thuật trở thành phê duyệt đã xác thực hoặc quyền triển khai.</w:t>
      </w:r>
    </w:p>
    <w:p>
      <w:r>
        <w:t>Các nghĩa vụ trên là một hợp đồng tổng hợp bằng chứng được đề xuất, không phải định lý về phần mềm đã triển khai. Repository có định danh artifact, tham chiếu bằng chứng, lược đồ claim có phạm vi, kết quả giai đoạn và một số kiểm tra cục bộ [4]. Tuy nhiên, sự tồn tại của các cấu trúc này không chứng minh mọi đường đi đều qua một bộ kiểm tra tổng hợp thống nhất. Cần kiểm toán việc áp dụng chính sách và thử các trường hợp phủ định trước khi khẳng định không thể nâng cấp kết luận sai phạm vi.</w:t>
      </w:r>
    </w:p>
    <w:p>
      <w:pPr/>
      <w:r>
        <w:t>Về mặt vận hành, một bằng chứng chỉ hợp lệ cho claim dự kiến nếu định danh ứng viên và định danh ý định liên quan khớp nhau, phương pháp kiểm tra đúng thuộc tính mà claim đề cập, các giả định còn đúng và phạm vi đã đánh giá bao phủ chính xác claim được báo cáo. Hết thời gian chờ, thiếu bản ghi hoặc kết luận chưa rõ không thể thỏa một bước kiểm tra bắt buộc. Nhiều scenario hữu hạn đạt sẽ mở rộng tập quan sát, nhưng không đổi lượng từ của claim thành mọi giao dịch có thể có. Khi ứng viên được sinh lại, artifact mới phải được kiểm tra mới, trừ khi một quy tắc tái sử dụng được biện minh riêng chứng minh bằng chứng cũ vẫn áp dụng. Đây là chính sách mục tiêu; Phụ lục A liệt kê các phép thử cần thiết để xác lập việc áp dụng.</w:t>
      </w:r>
    </w:p>
    <w:p>
      <w:pPr>
        <w:pStyle w:val="Heading1"/>
      </w:pPr>
      <w:r>
        <w:t>4 Kiến trúc đã triển khai và luồng điều khiển</w:t>
      </w:r>
    </w:p>
    <w:p>
      <w:r>
        <w:t>Hình 2 tóm tắt tuyến xử lý. Các tiểu mục sau phân biệt hành vi đã triển khai với chính sách tổng hợp được đề xuất ở Mục 3.</w:t>
      </w:r>
    </w:p>
    <w:p>
      <w:pPr>
        <w:keepNext/>
        <w:jc w:val="center"/>
      </w:pPr>
      <w:r>
        <w:drawing>
          <wp:inline xmlns:a="http://schemas.openxmlformats.org/drawingml/2006/main" xmlns:pic="http://schemas.openxmlformats.org/drawingml/2006/picture">
            <wp:extent cx="6263640" cy="6221882"/>
            <wp:docPr id="2" name="Picture 2"/>
            <wp:cNvGraphicFramePr>
              <a:graphicFrameLocks noChangeAspect="1"/>
            </wp:cNvGraphicFramePr>
            <a:graphic>
              <a:graphicData uri="http://schemas.openxmlformats.org/drawingml/2006/picture">
                <pic:pic>
                  <pic:nvPicPr>
                    <pic:cNvPr id="0" name="paper-pipeline.png"/>
                    <pic:cNvPicPr/>
                  </pic:nvPicPr>
                  <pic:blipFill>
                    <a:blip r:embed="rId10"/>
                    <a:stretch>
                      <a:fillRect/>
                    </a:stretch>
                  </pic:blipFill>
                  <pic:spPr>
                    <a:xfrm>
                      <a:off x="0" y="0"/>
                      <a:ext cx="6263640" cy="6221882"/>
                    </a:xfrm>
                    <a:prstGeom prst="rect"/>
                  </pic:spPr>
                </pic:pic>
              </a:graphicData>
            </a:graphic>
          </wp:inline>
        </w:drawing>
      </w:r>
    </w:p>
    <w:p>
      <w:pPr>
        <w:pStyle w:val="Caption"/>
      </w:pPr>
      <w:r>
        <w:rPr>
          <w:b/>
        </w:rPr>
        <w:t>Hình 2. Tuyến đã triển khai và các nhánh chính. Đường đi thuận lợi không xóa giới hạn phạm vi. Scenario tham chiếu đạt vẫn có thể đi cùng mức khớp ý định chưa kết luận; các giai đoạn tùy chọn hoặc chưa rõ giữ nguyên trạng thái riêng.</w:t>
      </w:r>
    </w:p>
    <w:p>
      <w:pPr>
        <w:pStyle w:val="Heading2"/>
      </w:pPr>
      <w:r>
        <w:t>4.1 Trích xuất yêu cầu và duyệt</w:t>
      </w:r>
    </w:p>
    <w:p>
      <w:r>
        <w:t>Tuyến CLI được hỗ trợ mặc định dùng Stage 2B semantic-core V3, đồng thời có tùy chọn V2. Mô hình tạo các claim có cấu trúc, đoạn văn bản nguồn, phạm vi hành vi, nhu cầu làm rõ và thông tin xử lý. Phép chiếu theo quy tắc xác định tạo ra IntentSpec. Gắn nguồn giúp kiểm tra lại cách diễn giải, nhưng không chứng nhận văn bản được dẫn thực sự suy ra claim đó.</w:t>
      </w:r>
    </w:p>
    <w:p>
      <w:r>
        <w:t>Nếu còn quyết định quan trọng chưa giải quyết, câu trả lời làm rõ được nối vào lịch sử yêu cầu và việc trích xuất được lặp lại. Hệ thống cũng có thể dừng vì yêu cầu không được hỗ trợ, người dùng chưa chấp nhận cách diễn giải, nhà cung cấp gặp lỗi hoặc đã tới giới hạn. Stage 2C ghi nhận việc chấp nhận tường minh đúng bản ý định được đề xuất. Mã người duyệt cục bộ và xác nhận chỉ là bằng chứng của quy trình duyệt đã cấu hình, không phải xác minh danh tính độc lập.</w:t>
      </w:r>
    </w:p>
    <w:p>
      <w:pPr>
        <w:pStyle w:val="Heading2"/>
      </w:pPr>
      <w:r>
        <w:t>4.2 Xây dựng và kiểm tra ứng viên</w:t>
      </w:r>
    </w:p>
    <w:p>
      <w:r>
        <w:t>Sau khi ý định được chấp nhận, LLM sinh một ứng viên AST Marlowe Core V1. Giai đoạn có tên compile trong mã nguồn là một phần của việc xây dựng ứng viên và kiểm tra cấu trúc; tên này không có nghĩa đây là trình biên dịch từ ngôn ngữ tự nhiên đã được chứng minh đúng. Kiểm tra cấu trúc, rà soát đồ thị và bộ phân tích SMT cố định cung cấp các chẩn đoán khác nhau. Lỗi sinh hoặc phân tích có thể sửa được sẽ kích hoạt việc sinh lại có giới hạn mà vẫn giữ ý định đã chấp nhận. Kết quả SMT không khả dụng hoặc chưa thể kết luận sẽ chặn tuyến này, thay vì tạo ra một kết luận ngữ nghĩa thuận lợi.</w:t>
      </w:r>
    </w:p>
    <w:p>
      <w:r>
        <w:t>Bước đối chiếu tham chiếu nhận một kỳ vọng được duyệt riêng và gắn với ý định đã chấp nhận. Nó thực thi các giao dịch được cung cấp theo ngữ nghĩa tham chiếu cố định và so sánh các quan sát được chỉ định, như khoản thanh toán, cảnh báo, trạng thái, trạng thái cuối và phần hợp đồng còn lại. Đầu vào lựa chọn trừu tượng phải gắn được với đúng một lựa chọn đang khả dụng; nếu việc gắn còn mơ hồ, kết quả vẫn chưa thể kết luận. Đường dẫn AST do mô hình cung cấp không đủ làm bằng chứng cho sự tương ứng ngữ nghĩa.</w:t>
      </w:r>
    </w:p>
    <w:p>
      <w:r>
        <w:t>Mức khớp ý định và kết quả đối chiếu tham chiếu là hai phán đoán riêng. Phần mềm có thể báo tham chiếu SATISFIED trong khi vẫn giữ giới hạn về mức khớp ý định INCONCLUSIVE. Khi đó các quan sát của scenario đã khớp, nhưng toàn bộ cách diễn giải chưa được chứng minh. Kết quả đối chiếu VIOLATED có thể kích hoạt sinh lại và kiểm tra lại. Tuyến xử lý không xem mọi kết quả chưa kết luận đều có thể sửa, và việc đến giai đoạn sau không xóa giới hạn của giai đoạn trước.</w:t>
      </w:r>
    </w:p>
    <w:p>
      <w:pPr>
        <w:pStyle w:val="Heading2"/>
      </w:pPr>
      <w:r>
        <w:t>4.3 Khám phá và bản ghi thuộc tính</w:t>
      </w:r>
    </w:p>
    <w:p>
      <w:r>
        <w:t>Khi có scenario đã duyệt, CLI suy ra một miền hành động đã khai báo và thực hiện khám phá tham chiếu có giới hạn. Cấu hình được xem xét sử dụng tối đa tám trace và giới hạn độ sâu bằng giá trị lớn hơn giữa hai và số giao dịch đã cung cấp [4]. Đây là giới hạn thực thi, không phải bằng chứng đã liệt kê mọi hành vi liên quan. Giao dịch thất bại không làm trạng thái mô phỏng tiến lên. NoWarningsOracle được cấu hình đánh giá các trace quan sát; không có cảnh báo trên các trace đó không chứng minh tính đúng của nghiệp vụ.</w:t>
      </w:r>
    </w:p>
    <w:p>
      <w:r>
        <w:t>Bộ chuyển tiếp mang tên adversarial chọn các finding vi phạm oracle và ghi rõ không thực hiện thêm tìm kiếm nào. Không được mô tả nó là bộ sinh tấn công tự động đã hoạt động. Stage 5 tạo các ứng viên thuộc tính và duy trì lịch sử trạng thái trong bộ nhớ. Nội dung của chúng là đề xuất cần xem xét, được liên kết với finding, chứ chưa chắc là thuộc tính có thể thực thi. Việc xác nhận hoặc bác bỏ ở trạng thái cuối đòi mã bằng chứng và mã người duyệt; kiểm tra sự có mặt của các trường này không xác minh tính đúng hoặc khả năng áp dụng của bằng chứng được dẫn.</w:t>
      </w:r>
    </w:p>
    <w:p>
      <w:r>
        <w:t>Tuyến mặc định chưa có bộ kiểm tra property, chưa truy xuất bền vững qua nhiều tiến trình và chưa có pipeline huấn luyện. Tập ứng viên rỗng có thể khiến giai đoạn chạy thành công với NO_CANDIDATES trong khi validated vẫn là false. Ví dụ này cho thấy phải báo cáo riêng việc giai đoạn chạy thành công và mức bảo đảm đạt được.</w:t>
      </w:r>
    </w:p>
    <w:p>
      <w:pPr>
        <w:pStyle w:val="Heading2"/>
      </w:pPr>
      <w:r>
        <w:t>4.4 Điều kiện kết thúc và ranh giới vận hành</w:t>
      </w:r>
    </w:p>
    <w:p>
      <w:r>
        <w:t>Giới hạn mặc định của CLI gồm tám vòng lặp, bốn mươi lượt gọi mô hình thực và ngưỡng dừng trích xuất là hai trạng thái lặp lại; bước sinh cũng dừng khi phản hồi chẩn đoán lặp lại [4]. Các vòng lặp dùng các giới hạn này theo cách khác nhau, nên hồ sơ chạy phải lưu cấu hình thực tế và lý do dừng. Làm rõ yêu cầu, duyệt của người dùng, lỗi nhà cung cấp, hết ngân sách, lỗi lặp lại, sai khác ở tham chiếu và lỗi kích thước giao dịch là những nhánh tường minh, không phải các lần thành công bị thiếu.</w:t>
      </w:r>
    </w:p>
    <w:p>
      <w:r>
        <w:t>Một bộ chuyển tiếp tùy chọn phân tích kích thước giao dịch cục bộ bằng Marlowe CLI. Trạng thái thành công của nó chỉ có nghĩa phép phân tích kích thước đã cấu hình hoàn tất với thiết lập được cung cấp. Nó không có nghĩa giao dịch đã được ký, gửi, xác nhận, đáp ứng toàn bộ điều kiện của sổ cái hoặc sẵn sàng dùng trong sản xuất. Kết quả CLI cuối vẫn chỉ là ứng viên hoặc ứng viên đã qua kiểm tra kích thước, kèm nhãn riêng cho chế độ đóng vai. Các bước testnet và triển khai chưa được đánh giá.</w:t>
      </w:r>
    </w:p>
    <w:p>
      <w:pPr>
        <w:pStyle w:val="Caption"/>
        <w:keepNext/>
      </w:pPr>
      <w:r>
        <w:rPr>
          <w:b/>
        </w:rPr>
        <w:t>Bảng 1. Điều kiện của từng bước kiểm soát trong tuyến đã triển khai và mức kết luận tối đa mà mỗi bước có thể hỗ trợ.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032"/>
      </w:tblGrid>
      <w:tr>
        <w:trPr>
          <w:tblHeader/>
          <w:cantSplit/>
          <w:tblHeader w:val="true"/>
        </w:trPr>
        <w:tc>
          <w:tcPr>
            <w:tcW w:type="dxa" w:w="1642"/>
            <w:vAlign w:val="center"/>
            <w:shd w:fill="E8EDF2"/>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rPr>
              <w:t>Bước</w:t>
            </w:r>
          </w:p>
        </w:tc>
        <w:tc>
          <w:tcPr>
            <w:tcW w:type="dxa" w:w="3528"/>
            <w:vAlign w:val="center"/>
            <w:shd w:fill="E8EDF2"/>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rPr>
              <w:t>Điều kiện đạt hoặc được ghi nhận</w:t>
            </w:r>
          </w:p>
        </w:tc>
        <w:tc>
          <w:tcPr>
            <w:tcW w:type="dxa" w:w="4766"/>
            <w:vAlign w:val="center"/>
            <w:shd w:fill="E8EDF2"/>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rPr>
              <w:t>Nhánh lỗi hoặc chưa rõ và kết luận tối đa</w:t>
            </w:r>
          </w:p>
        </w:tc>
      </w:tr>
      <w:tr>
        <w:trPr>
          <w:cantSplit/>
        </w:trPr>
        <w:tc>
          <w:tcPr>
            <w:tcW w:type="dxa" w:w="16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Duyệt ý định</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Ứng viên IntentSpec chính xác được chấp nhận theo chính sách người duyệt cục bộ.</w:t>
            </w:r>
          </w:p>
        </w:tc>
        <w:tc>
          <w:tcPr>
            <w:tcW w:type="dxa" w:w="476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Chưa làm rõ, từ chối hoặc lỗi nhà cung cấp sẽ dừng. Việc chấp nhận chỉ ghi nhận cách diễn giải đã duyệt, không xác thực chân lý.</w:t>
            </w:r>
          </w:p>
        </w:tc>
      </w:tr>
      <w:tr>
        <w:trPr>
          <w:cantSplit/>
        </w:trPr>
        <w:tc>
          <w:tcPr>
            <w:tcW w:type="dxa" w:w="1642"/>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Cấu trúc Core V1</w:t>
            </w:r>
          </w:p>
        </w:tc>
        <w:tc>
          <w:tcPr>
            <w:tcW w:type="dxa" w:w="3528"/>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Ứng viên qua kiểm tra cấu trúc và rà soát đồ thị.</w:t>
            </w:r>
          </w:p>
        </w:tc>
        <w:tc>
          <w:tcPr>
            <w:tcW w:type="dxa" w:w="4766"/>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Cấu trúc sai hoặc hết lượt sửa vẫn là lỗi ứng viên. Đạt chỉ xác lập cấu trúc có thể phân tích.</w:t>
            </w:r>
          </w:p>
        </w:tc>
      </w:tr>
      <w:tr>
        <w:trPr>
          <w:cantSplit/>
        </w:trPr>
        <w:tc>
          <w:tcPr>
            <w:tcW w:type="dxa" w:w="16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SMT cố định</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Bộ phân tích trả kết luận cho thuộc tính cảnh báo đã mô hình hóa.</w:t>
            </w:r>
          </w:p>
        </w:tc>
        <w:tc>
          <w:tcPr>
            <w:tcW w:type="dxa" w:w="476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Không khả dụng hoặc chưa rõ sẽ chặn tuyến. Kết luận thuận lợi không xác lập mọi yêu cầu nghiệp vụ.</w:t>
            </w:r>
          </w:p>
        </w:tc>
      </w:tr>
      <w:tr>
        <w:trPr>
          <w:cantSplit/>
        </w:trPr>
        <w:tc>
          <w:tcPr>
            <w:tcW w:type="dxa" w:w="1642"/>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Tham chiếu và khớp ý định</w:t>
            </w:r>
          </w:p>
        </w:tc>
        <w:tc>
          <w:tcPr>
            <w:tcW w:type="dxa" w:w="3528"/>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Kỳ vọng đã cấp quyền được thực thi; các quan sát nêu tên khớp. Mức khớp ý định được báo riêng.</w:t>
            </w:r>
          </w:p>
        </w:tc>
        <w:tc>
          <w:tcPr>
            <w:tcW w:type="dxa" w:w="4766"/>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Sai khác có thể dẫn tới sinh lại; gắn lựa chọn mơ hồ hoặc quan sát không khả dụng vẫn chưa rõ. Kết quả khớp chỉ có phạm vi scenario, kể cả khi mức khớp ý định chưa rõ.</w:t>
            </w:r>
          </w:p>
        </w:tc>
      </w:tr>
      <w:tr>
        <w:trPr>
          <w:cantSplit/>
        </w:trPr>
        <w:tc>
          <w:tcPr>
            <w:tcW w:type="dxa" w:w="16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Khám phá có giới hạn</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Chạy theo giới hạn độ sâu và số trace đã khai báo; ghi finding của oracle được quan sát.</w:t>
            </w:r>
          </w:p>
        </w:tc>
        <w:tc>
          <w:tcPr>
            <w:tcW w:type="dxa" w:w="476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Giao dịch thất bại không làm trạng thái tiến lên. Không thấy cảnh báo không có nghĩa bao phủ hết hoặc đúng nghiệp vụ.</w:t>
            </w:r>
          </w:p>
        </w:tc>
      </w:tr>
      <w:tr>
        <w:trPr>
          <w:cantSplit/>
        </w:trPr>
        <w:tc>
          <w:tcPr>
            <w:tcW w:type="dxa" w:w="1642"/>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Registry Stage 5</w:t>
            </w:r>
          </w:p>
        </w:tc>
        <w:tc>
          <w:tcPr>
            <w:tcW w:type="dxa" w:w="3528"/>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Lưu ứng viên liên kết finding và lịch sử trạng thái trong bộ nhớ.</w:t>
            </w:r>
          </w:p>
        </w:tc>
        <w:tc>
          <w:tcPr>
            <w:tcW w:type="dxa" w:w="4766"/>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r>
              <w:rPr>
                <w:rFonts w:ascii="Times New Roman" w:hAnsi="Times New Roman"/>
                <w:b w:val="0"/>
              </w:rPr>
              <w:t>NO_CANDIDATES có thể đi cùng trạng thái giai đoạn thành công. Chưa có bộ kiểm tra mặc định hay truy xuất liên lượt chạy để xác nhận thuộc tính tái sử dụng.</w:t>
            </w:r>
          </w:p>
        </w:tc>
      </w:tr>
      <w:tr>
        <w:tc>
          <w:tcPr>
            <w:tcW w:type="dxa" w:w="1642"/>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Phân tích kích thước</w:t>
            </w:r>
          </w:p>
        </w:tc>
        <w:tc>
          <w:tcPr>
            <w:tcW w:type="dxa" w:w="3528"/>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Marlowe CLI hoàn tất kiểm tra kích thước cục bộ theo giới hạn cấu hình.</w:t>
            </w:r>
          </w:p>
        </w:tc>
        <w:tc>
          <w:tcPr>
            <w:tcW w:type="dxa" w:w="4766"/>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Lỗi hoặc không thực hiện không cấp phép sổ cái. Thành công chỉ hỗ trợ kiểm tra kích thước đã cấu hình.</w:t>
            </w:r>
          </w:p>
        </w:tc>
      </w:tr>
    </w:tbl>
    <w:p>
      <w:pPr>
        <w:spacing w:after="40"/>
      </w:pPr>
    </w:p>
    <w:p>
      <w:pPr>
        <w:pStyle w:val="Heading1"/>
      </w:pPr>
      <w:r>
        <w:t>5 Ví dụ xuyên suốt và phân tích lỗi</w:t>
      </w:r>
    </w:p>
    <w:p>
      <w:r>
        <w:t>Xét một yêu cầu ký quỹ minh họa: người mua nộp 100 ADA trước hạn nộp; một trọng tài có thể chuyển khoản ký quỹ cho người bán hoặc hoàn lại cho người mua trước một hạn quyết định muộn hơn; nếu không có quyết định, người mua được hoàn tiền; nếu không có khoản nộp, hợp đồng kết thúc mà không thanh toán. Đây là ví dụ giải thích, không phải kết quả thực nghiệm bổ sung. Trước khi tạo một trường hợp có thể chạy, bước duyệt phải xác định cụ thể thời hạn, danh tính, quyền sở hữu tài khoản, đơn vị và mã quyết định.</w:t>
      </w:r>
    </w:p>
    <w:p>
      <w:r>
        <w:t>Ý định được chấp nhận cần phân biệt tường minh bốn nhánh: giải ngân, hoàn tiền, hết hạn quyết định và không có khoản nộp. Các scenario độc lập phải chỉ rõ trạng thái ban đầu, khoảng thời gian giao dịch, đầu vào và các kết quả dự kiến có thể quan sát. Kiểm tra tại ranh giới thời hạn phải dùng quy tắc khoảng thời gian của ngữ nghĩa đã cố định, thay vì suy đoán từ chữ trước trong ngôn ngữ thông thường. Scenario có khoảng thời gian mơ hồ không thể xác lập rằng kiểm tra ranh giới đã đạt.</w:t>
      </w:r>
    </w:p>
    <w:p>
      <w:r>
        <w:t>Một ứng viên trả tiền cho người mua ở nhánh giải ngân vẫn có thể hợp lệ về cấu trúc và không nhất thiết tạo cảnh báo theo thuộc tính đã mô hình hóa. Một scenario tham chiếu kỳ vọng trả cho người bán sẽ phát hiện mâu thuẫn đó nếu nhánh được thực thi và kỳ vọng là đúng. Ngược lại, scenario chỉ thử nhánh giải ngân không nói gì về phần tiếp diễn sai ở nhánh hết hạn. Tài khoản hoàn tiền sai có thể không bị phát hiện cho tới khi nhánh hết hạn hoặc hành vi khi đóng hợp đồng được đánh giá. Vì vậy, phân tích cảnh báo và các scenario về kết quả nghiệp vụ hỗ trợ những claim khác nhau.</w:t>
      </w:r>
    </w:p>
    <w:p>
      <w:r>
        <w:t>Định danh tài sản không có căn cứ thuộc ranh giới thứ nhất nếu nó được đưa vào ý định đã chấp nhận mà không có bằng chứng. Nếu ý định đã ghi đúng ADA nhưng bước sinh thay bằng một biểu diễn token khác, lỗi thuộc ranh giới thứ hai. Phản hồi của bước sinh hiện phân biệt ADA gốc với một token chỉ có tên là ADA [4]. Cả đoạn văn bản nguồn lẫn kết quả kích thước giao dịch thuận lợi đều không thể biện minh cho một mã policy của tài sản được tự bịa ra.</w:t>
      </w:r>
    </w:p>
    <w:p>
      <w:r>
        <w:t>Báo cáo bằng chứng tương ứng cần nêu các scenario của nhánh nào đã khớp, phép kiểm tra ý định nào còn chưa rõ, giới hạn khám phá và phiên bản chính xác của ứng viên. Nếu ứng viên thay đổi sau một phản ví dụ, kết quả trace trước đó phải được chạy lại hoặc được biện minh tường minh cho việc tái sử dụng theo một chính sách đúng đắn. Ví dụ này làm rõ lý do cần các nghĩa vụ chính sách ở Mục 3, nhưng không giả định rằng nguyên mẫu hiện tại đã cưỡng chế chúng trên mọi đường đi.</w:t>
      </w:r>
    </w:p>
    <w:p>
      <w:pPr>
        <w:pStyle w:val="Caption"/>
      </w:pPr>
      <w:r>
        <w:rPr>
          <w:b/>
        </w:rPr>
        <w:t>Bảng 2. Các sai khác ký quỹ giả định và phép kiểm tra cần thiết để phát hiện. Các hàng là dự đoán cho ví dụ minh họa, không phải kết quả thử nghiệm đã quan sát.</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2045"/>
            <w:vAlign w:val="center"/>
            <w:tcBorders>
              <w:top w:val="single" w:sz="4" w:color="D9D9D9"/>
              <w:left w:val="single" w:sz="4" w:color="D9D9D9"/>
              <w:bottom w:val="single" w:sz="4" w:color="D9D9D9"/>
              <w:right w:val="single" w:sz="4" w:color="D9D9D9"/>
            </w:tcBorders>
            <w:shd w:fill="E8EDF2"/>
          </w:tcPr>
          <w:p>
            <w:r>
              <w:rPr>
                <w:rFonts w:ascii="Times New Roman" w:hAnsi="Times New Roman"/>
                <w:b/>
              </w:rPr>
              <w:t>Sai khác giả định</w:t>
            </w:r>
          </w:p>
        </w:tc>
        <w:tc>
          <w:tcPr>
            <w:tcW w:type="dxa" w:w="4075"/>
            <w:vAlign w:val="center"/>
            <w:tcBorders>
              <w:top w:val="single" w:sz="4" w:color="D9D9D9"/>
              <w:left w:val="single" w:sz="4" w:color="D9D9D9"/>
              <w:bottom w:val="single" w:sz="4" w:color="D9D9D9"/>
              <w:right w:val="single" w:sz="4" w:color="D9D9D9"/>
            </w:tcBorders>
            <w:shd w:fill="E8EDF2"/>
          </w:tcPr>
          <w:p>
            <w:r>
              <w:rPr>
                <w:rFonts w:ascii="Times New Roman" w:hAnsi="Times New Roman"/>
                <w:b/>
              </w:rPr>
              <w:t>Cách có thể phát hiện</w:t>
            </w:r>
          </w:p>
        </w:tc>
        <w:tc>
          <w:tcPr>
            <w:tcW w:type="dxa" w:w="3816"/>
            <w:vAlign w:val="center"/>
            <w:tcBorders>
              <w:top w:val="single" w:sz="4" w:color="D9D9D9"/>
              <w:left w:val="single" w:sz="4" w:color="D9D9D9"/>
              <w:bottom w:val="single" w:sz="4" w:color="D9D9D9"/>
              <w:right w:val="single" w:sz="4" w:color="D9D9D9"/>
            </w:tcBorders>
            <w:shd w:fill="E8EDF2"/>
          </w:tcPr>
          <w:p>
            <w:r>
              <w:rPr>
                <w:rFonts w:ascii="Times New Roman" w:hAnsi="Times New Roman"/>
                <w:b/>
              </w:rPr>
              <w:t>Điều vẫn chưa biết</w:t>
            </w:r>
          </w:p>
        </w:tc>
      </w:tr>
      <w:tr>
        <w:tc>
          <w:tcPr>
            <w:tcW w:type="dxa" w:w="2045"/>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Giải ngân cho người mua thay vì người bán</w:t>
            </w:r>
          </w:p>
        </w:tc>
        <w:tc>
          <w:tcPr>
            <w:tcW w:type="dxa" w:w="4075"/>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Scenario giải ngân đã duyệt, kỳ vọng thanh toán cho người bán, sẽ chứng kiến sai khác nếu nhánh được chạy.</w:t>
            </w:r>
          </w:p>
        </w:tc>
        <w:tc>
          <w:tcPr>
            <w:tcW w:type="dxa" w:w="3816"/>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Cấu trúc hợp lệ và không có cảnh báo vẫn có thể đạt; các nhánh khác chưa được bao phủ.</w:t>
            </w:r>
          </w:p>
        </w:tc>
      </w:tr>
      <w:tr>
        <w:tc>
          <w:tcPr>
            <w:tcW w:type="dxa" w:w="2045"/>
            <w:vAlign w:val="center"/>
            <w:tcBorders>
              <w:top w:val="single" w:sz="4" w:color="D9D9D9"/>
              <w:left w:val="single" w:sz="4" w:color="D9D9D9"/>
              <w:bottom w:val="single" w:sz="4" w:color="D9D9D9"/>
              <w:right w:val="single" w:sz="4" w:color="D9D9D9"/>
            </w:tcBorders>
            <w:shd w:fill="F8F9FA"/>
          </w:tcPr>
          <w:p>
            <w:r>
              <w:rPr>
                <w:rFonts w:ascii="Times New Roman" w:hAnsi="Times New Roman"/>
                <w:b w:val="0"/>
              </w:rPr>
              <w:t>Bỏ nhánh hoàn tiền khi hết hạn</w:t>
            </w:r>
          </w:p>
        </w:tc>
        <w:tc>
          <w:tcPr>
            <w:tcW w:type="dxa" w:w="4075"/>
            <w:vAlign w:val="center"/>
            <w:tcBorders>
              <w:top w:val="single" w:sz="4" w:color="D9D9D9"/>
              <w:left w:val="single" w:sz="4" w:color="D9D9D9"/>
              <w:bottom w:val="single" w:sz="4" w:color="D9D9D9"/>
              <w:right w:val="single" w:sz="4" w:color="D9D9D9"/>
            </w:tcBorders>
            <w:shd w:fill="F8F9FA"/>
          </w:tcPr>
          <w:p>
            <w:r>
              <w:rPr>
                <w:rFonts w:ascii="Times New Roman" w:hAnsi="Times New Roman"/>
                <w:b w:val="0"/>
              </w:rPr>
              <w:t>Cần scenario ở ranh giới thời hạn theo ngữ nghĩa khoảng thời gian đã cố định.</w:t>
            </w:r>
          </w:p>
        </w:tc>
        <w:tc>
          <w:tcPr>
            <w:tcW w:type="dxa" w:w="3816"/>
            <w:vAlign w:val="center"/>
            <w:tcBorders>
              <w:top w:val="single" w:sz="4" w:color="D9D9D9"/>
              <w:left w:val="single" w:sz="4" w:color="D9D9D9"/>
              <w:bottom w:val="single" w:sz="4" w:color="D9D9D9"/>
              <w:right w:val="single" w:sz="4" w:color="D9D9D9"/>
            </w:tcBorders>
            <w:shd w:fill="F8F9FA"/>
          </w:tcPr>
          <w:p>
            <w:r>
              <w:rPr>
                <w:rFonts w:ascii="Times New Roman" w:hAnsi="Times New Roman"/>
                <w:b w:val="0"/>
              </w:rPr>
              <w:t>Chỉ thử giải ngân và hoàn tiền theo lựa chọn không bao phủ nhánh hết hạn.</w:t>
            </w:r>
          </w:p>
        </w:tc>
      </w:tr>
      <w:tr>
        <w:tc>
          <w:tcPr>
            <w:tcW w:type="dxa" w:w="2045"/>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Định danh tài sản thiếu căn cứ</w:t>
            </w:r>
          </w:p>
        </w:tc>
        <w:tc>
          <w:tcPr>
            <w:tcW w:type="dxa" w:w="4075"/>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Phân xử yêu cầu độc lập và bước làm rõ tường minh có thể phát hiện mã policy tự tạo.</w:t>
            </w:r>
          </w:p>
        </w:tc>
        <w:tc>
          <w:tcPr>
            <w:tcW w:type="dxa" w:w="3816"/>
            <w:vAlign w:val="center"/>
            <w:tcBorders>
              <w:top w:val="single" w:sz="4" w:color="D9D9D9"/>
              <w:left w:val="single" w:sz="4" w:color="D9D9D9"/>
              <w:bottom w:val="single" w:sz="4" w:color="D9D9D9"/>
              <w:right w:val="single" w:sz="4" w:color="D9D9D9"/>
            </w:tcBorders>
            <w:shd w:fill="FFFFFF"/>
          </w:tcPr>
          <w:p>
            <w:r>
              <w:rPr>
                <w:rFonts w:ascii="Times New Roman" w:hAnsi="Times New Roman"/>
                <w:b w:val="0"/>
              </w:rPr>
              <w:t>Đoạn văn bản nguồn và phân tích kích thước không xác thực được tài sản.</w:t>
            </w:r>
          </w:p>
        </w:tc>
      </w:tr>
      <w:tr>
        <w:tc>
          <w:tcPr>
            <w:tcW w:type="dxa" w:w="2045"/>
            <w:vAlign w:val="center"/>
            <w:tcBorders>
              <w:top w:val="single" w:sz="4" w:color="D9D9D9"/>
              <w:left w:val="single" w:sz="4" w:color="D9D9D9"/>
              <w:bottom w:val="single" w:sz="4" w:color="D9D9D9"/>
              <w:right w:val="single" w:sz="4" w:color="D9D9D9"/>
            </w:tcBorders>
            <w:shd w:fill="F8F9FA"/>
          </w:tcPr>
          <w:p>
            <w:r>
              <w:rPr>
                <w:rFonts w:ascii="Times New Roman" w:hAnsi="Times New Roman"/>
                <w:b w:val="0"/>
              </w:rPr>
              <w:t>Hợp đồng đổi sau một trace đạt</w:t>
            </w:r>
          </w:p>
        </w:tc>
        <w:tc>
          <w:tcPr>
            <w:tcW w:type="dxa" w:w="4075"/>
            <w:vAlign w:val="center"/>
            <w:tcBorders>
              <w:top w:val="single" w:sz="4" w:color="D9D9D9"/>
              <w:left w:val="single" w:sz="4" w:color="D9D9D9"/>
              <w:bottom w:val="single" w:sz="4" w:color="D9D9D9"/>
              <w:right w:val="single" w:sz="4" w:color="D9D9D9"/>
            </w:tcBorders>
            <w:shd w:fill="F8F9FA"/>
          </w:tcPr>
          <w:p>
            <w:r>
              <w:rPr>
                <w:rFonts w:ascii="Times New Roman" w:hAnsi="Times New Roman"/>
                <w:b w:val="0"/>
              </w:rPr>
              <w:t>Ràng buộc định danh ứng viên phải làm trace cũ mất hiệu lực, hoặc biện minh tái sử dụng và chạy lại kiểm tra bị ảnh hưởng.</w:t>
            </w:r>
          </w:p>
        </w:tc>
        <w:tc>
          <w:tcPr>
            <w:tcW w:type="dxa" w:w="3816"/>
            <w:vAlign w:val="center"/>
            <w:tcBorders>
              <w:top w:val="single" w:sz="4" w:color="D9D9D9"/>
              <w:left w:val="single" w:sz="4" w:color="D9D9D9"/>
              <w:bottom w:val="single" w:sz="4" w:color="D9D9D9"/>
              <w:right w:val="single" w:sz="4" w:color="D9D9D9"/>
            </w:tcBorders>
            <w:shd w:fill="F8F9FA"/>
          </w:tcPr>
          <w:p>
            <w:r>
              <w:rPr>
                <w:rFonts w:ascii="Times New Roman" w:hAnsi="Times New Roman"/>
                <w:b w:val="0"/>
              </w:rPr>
              <w:t>Chưa chứng minh nguyên mẫu hiện cưỡng chế quy tắc này trên mọi đường đi.</w:t>
            </w:r>
          </w:p>
        </w:tc>
      </w:tr>
    </w:tbl>
    <w:p>
      <w:pPr>
        <w:pStyle w:val="Heading1"/>
      </w:pPr>
      <w:r>
        <w:t>6 Quan sát triển khai hiện có</w:t>
      </w:r>
    </w:p>
    <w:p>
      <w:r>
        <w:t>Bằng chứng hiện có là báo cáo tiến độ nội bộ ngày 6 tháng 10 năm 2026 [5]. Báo cáo mô tả một lượt chạy tuần tự gồm hai mươi ca dự kiến và được gắn nhãn mô phỏng. Bốn ca tới bước phân tích kích thước giao dịch cục bộ và cùng thực hiện mười hai scenario tham chiếu đạt. Ca thứ năm bị chặn bởi giới hạn nhà cung cấp sau bước làm rõ; mười lăm ca còn lại chưa được thử. Đây là quan sát kỹ thuật có giới hạn, không phải benchmark có đối chứng.</w:t>
      </w:r>
    </w:p>
    <w:p>
      <w:pPr>
        <w:pStyle w:val="Caption"/>
        <w:keepNext/>
        <w:pageBreakBefore/>
      </w:pPr>
      <w:r>
        <w:rPr>
          <w:b/>
        </w:rPr>
        <w:t>Bảng 3. Các quan sát cục bộ được báo cáo từ lô mô phỏng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4032"/>
      </w:tblGrid>
      <w:tr>
        <w:trPr>
          <w:tblHeader/>
          <w:cantSplit/>
        </w:trPr>
        <w:tc>
          <w:tcPr>
            <w:tcW w:type="dxa" w:w="3024"/>
            <w:vAlign w:val="center"/>
            <w:shd w:fill="E7E9EC"/>
            <w:tcMar>
              <w:top w:w="80" w:type="dxa"/>
              <w:left w:w="80" w:type="dxa"/>
              <w:bottom w:w="80" w:type="dxa"/>
              <w:right w:w="80" w:type="dxa"/>
            </w:tcMar>
          </w:tcPr>
          <w:p>
            <w:r>
              <w:rPr>
                <w:rFonts w:ascii="Times New Roman" w:hAnsi="Times New Roman"/>
                <w:b/>
              </w:rPr>
              <w:t>Ca</w:t>
            </w:r>
          </w:p>
        </w:tc>
        <w:tc>
          <w:tcPr>
            <w:tcW w:type="dxa" w:w="2880"/>
            <w:vAlign w:val="center"/>
            <w:shd w:fill="E7E9EC"/>
            <w:tcMar>
              <w:top w:w="80" w:type="dxa"/>
              <w:left w:w="80" w:type="dxa"/>
              <w:bottom w:w="80" w:type="dxa"/>
              <w:right w:w="80" w:type="dxa"/>
            </w:tcMar>
          </w:tcPr>
          <w:p>
            <w:r>
              <w:rPr>
                <w:rFonts w:ascii="Times New Roman" w:hAnsi="Times New Roman"/>
                <w:b/>
              </w:rPr>
              <w:t>Kích thước byte</w:t>
            </w:r>
          </w:p>
        </w:tc>
        <w:tc>
          <w:tcPr>
            <w:tcW w:type="dxa" w:w="4032"/>
            <w:vAlign w:val="center"/>
            <w:shd w:fill="E7E9EC"/>
            <w:tcMar>
              <w:top w:w="80" w:type="dxa"/>
              <w:left w:w="80" w:type="dxa"/>
              <w:bottom w:w="80" w:type="dxa"/>
              <w:right w:w="80" w:type="dxa"/>
            </w:tcMar>
          </w:tcPr>
          <w:p>
            <w:r>
              <w:rPr>
                <w:rFonts w:ascii="Times New Roman" w:hAnsi="Times New Roman"/>
                <w:b/>
              </w:rPr>
              <w:t>Scenario tham chiếu</w:t>
            </w:r>
          </w:p>
        </w:tc>
      </w:tr>
      <w:tr>
        <w:trPr>
          <w:cantSplit/>
        </w:trPr>
        <w:tc>
          <w:tcPr>
            <w:tcW w:type="dxa" w:w="3024"/>
            <w:vAlign w:val="center"/>
            <w:shd w:fill="FFFFFF"/>
            <w:tcMar>
              <w:top w:w="80" w:type="dxa"/>
              <w:left w:w="80" w:type="dxa"/>
              <w:bottom w:w="80" w:type="dxa"/>
              <w:right w:w="80" w:type="dxa"/>
            </w:tcMar>
          </w:tcPr>
          <w:p>
            <w:r>
              <w:rPr>
                <w:rFonts w:ascii="Times New Roman" w:hAnsi="Times New Roman"/>
                <w:b w:val="0"/>
              </w:rPr>
              <w:t>Lựa chọn bên thứ ba</w:t>
            </w:r>
          </w:p>
        </w:tc>
        <w:tc>
          <w:tcPr>
            <w:tcW w:type="dxa" w:w="2880"/>
            <w:vAlign w:val="center"/>
            <w:shd w:fill="FFFFFF"/>
            <w:tcMar>
              <w:top w:w="80" w:type="dxa"/>
              <w:left w:w="80" w:type="dxa"/>
              <w:bottom w:w="80" w:type="dxa"/>
              <w:right w:w="80" w:type="dxa"/>
            </w:tcMar>
          </w:tcPr>
          <w:p>
            <w:r>
              <w:rPr>
                <w:rFonts w:ascii="Times New Roman" w:hAnsi="Times New Roman"/>
                <w:b w:val="0"/>
              </w:rPr>
              <w:t>12.194 / 16.384</w:t>
            </w:r>
          </w:p>
        </w:tc>
        <w:tc>
          <w:tcPr>
            <w:tcW w:type="dxa" w:w="4032"/>
            <w:vAlign w:val="center"/>
            <w:shd w:fill="FFFFFF"/>
            <w:tcMar>
              <w:top w:w="80" w:type="dxa"/>
              <w:left w:w="80" w:type="dxa"/>
              <w:bottom w:w="80" w:type="dxa"/>
              <w:right w:w="80" w:type="dxa"/>
            </w:tcMar>
          </w:tcPr>
          <w:p>
            <w:r>
              <w:rPr>
                <w:rFonts w:ascii="Times New Roman" w:hAnsi="Times New Roman"/>
                <w:b w:val="0"/>
              </w:rPr>
              <w:t>1</w:t>
            </w:r>
          </w:p>
        </w:tc>
      </w:tr>
      <w:tr>
        <w:trPr>
          <w:cantSplit/>
        </w:trPr>
        <w:tc>
          <w:tcPr>
            <w:tcW w:type="dxa" w:w="3024"/>
            <w:vAlign w:val="center"/>
            <w:shd w:fill="F7F7F7"/>
            <w:tcMar>
              <w:top w:w="80" w:type="dxa"/>
              <w:left w:w="80" w:type="dxa"/>
              <w:bottom w:w="80" w:type="dxa"/>
              <w:right w:w="80" w:type="dxa"/>
            </w:tcMar>
          </w:tcPr>
          <w:p>
            <w:r>
              <w:rPr>
                <w:rFonts w:ascii="Times New Roman" w:hAnsi="Times New Roman"/>
                <w:b w:val="0"/>
              </w:rPr>
              <w:t>Tiền đặt cọc thuê</w:t>
            </w:r>
          </w:p>
        </w:tc>
        <w:tc>
          <w:tcPr>
            <w:tcW w:type="dxa" w:w="2880"/>
            <w:vAlign w:val="center"/>
            <w:shd w:fill="F7F7F7"/>
            <w:tcMar>
              <w:top w:w="80" w:type="dxa"/>
              <w:left w:w="80" w:type="dxa"/>
              <w:bottom w:w="80" w:type="dxa"/>
              <w:right w:w="80" w:type="dxa"/>
            </w:tcMar>
          </w:tcPr>
          <w:p>
            <w:r>
              <w:rPr>
                <w:rFonts w:ascii="Times New Roman" w:hAnsi="Times New Roman"/>
                <w:b w:val="0"/>
              </w:rPr>
              <w:t>12.246 / 16.384</w:t>
            </w:r>
          </w:p>
        </w:tc>
        <w:tc>
          <w:tcPr>
            <w:tcW w:type="dxa" w:w="4032"/>
            <w:vAlign w:val="center"/>
            <w:shd w:fill="F7F7F7"/>
            <w:tcMar>
              <w:top w:w="80" w:type="dxa"/>
              <w:left w:w="80" w:type="dxa"/>
              <w:bottom w:w="80" w:type="dxa"/>
              <w:right w:w="80" w:type="dxa"/>
            </w:tcMar>
          </w:tcPr>
          <w:p>
            <w:r>
              <w:rPr>
                <w:rFonts w:ascii="Times New Roman" w:hAnsi="Times New Roman"/>
                <w:b w:val="0"/>
              </w:rPr>
              <w:t>4</w:t>
            </w:r>
          </w:p>
        </w:tc>
      </w:tr>
      <w:tr>
        <w:trPr>
          <w:cantSplit/>
        </w:trPr>
        <w:tc>
          <w:tcPr>
            <w:tcW w:type="dxa" w:w="3024"/>
            <w:vAlign w:val="center"/>
            <w:shd w:fill="FFFFFF"/>
            <w:tcMar>
              <w:top w:w="80" w:type="dxa"/>
              <w:left w:w="80" w:type="dxa"/>
              <w:bottom w:w="80" w:type="dxa"/>
              <w:right w:w="80" w:type="dxa"/>
            </w:tcMar>
          </w:tcPr>
          <w:p>
            <w:r>
              <w:rPr>
                <w:rFonts w:ascii="Times New Roman" w:hAnsi="Times New Roman"/>
                <w:b w:val="0"/>
              </w:rPr>
              <w:t>Ký quỹ ba bên</w:t>
            </w:r>
          </w:p>
        </w:tc>
        <w:tc>
          <w:tcPr>
            <w:tcW w:type="dxa" w:w="2880"/>
            <w:vAlign w:val="center"/>
            <w:shd w:fill="FFFFFF"/>
            <w:tcMar>
              <w:top w:w="80" w:type="dxa"/>
              <w:left w:w="80" w:type="dxa"/>
              <w:bottom w:w="80" w:type="dxa"/>
              <w:right w:w="80" w:type="dxa"/>
            </w:tcMar>
          </w:tcPr>
          <w:p>
            <w:r>
              <w:rPr>
                <w:rFonts w:ascii="Times New Roman" w:hAnsi="Times New Roman"/>
                <w:b w:val="0"/>
              </w:rPr>
              <w:t>12.176 / 16.384</w:t>
            </w:r>
          </w:p>
        </w:tc>
        <w:tc>
          <w:tcPr>
            <w:tcW w:type="dxa" w:w="4032"/>
            <w:vAlign w:val="center"/>
            <w:shd w:fill="FFFFFF"/>
            <w:tcMar>
              <w:top w:w="80" w:type="dxa"/>
              <w:left w:w="80" w:type="dxa"/>
              <w:bottom w:w="80" w:type="dxa"/>
              <w:right w:w="80" w:type="dxa"/>
            </w:tcMar>
          </w:tcPr>
          <w:p>
            <w:r>
              <w:rPr>
                <w:rFonts w:ascii="Times New Roman" w:hAnsi="Times New Roman"/>
                <w:b w:val="0"/>
              </w:rPr>
              <w:t>4</w:t>
            </w:r>
          </w:p>
        </w:tc>
      </w:tr>
      <w:tr>
        <w:trPr>
          <w:cantSplit/>
        </w:trPr>
        <w:tc>
          <w:tcPr>
            <w:tcW w:type="dxa" w:w="3024"/>
            <w:vAlign w:val="center"/>
            <w:shd w:fill="F7F7F7"/>
            <w:tcMar>
              <w:top w:w="80" w:type="dxa"/>
              <w:left w:w="80" w:type="dxa"/>
              <w:bottom w:w="80" w:type="dxa"/>
              <w:right w:w="80" w:type="dxa"/>
            </w:tcMar>
          </w:tcPr>
          <w:p>
            <w:r>
              <w:rPr>
                <w:rFonts w:ascii="Times New Roman" w:hAnsi="Times New Roman"/>
                <w:b w:val="0"/>
              </w:rPr>
              <w:t>Hoán đổi</w:t>
            </w:r>
          </w:p>
        </w:tc>
        <w:tc>
          <w:tcPr>
            <w:tcW w:type="dxa" w:w="2880"/>
            <w:vAlign w:val="center"/>
            <w:shd w:fill="F7F7F7"/>
            <w:tcMar>
              <w:top w:w="80" w:type="dxa"/>
              <w:left w:w="80" w:type="dxa"/>
              <w:bottom w:w="80" w:type="dxa"/>
              <w:right w:w="80" w:type="dxa"/>
            </w:tcMar>
          </w:tcPr>
          <w:p>
            <w:r>
              <w:rPr>
                <w:rFonts w:ascii="Times New Roman" w:hAnsi="Times New Roman"/>
                <w:b w:val="0"/>
              </w:rPr>
              <w:t>12.222 / 16.384</w:t>
            </w:r>
          </w:p>
        </w:tc>
        <w:tc>
          <w:tcPr>
            <w:tcW w:type="dxa" w:w="4032"/>
            <w:vAlign w:val="center"/>
            <w:shd w:fill="F7F7F7"/>
            <w:tcMar>
              <w:top w:w="80" w:type="dxa"/>
              <w:left w:w="80" w:type="dxa"/>
              <w:bottom w:w="80" w:type="dxa"/>
              <w:right w:w="80" w:type="dxa"/>
            </w:tcMar>
          </w:tcPr>
          <w:p>
            <w:r>
              <w:rPr>
                <w:rFonts w:ascii="Times New Roman" w:hAnsi="Times New Roman"/>
                <w:b w:val="0"/>
              </w:rPr>
              <w:t>3</w:t>
            </w:r>
          </w:p>
        </w:tc>
      </w:tr>
      <w:tr>
        <w:trPr>
          <w:cantSplit/>
        </w:trPr>
        <w:tc>
          <w:tcPr>
            <w:tcW w:type="dxa" w:w="3024"/>
            <w:vAlign w:val="center"/>
            <w:shd w:fill="FFFFFF"/>
            <w:tcMar>
              <w:top w:w="80" w:type="dxa"/>
              <w:left w:w="80" w:type="dxa"/>
              <w:bottom w:w="80" w:type="dxa"/>
              <w:right w:w="80" w:type="dxa"/>
            </w:tcMar>
          </w:tcPr>
          <w:p>
            <w:r>
              <w:rPr>
                <w:rFonts w:ascii="Times New Roman" w:hAnsi="Times New Roman"/>
                <w:b w:val="0"/>
              </w:rPr>
              <w:t>Ca thanh toán theo mốc</w:t>
            </w:r>
          </w:p>
        </w:tc>
        <w:tc>
          <w:tcPr>
            <w:tcW w:type="dxa" w:w="2880"/>
            <w:vAlign w:val="center"/>
            <w:shd w:fill="FFFFFF"/>
            <w:tcMar>
              <w:top w:w="80" w:type="dxa"/>
              <w:left w:w="80" w:type="dxa"/>
              <w:bottom w:w="80" w:type="dxa"/>
              <w:right w:w="80" w:type="dxa"/>
            </w:tcMar>
          </w:tcPr>
          <w:p>
            <w:r>
              <w:rPr>
                <w:rFonts w:ascii="Times New Roman" w:hAnsi="Times New Roman"/>
                <w:b w:val="0"/>
              </w:rPr>
              <w:t>Không có ứng viên sửa đạt</w:t>
            </w:r>
          </w:p>
        </w:tc>
        <w:tc>
          <w:tcPr>
            <w:tcW w:type="dxa" w:w="4032"/>
            <w:vAlign w:val="center"/>
            <w:shd w:fill="FFFFFF"/>
            <w:tcMar>
              <w:top w:w="80" w:type="dxa"/>
              <w:left w:w="80" w:type="dxa"/>
              <w:bottom w:w="80" w:type="dxa"/>
              <w:right w:w="80" w:type="dxa"/>
            </w:tcMar>
          </w:tcPr>
          <w:p>
            <w:r>
              <w:rPr>
                <w:rFonts w:ascii="Times New Roman" w:hAnsi="Times New Roman"/>
                <w:b w:val="0"/>
              </w:rPr>
              <w:t>Bị giới hạn nhà cung cấp sau làm rõ</w:t>
            </w:r>
          </w:p>
        </w:tc>
      </w:tr>
      <w:tr>
        <w:trPr>
          <w:cantSplit/>
        </w:trPr>
        <w:tc>
          <w:tcPr>
            <w:tcW w:type="dxa" w:w="3024"/>
            <w:vAlign w:val="center"/>
            <w:shd w:fill="F7F7F7"/>
            <w:tcMar>
              <w:top w:w="80" w:type="dxa"/>
              <w:left w:w="80" w:type="dxa"/>
              <w:bottom w:w="80" w:type="dxa"/>
              <w:right w:w="80" w:type="dxa"/>
            </w:tcMar>
          </w:tcPr>
          <w:p>
            <w:r>
              <w:rPr>
                <w:rFonts w:ascii="Times New Roman" w:hAnsi="Times New Roman"/>
                <w:b w:val="0"/>
              </w:rPr>
              <w:t>15 ca còn lại</w:t>
            </w:r>
          </w:p>
        </w:tc>
        <w:tc>
          <w:tcPr>
            <w:tcW w:type="dxa" w:w="2880"/>
            <w:vAlign w:val="center"/>
            <w:shd w:fill="F7F7F7"/>
            <w:tcMar>
              <w:top w:w="80" w:type="dxa"/>
              <w:left w:w="80" w:type="dxa"/>
              <w:bottom w:w="80" w:type="dxa"/>
              <w:right w:w="80" w:type="dxa"/>
            </w:tcMar>
          </w:tcPr>
          <w:p>
            <w:r>
              <w:rPr>
                <w:rFonts w:ascii="Times New Roman" w:hAnsi="Times New Roman"/>
                <w:b w:val="0"/>
              </w:rPr>
              <w:t>Chưa thử</w:t>
            </w:r>
          </w:p>
        </w:tc>
        <w:tc>
          <w:tcPr>
            <w:tcW w:type="dxa" w:w="4032"/>
            <w:vAlign w:val="center"/>
            <w:shd w:fill="F7F7F7"/>
            <w:tcMar>
              <w:top w:w="80" w:type="dxa"/>
              <w:left w:w="80" w:type="dxa"/>
              <w:bottom w:w="80" w:type="dxa"/>
              <w:right w:w="80" w:type="dxa"/>
            </w:tcMar>
          </w:tcPr>
          <w:p>
            <w:r>
              <w:rPr>
                <w:rFonts w:ascii="Times New Roman" w:hAnsi="Times New Roman"/>
                <w:b w:val="0"/>
              </w:rPr>
              <w:t>Chưa đánh giá</w:t>
            </w:r>
          </w:p>
        </w:tc>
      </w:tr>
    </w:tbl>
    <w:p>
      <w:pPr>
        <w:spacing w:after="40"/>
      </w:pPr>
    </w:p>
    <w:p>
      <w:r>
        <w:t>Các scenario bổ sung của ca thứ hai đến ca thứ tư chạy lại cùng một ứng viên đã lưu cho từng ca. Chúng là các quan sát có tương quan của bốn hợp đồng, không phải mười hai lần tổng hợp thành công độc lập. Báo cáo ghi nhận năm mươi bảy lượt đặt chỗ cho yêu cầu gọi mô hình thực trong năm ca đầu, kể cả những lượt bị gián đoạn. Đây không phải tổng số lượt tính phí của nhà cung cấp. Nhật ký thô cục bộ không được commit trong phiên bản repository được dẫn, nên bản thảo không thể tự tính lại các con số này.</w:t>
      </w:r>
    </w:p>
    <w:p>
      <w:r>
        <w:t>Phân tích kích thước sử dụng một node Babbage riêng cục bộ và ngưỡng đã cấu hình là 16.384 byte. Bốn giá trị kích thước được báo cáo là đầu ra phân tích giao dịch phụ thuộc cấu hình, không phải số đo chất lượng ngữ nghĩa. Ca swap dùng định danh native token tổng hợp đã được ghi nhãn rõ, còn các câu trả lời đóng vai cung cấp giả định mô phỏng. Không có báo cáo về ký, gửi hoặc xác nhận giao dịch trên testnet công khai. Các lô trước dùng giao thức thích ứng khác và không được gộp với những quan sát này.</w:t>
      </w:r>
    </w:p>
    <w:p>
      <w:r>
        <w:t>Dữ liệu trên chỉ hỗ trợ kết luận hẹp rằng bốn ca mô phỏng đã đi tới một số bước của tuyến cấu hình. Chúng không xác định tỷ lệ hợp đồng đúng về ngữ nghĩa, mức giảm chấp nhận sai hoặc khả năng khái quát cho người dùng mới. Cả bốn trên hai mươi lẫn bốn trên bốn đều không phải ước lượng phù hợp về độ chính xác ngữ nghĩa: các ca chưa thử không có kết quả, còn nhóm đi tới bước sau được lựa chọn bởi quá trình chạy. Do đó nghiên cứu hiện chỉ báo cáo nhóm trạng thái tiến độ và số đếm thô, không đưa ra phần trăm hiệu quả.</w:t>
      </w:r>
    </w:p>
    <w:p>
      <w:pPr>
        <w:pStyle w:val="Heading1"/>
      </w:pPr>
      <w:r>
        <w:t>7 Giao thức đánh giá hiệu quả ngữ nghĩa</w:t>
      </w:r>
    </w:p>
    <w:p>
      <w:pPr>
        <w:pStyle w:val="Heading2"/>
      </w:pPr>
      <w:r>
        <w:t>7.1 Câu hỏi nghiên cứu và thời điểm ra quyết định</w:t>
      </w:r>
    </w:p>
    <w:p>
      <w:r>
        <w:t>RQ1 hỏi ý định đã duyệt có bảo toàn yêu cầu do nhóm độc lập phân xử hay không. RQ2 hỏi các bước kiểm soát bằng chứng có loại được những mâu thuẫn hành vi đã biết mà không loại quá nhiều ứng viên chấp nhận được hay không. RQ3 hỏi toàn bộ quy trình tổng hợp có cải thiện mức khớp hành vi cuối cùng khi tài nguyên được đối sánh hay không. RQ4 hỏi các biện pháp đó tiêu tốn bao nhiêu lượt gọi mô hình, độ trễ, công sức duyệt và tỷ lệ không thể đưa ra quyết định. Tái sử dụng property và điều chỉnh mô hình là các thí nghiệm tương lai riêng, không phải điều kiện tiên quyết cho các câu hỏi này.</w:t>
      </w:r>
    </w:p>
    <w:p>
      <w:pPr/>
      <w:r>
        <w:t>Phép so sánh chính cần được xác định trước theo thí nghiệm phát hiện trên ứng viên cố định: đối chiếu chính sách bằng chứng đầy đủ với điều kiện chỉ có ý định được cấu trúc nhưng không có chính sách đó, cùng áp dụng cho đúng những bản ghi ứng viên đã được phân xử. Giả thuyết là tỷ lệ chấp nhận sai quan sát được ở nhóm ứng viên có lỗi đã được chứng kiến sẽ thấp hơn; độ bao phủ chấp nhận và chi phí duyệt phải được báo cáo đồng thời. Tổng hợp đầu cuối là phép so sánh phụ riêng vì nó có thể làm thay đổi ứng viên và lượng thông tin từng phương pháp nhận được. Bài báo này chưa thực hiện cả hai phép so sánh.</w:t>
      </w:r>
    </w:p>
    <w:p>
      <w:r>
        <w:t>Chúng tôi định nghĩa chấp nhận trong đánh giá là quyết định của một chính sách đã chốt rằng ứng viên đủ điều kiện để được xem xét kỹ thuật tiếp trong một phạm vi được nêu tên. Đó không phải sự đồng ý của người dùng hay quyền triển khai. Chính sách được đánh giá bên ngoài trên các bản ghi ứng viên đã chốt; không suy ra nó từ trạng thái candidate-only của CLI hiện tại. Chính sách nghiêm ngặt đề xuất đòi định danh ý định và kỳ vọng đã duyệt khớp với ứng viên, các bước cấu trúc và SMT bắt buộc thành công, mọi scenario tham chiếu bắt buộc khớp và không còn phép kiểm tra khớp ý định bắt buộc ở trạng thái chưa rõ. Điều kiện khám phá hay sổ cái tùy chọn phải được khai báo trước khi chạy. Nếu không, chính sách từ chối mâu thuẫn đã xác nhận hoặc hoãn quyết định khi thiếu bằng chứng.</w:t>
      </w:r>
    </w:p>
    <w:p>
      <w:r>
        <w:t>Chính sách này khác có chủ đích với kết quả tham chiếu SATISFIED. Bản ghi có các scenario đạt nhưng mức khớp ý định bắt buộc vẫn chưa rõ sẽ có quyết định hoãn. Chỉ có thể áp dụng chính sách hồi cứu cho các lượt chạy cũ khi mọi artifact bắt buộc còn sẵn; trường bị thiếu không thể được suy dựng thành bằng chứng thuận lợi. Các chính sách phải được chốt trước khi xem kết quả giữ kín.</w:t>
      </w:r>
    </w:p>
    <w:p>
      <w:pPr/>
      <w:r>
        <w:t>Quy tắc quyết định có ba kết quả đối với ứng viên đã chốt trong phạm vi nêu tên. REJECT áp dụng khi cấu trúc sai đã được xác nhận hoặc có một mâu thuẫn được chứng kiến và áp dụng được. ABSTAIN áp dụng khi bằng chứng bắt buộc bị thiếu, không khả dụng, hết thời gian chờ hoặc chưa thể kết luận, kể cả phép khớp ý định bắt buộc. ACCEPT đòi các định danh khớp và mọi bước bắt buộc thành công, không có giới hạn nào chặn kết luận. Ứng viên được sửa mang định danh mới và cần bản ghi quyết định mới. Một chính sách hoãn quyết định ở gần như mọi ca có thể đạt tỷ lệ chấp nhận sai quan sát được thấp nhưng không hữu ích; vì vậy độ bao phủ là chỉ số chính đi kèm.</w:t>
      </w:r>
    </w:p>
    <w:p>
      <w:pPr>
        <w:pStyle w:val="Heading2"/>
      </w:pPr>
      <w:r>
        <w:t>7.2 Chuẩn đánh giá và scenario độc lập</w:t>
      </w:r>
    </w:p>
    <w:p>
      <w:r>
        <w:t>Ít nhất hai người duyệt cần gắn nhãn yêu cầu độc lập, đối chiếu bất đồng và giữ lịch sử phân xử. Nhãn bao gồm vai trò, tài sản, số tiền, thời gian, kết quả nhánh, điểm mơ hồ chưa giải quyết và yêu cầu không được hỗ trợ. Mức đồng thuận được đo trước khi hòa giải. Ý định đã chấp nhận được chấm theo bản ghi độc lập này, không theo lời giải thích của mô hình sinh. Các cách biểu diễn tương đương về nghĩa được chuẩn hóa hoặc phân xử; chỉ khác mã phạm vi không bị tính là lỗi về nghĩa.</w:t>
      </w:r>
    </w:p>
    <w:p>
      <w:r>
        <w:t>Mỗi ca có hai tập scenario. Scenario phát triển có thể được cho bộ sinh xem và dùng để sửa. Scenario chấm cuối giữ kín được viết từ yêu cầu đã phân xử, không cho bước sinh và sửa truy cập, và chỉ được chạy sau khi ứng viên cuối cùng cùng quyết định chấp nhận đã được chốt. Độc lập với AST được sinh là điều kiện cần nhưng chưa đủ: một scenario đã xuất hiện trong phản hồi sửa lỗi đã trở thành thông tin phát triển. Hình 3 thể hiện sự phân tách bắt buộc.</w:t>
      </w:r>
    </w:p>
    <w:p>
      <w:pPr>
        <w:keepNext/>
        <w:jc w:val="center"/>
      </w:pPr>
      <w:r>
        <w:drawing>
          <wp:inline xmlns:a="http://schemas.openxmlformats.org/drawingml/2006/main" xmlns:pic="http://schemas.openxmlformats.org/drawingml/2006/picture">
            <wp:extent cx="6263640" cy="2547213"/>
            <wp:docPr id="3" name="Picture 3"/>
            <wp:cNvGraphicFramePr>
              <a:graphicFrameLocks noChangeAspect="1"/>
            </wp:cNvGraphicFramePr>
            <a:graphic>
              <a:graphicData uri="http://schemas.openxmlformats.org/drawingml/2006/picture">
                <pic:pic>
                  <pic:nvPicPr>
                    <pic:cNvPr id="0" name="paper-evaluation.png"/>
                    <pic:cNvPicPr/>
                  </pic:nvPicPr>
                  <pic:blipFill>
                    <a:blip r:embed="rId11"/>
                    <a:stretch>
                      <a:fillRect/>
                    </a:stretch>
                  </pic:blipFill>
                  <pic:spPr>
                    <a:xfrm>
                      <a:off x="0" y="0"/>
                      <a:ext cx="6263640" cy="2547213"/>
                    </a:xfrm>
                    <a:prstGeom prst="rect"/>
                  </pic:spPr>
                </pic:pic>
              </a:graphicData>
            </a:graphic>
          </wp:inline>
        </w:drawing>
      </w:r>
    </w:p>
    <w:p>
      <w:pPr>
        <w:pStyle w:val="Caption"/>
      </w:pPr>
      <w:r>
        <w:rPr>
          <w:b/>
        </w:rPr>
        <w:t>Hình 3. Cách phân tách đánh giá được đề xuất. Scenario chấm cuối được giữ kín cho tới khi ứng viên và quyết định chính sách được chốt. Kết quả giữ kín không được dùng để sửa ứng viên đang được đánh giá.</w:t>
      </w:r>
    </w:p>
    <w:p>
      <w:r>
        <w:t>Một mâu thuẫn được chứng kiến trong scenario hợp lệ và áp dụng được chứng minh có lỗi trong phạm vi đó. Đạt một bộ scenario giữ kín hữu hạn chỉ xác lập sự phù hợp với bộ đó, không phải tính đúng cho mọi trường hợp. Vì vậy nhãn đánh giá cần phân biệt ứng viên sai đã được chứng kiến, ứng viên phù hợp với bộ kiểm tra và ứng viên chưa rõ. Chuẩn đánh giá mạnh hơn đòi lập luận miền hữu hạn đầy đủ hoặc một phép chứng minh áp dụng được. Scenario có tranh chấp hoặc không hợp lệ phải được báo cáo và phân xử, không được âm thầm loại bỏ vì kết quả bất lợi.</w:t>
      </w:r>
    </w:p>
    <w:p>
      <w:pPr>
        <w:pStyle w:val="Heading2"/>
      </w:pPr>
      <w:r>
        <w:t>7.3 Bộ dữ liệu và kiểm soát rò rỉ</w:t>
      </w:r>
    </w:p>
    <w:p>
      <w:r>
        <w:t>Tập Stage 2A được cung cấp gồm ba mươi hai bản ghi nháp: hai mươi ca chuẩn và mười hai biến thể [6]. Chúng không phải ba mươi hai yêu cầu độc lập, cũng chưa phải nhãn chuẩn do người duyệt xác nhận. Tài liệu validation công khai đã được xem trong quá trình phát triển nên không được gắn lại nhãn là tập kiểm tra giữ kín. Sau khi được duyệt, chúng có thể hỗ trợ cải tiến kỹ thuật và tinh chỉnh quy trình gắn nhãn.</w:t>
      </w:r>
    </w:p>
    <w:p>
      <w:r>
        <w:t>Bộ đánh giá nên bao gồm thanh toán trực tiếp, ký quỹ, quyết định của bên thứ ba, tiền gửi, thanh toán theo giai đoạn, vesting, swap, yêu cầu mơ hồ và yêu cầu không được hỗ trợ. Ca chuẩn và các biến thể của nó phải nằm cùng một phân hoạch dữ liệu. Phân hoạch giữ kín theo mẫu kiểm tra cách diễn đạt mới trong các họ quen thuộc; phân hoạch giữ kín theo họ giải quyết câu hỏi chuyển giao khó hơn. Hai thiết lập phải được báo cáo riêng. Cỡ mẫu cần được chọn trước khi xem kết quả theo mức tác động có ý nghĩa thực tế và mục tiêu độ chính xác hoặc công suất thống kê; lịch hai mươi ca hiện chưa cung cấp căn cứ như vậy.</w:t>
      </w:r>
    </w:p>
    <w:p>
      <w:pPr>
        <w:pStyle w:val="Heading2"/>
      </w:pPr>
      <w:r>
        <w:t>7.4 Đối chứng và tách tác động nhân quả</w:t>
      </w:r>
    </w:p>
    <w:p>
      <w:r>
        <w:t>Các đối chứng chính đều phải nhắm tới Marlowe và dùng cùng phiên bản mô hình, cấu hình sinh nếu được hỗ trợ, công cụ và cách hạch toán tài nguyên. Tối thiểu cần có ba điều kiện: sinh trực tiếp, ý định được cấu trúc nhưng không có chính sách bằng chứng đề xuất, và quy trình đầy đủ có duyệt. Thí nghiệm loại bỏ thành phần lần lượt bỏ một yếu tố, như gắn nguồn, duyệt tường minh hoặc một bộ kiểm tra. Bộ kiểm tra đã bị bỏ không được xuất hiện lại dưới dạng prompt hoặc kênh phản hồi tương đương nhưng bị che giấu.</w:t>
      </w:r>
    </w:p>
    <w:p>
      <w:r>
        <w:t>Cần hai thí nghiệm. Thí nghiệm phát hiện trên ứng viên cố định đưa cùng các ứng viên đúng, sai và chưa rõ đã được phân xử cho những chính sách kiểm soát khác nhau; cách này tách khả năng phát hiện khỏi việc sinh. Thí nghiệm đầu cuối cho phép sinh và sửa rồi so sánh kết quả cuối trên cùng nguồn yêu cầu. Đối với bước làm rõ, cần một điều kiện có thông tin đối sánh, trong đó mọi phương pháp cùng nhận các câu trả lời đã phân xử, và một điều kiện quy trình thực tế có tính công sức duyệt của từng phương pháp. Nếu không, lợi ích do được cấp thêm dữ kiện sẽ dễ bị nhầm với lợi ích của kiểm chứng.</w:t>
      </w:r>
    </w:p>
    <w:p>
      <w:r>
        <w:t>Các phương pháp được cấp trần tương ứng về lượt gọi mô hình thực, số token nếu có, thời gian và tương tác với người. Mức sử dụng thực tế phải được báo cáo, không giả định các phương pháp đã dùng bằng nhau. Các lượt sinh lặp lại lưu seed khi được hỗ trợ; nếu không thì chạy lặp độc lập. Phiên bản bộ kiểm tra và chính sách thời gian chờ được giữ cố định. Các lượt bị chặn bởi nhà cung cấp hoặc hạ tầng vẫn hiển thị như kết quả vận hành, không bị mã hóa lại thành thành công hay lỗi ngữ nghĩa.</w:t>
      </w:r>
    </w:p>
    <w:p>
      <w:pPr>
        <w:pStyle w:val="Heading2"/>
      </w:pPr>
      <w:r>
        <w:t>7.5 Chỉ số và phân tích</w:t>
      </w:r>
    </w:p>
    <w:p>
      <w:r>
        <w:t>Gọi W là số ứng viên có lỗi được nhóm độc lập chứng kiến trong thí nghiệm ứng viên cố định; A là số ứng viên được một chính sách chấp nhận; AW là số vừa được chấp nhận vừa có lỗi được chứng kiến; N là tổng số ứng viên đưa vào chính sách đó. Tỷ lệ chấp nhận sai trong nhóm có lỗi đã được chứng kiến bằng AW chia W. Tỷ phần lỗi quan sát được trong nhóm được chấp nhận bằng AW chia A. Độ bao phủ chấp nhận bằng A chia N. Mẫu số bằng không phải được ghi là không xác định, không phải tỷ lệ lỗi bằng không. Vì một số ứng viên được chấp nhận vẫn có thể chưa rõ đúng sai, tỷ phần lỗi quan sát được chỉ là cận dưới của tỷ phần lỗi thực; việc chấp nhận ứng viên chưa rõ phải được báo cáo riêng.</w:t>
      </w:r>
    </w:p>
    <w:p>
      <w:r>
        <w:t>Các chỉ số khác gồm độ trung thực từ yêu cầu sang ý định, tần suất giả định thiếu an toàn, khả năng phát hiện nhu cầu làm rõ, mâu thuẫn từ ý định sang hợp đồng, độ khớp trên bộ scenario giữ kín, tỷ lệ từ chối, tỷ lệ hoãn quyết định và lỗi vận hành. Chỉ số phát hiện nhu cầu làm rõ dùng các ca thực sự cần làm rõ theo nhãn người duyệt làm mẫu số. Chỉ số hành vi phải được báo cáo ở cả mức ca và mức nhánh. Một ứng viên đạt nhiều nhánh không được tính thành nhiều hợp đồng được tổng hợp độc lập. Không nên dùng một điểm tổng hợp duy nhất để che sự đánh đổi giữa ít chấp nhận sai và độ bao phủ thấp.</w:t>
      </w:r>
    </w:p>
    <w:p>
      <w:r>
        <w:t>Đối với kết quả đầu cuối, cần báo cáo toàn bộ ca dự kiến qua các nhóm đã thử, đã hoàn tất và đã được chấp nhận, cùng mẫu số tường minh. Cần đưa ra số đếm theo họ, mức tiếp xúc với scenario, số lượt sinh, token đã dùng nếu có, thao tác duyệt, độ trễ và kết quả kích thước theo cấu hình. Báo cáo khoảng bất định và chênh lệch ghép cặp giữa các phương pháp. Phương pháp lấy mẫu lại hoặc mô hình suy luận thống kê phải tính tới việc biến thể, scenario và lượt sinh lặp được nhóm trong cùng một ca chuẩn. Phép so sánh chính cần công bố trước; phân tích nhóm bổ sung chỉ mang tính thăm dò.</w:t>
      </w:r>
    </w:p>
    <w:p>
      <w:pPr>
        <w:pStyle w:val="Heading1"/>
      </w:pPr>
      <w:r>
        <w:t>8 Khả năng tái lập và trạng thái triển khai</w:t>
      </w:r>
    </w:p>
    <w:p>
      <w:r>
        <w:t>Phần mô tả triển khai đã được đối chiếu lại với phiên bản repository ac1aad4c35e698fcc605e26e48b7cb3fbe86c420 [4] cùng các tài liệu tiến độ và Stage 2A có ngày tháng [5,6]. Có thể truy cập phiên bản đầy đủ ở remote được dẫn, trong khi mã rút gọn trước đây không đủ để độc giả nhận diện một trạng thái nguồn bất biến. Bản thảo này không báo cáo benchmark mới chạy với mô hình trực tuyến và không tái lập các thí nghiệm sổ cái cục bộ. Những nhật ký chạy bị bỏ qua trong báo cáo không nằm trong phiên bản repository đó; vì vậy bản tóm tắt công bố chưa đủ để dựng lại mọi quan sát.</w:t>
      </w:r>
    </w:p>
    <w:p>
      <w:r>
        <w:t>Để tái lập cần bản phát hành có phiên bản hoặc full commit, hash của bản lưu trữ và bộ dữ liệu, định danh mô hình và nhà cung cấp, prompt, cấu hình sinh, phiên bản công cụ hoặc hash của tệp nhị phân, trạng thái ban đầu, scenario đầu vào, giới hạn tài nguyên và đầy đủ kết quả từng giai đoạn. Phản hồi mô hình thô và quyết định duyệt cần liên kết ổn định với định danh ứng viên và ý định. Thông tin nhạy cảm có thể được che, nhưng phải ghi cách biến đổi và ảnh hưởng của nó tới khả năng tái lập. Chỉ báo cáo nội bộ không đủ để dựng lại mọi quan sát.</w:t>
      </w:r>
    </w:p>
    <w:p>
      <w:r>
        <w:t>Phụ lục A ánh xạ các tuyên bố triển khai tới thành phần mã nguồn và đề xuất các phép thử phủ định về việc tuân thủ chính sách. Việc cưỡng chế tổng hợp bằng chứng trên mọi đường đi, xác thực người duyệt, truy xuất property bền vững và huấn luyện tham số vẫn là các năng lực chưa được xác lập.</w:t>
      </w:r>
    </w:p>
    <w:p>
      <w:pPr>
        <w:pStyle w:val="Heading1"/>
      </w:pPr>
      <w:r>
        <w:t>9 Thảo luận và hướng nghiên cứu tiếp</w:t>
      </w:r>
    </w:p>
    <w:p>
      <w:r>
        <w:t>Bằng chứng vòng tròn là nguy cơ lớn nhất đối với tính hợp lệ nội tại: một cách diễn giải tự bịa, hợp đồng khớp với nó và lời giải thích khớp với hợp đồng có thể cùng sai. Việc duyệt và các scenario độc lập chỉ xử lý nguy cơ này khi quá trình duyệt có ý nghĩa và mức tiếp xúc với scenario được kiểm soát. Nhóm phân xử yêu cầu độc lập phải đánh giá chính cách diễn giải đã được chấp nhận.</w:t>
      </w:r>
    </w:p>
    <w:p>
      <w:r>
        <w:t>Tính hợp lệ của khái niệm đo phụ thuộc vào việc giữ đúng nghĩa của từng kết quả. Không có cảnh báo, scenario khớp, một giai đoạn phần mềm chạy thành công và kích thước giao dịch là các đại lượng khác nhau. Một chính sách luôn hoãn có thể tránh chấp nhận sai nhưng vô dụng; chính sách quá dễ dãi có thể tăng độ bao phủ bằng cách chấp nhận ca chưa rõ. Vì vậy phải báo cáo cả lỗi lẫn độ bao phủ. Khả năng khái quát còn hạn chế do mô phỏng, ví dụ chịu ảnh hưởng của nhóm phát triển, chỉ một ngôn ngữ đích, dịch vụ mô hình thay đổi và chưa có mẫu giữ kín mang tính đại diện.</w:t>
      </w:r>
    </w:p>
    <w:p>
      <w:r>
        <w:t>Bộ nhớ thuộc tính chỉ là hướng mở rộng có triển vọng sau khi các finding được chuyển thành đặc tả có thể kiểm tra. Chuỗi cần thiết gồm finding đã quan sát, giả thuyết thuộc tính được duyệt, predicate thực thi được hoặc đặc tả hình thức, phép kiểm tra khả năng áp dụng và bằng chứng mới khi kiểm tra ứng viên mới. Xác nhận trong quá khứ không xác nhận một hợp đồng khác. Registry hiện là điểm nối để kiểm toán, chưa phải bộ kiểm chứng tích lũy đã chứng minh hiệu quả. Thí nghiệm tương lai cần chốt registry trước khi đánh giá và đo số vi phạm mới phát hiện, cảnh báo sai do phạm vi quá rộng, độ bao phủ truy xuất và chi phí phát sinh.</w:t>
      </w:r>
    </w:p>
    <w:p>
      <w:r>
        <w:t>Thí nghiệm điều chỉnh mô hình trong tương lai nên so sánh điều kiện chỉ dùng prompt, điều kiện học có giám sát trên nhãn ý định và điều kiện học từ phản hồi kiểm chứng trên cùng các ca giữ kín; dữ liệu huấn luyện và chọn mô hình phải giới hạn ở tập phát triển. Kết quả từ verifier không thể thay cho nhãn ý định. Nghiên cứu hiện chưa có pipeline huấn luyện hay lợi ích điều chỉnh mô hình được đo.</w:t>
      </w:r>
    </w:p>
    <w:p>
      <w:pPr>
        <w:pStyle w:val="Heading1"/>
      </w:pPr>
      <w:r>
        <w:t>10 Kết luận</w:t>
      </w:r>
    </w:p>
    <w:p>
      <w:r>
        <w:t>Bài báo trình bày kiến trúc tổng hợp Marlowe, trong đó ý định đã chấp nhận, việc xây dựng ứng viên và bằng chứng có phạm vi được tách biệt. Một scenario tham chiếu thành công có thể đi cùng mức bảo đảm về ý định chưa đầy đủ. Chính sách tổng hợp bằng chứng đề xuất và giao thức đánh giá độc lập giúp kiểm tra ranh giới này, đồng thời tính tới quyết định hoãn, công sức duyệt và chi phí.</w:t>
      </w:r>
    </w:p>
    <w:p>
      <w:r>
        <w:t>Bốn ca mô phỏng đã tới bước phân tích kích thước giao dịch cục bộ; điều đó không xác lập mức giảm ảo giác ngữ nghĩa. Đóng góp có thể bảo vệ hiện nay là thiết kế bảo đảm được neo vào phần mềm đã triển khai. Muốn chứng minh hiệu quả cần yêu cầu được duyệt độc lập, scenario chấm cuối giữ kín, phương pháp đối chứng đối sánh và artifact có thể tái lập.</w:t>
      </w:r>
    </w:p>
    <w:p>
      <w:pPr>
        <w:pStyle w:val="Heading1"/>
        <w:pageBreakBefore w:val="0"/>
      </w:pPr>
      <w:r>
        <w:t>Tài liệu tham khảo</w:t>
      </w:r>
    </w:p>
    <w:p>
      <w:pPr>
        <w:spacing w:after="100"/>
      </w:pPr>
      <w:r>
        <w:t>[1] H. Luo, Y. Lin, X. Yan, X. Hu, Y. Wang, Q. Zeng, H. Wang, and J. Jiang. Guiding LLM-based Smart Contract Generation with Finite State Machine. Proceedings of IJCAI, pp. 5869–5877, 2025. https://doi.org/10.24963/ijcai.2025/653.</w:t>
      </w:r>
    </w:p>
    <w:p>
      <w:pPr>
        <w:spacing w:after="100"/>
      </w:pPr>
      <w:r>
        <w:t>[2] P. Lamela Seijas, A. Nemish, D. Smith, and S. Thompson. Marlowe: Implementing and Analysing Financial Contracts on Blockchain. Financial Cryptography and Data Security, LNCS 12063, pp. 496–511, 2020. https://doi.org/10.1007/978-3-030-54455-3_35.</w:t>
      </w:r>
    </w:p>
    <w:p>
      <w:pPr>
        <w:spacing w:after="100"/>
      </w:pPr>
      <w:r>
        <w:t>[3] B. Zhang, H. Liu, Q. Tian, S. Chen, Z. Wang, and Q. Qi. Towards Trustworthy Smart Contract Synthesis: A Multi-Agent Framework with Lean-Based Verification. Proceedings of ACL, Volume 1, pp. 39548–39582, 2026. https://doi.org/10.18653/v1/2026.acl-long.1836.</w:t>
      </w:r>
    </w:p>
    <w:p>
      <w:pPr>
        <w:spacing w:after="100"/>
      </w:pPr>
      <w:r>
        <w:t>[4] Marlowe AI Agent project. Source repository, revision ac1aad4c35e698fcc605e26e48b7cb3fbe86c420. https://github.com/tohyung/AI-Agent-SC/tree/ac1aad4c35e698fcc605e26e48b7cb3fbe86c420. Components include research/architecture/cli_runner.py, research/architecture/assurance.py, research/stage3/comparison.py, research/stage4/adversarial.py, and research/stage5/registry.py. Accessed 7 October 2026.</w:t>
      </w:r>
    </w:p>
    <w:p>
      <w:pPr>
        <w:spacing w:after="100"/>
      </w:pPr>
      <w:r>
        <w:t>[5] Marlowe AI Agent project. Main-pipeline roleplay batch 20: progress report, 6 October 2026. https://github.com/tohyung/AI-Agent-SC/blob/ac1aad4c35e698fcc605e26e48b7cb3fbe86c420/docs/research/roleplay-main-batch20-progress.md. Internal engineering report; underlying ignored run journals are not committed.</w:t>
      </w:r>
    </w:p>
    <w:p>
      <w:pPr>
        <w:spacing w:after="100"/>
      </w:pPr>
      <w:r>
        <w:t>[6] Marlowe AI Agent project. Stage 2A evaluation material and candidate corpus. https://github.com/tohyung/AI-Agent-SC/blob/ac1aad4c35e698fcc605e26e48b7cb3fbe86c420/research/stage2a/freeze/stage2a-v1.manifest.json and associated protocol and corpus artifacts. Draft development material, not an independently reviewed hidden benchmark.</w:t>
      </w:r>
    </w:p>
    <w:p>
      <w:pPr/>
      <w:r>
        <w:t>[7] T. Lebo, S. Sahoo, and D. McGuinness, editors. PROV-O: The PROV Ontology. W3C Recommendation, 30 April 2013. https://www.w3.org/TR/2013/REC-prov-o-20130430/.</w:t>
      </w:r>
    </w:p>
    <w:p>
      <w:pPr/>
      <w:r>
        <w:t>[8] Object Management Group. Structured Assurance Case Metamodel, version 2.3, October 2023. https://www.omg.org/spec/SACM/2.3/.</w:t>
      </w:r>
    </w:p>
    <w:p>
      <w:pPr>
        <w:pStyle w:val="Heading1"/>
        <w:pageBreakBefore/>
      </w:pPr>
      <w:r>
        <w:t>Phụ lục A Truy vết và các phép thử tuân thủ được đề xuất</w:t>
      </w:r>
    </w:p>
    <w:p>
      <w:r>
        <w:t>Bộ điều phối CLI trong research/architecture/cli_runner.py hỗ trợ mô tả luồng điều khiển ở Mục 4. Module assurance định nghĩa tham chiếu bằng chứng và claim có phạm vi, còn stage3/comparison.py giữ riêng các kết luận về mức khớp ý định và đối chiếu tham chiếu. Bộ chuyển tiếp adversarial ghi search_performed là false. Registry Stage 5 lưu lịch sử ứng viên và đòi mã bằng chứng cùng mã người duyệt cho một số sự kiện cuối. Các vị trí này là bằng chứng về phần đã triển khai; chúng không thay thế kiểm toán chính sách đầu cuối. Mã và tài liệu đã được xem ở phiên bản ac1aad4c35e698fcc605e26e48b7cb3fbe86c420.</w:t>
      </w:r>
    </w:p>
    <w:p>
      <w:pPr>
        <w:pStyle w:val="Caption"/>
        <w:keepNext/>
      </w:pPr>
      <w:r>
        <w:rPr>
          <w:b/>
        </w:rPr>
        <w:t>Bảng A1. Các phép thử phủ định được đề xuất cho chính sách tổng hợp bằng chứng.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120"/>
      </w:tblGrid>
      <w:tr>
        <w:trPr>
          <w:tblHeader/>
          <w:cantSplit/>
        </w:trPr>
        <w:tc>
          <w:tcPr>
            <w:tcW w:type="dxa" w:w="3816"/>
            <w:vAlign w:val="center"/>
            <w:shd w:fill="E7E9EC"/>
            <w:tcMar>
              <w:top w:w="80" w:type="dxa"/>
              <w:left w:w="80" w:type="dxa"/>
              <w:bottom w:w="80" w:type="dxa"/>
              <w:right w:w="80" w:type="dxa"/>
            </w:tcMar>
          </w:tcPr>
          <w:p>
            <w:r>
              <w:rPr>
                <w:rFonts w:ascii="Times New Roman" w:hAnsi="Times New Roman"/>
                <w:b/>
              </w:rPr>
              <w:t>Thay đổi gây lỗi</w:t>
            </w:r>
          </w:p>
        </w:tc>
        <w:tc>
          <w:tcPr>
            <w:tcW w:type="dxa" w:w="6120"/>
            <w:vAlign w:val="center"/>
            <w:shd w:fill="E7E9EC"/>
            <w:tcMar>
              <w:top w:w="80" w:type="dxa"/>
              <w:left w:w="80" w:type="dxa"/>
              <w:bottom w:w="80" w:type="dxa"/>
              <w:right w:w="80" w:type="dxa"/>
            </w:tcMar>
          </w:tcPr>
          <w:p>
            <w:r>
              <w:rPr>
                <w:rFonts w:ascii="Times New Roman" w:hAnsi="Times New Roman"/>
                <w:b/>
              </w:rPr>
              <w:t>Hành vi chính sách cần có</w:t>
            </w:r>
          </w:p>
        </w:tc>
      </w:tr>
      <w:tr>
        <w:trPr>
          <w:cantSplit/>
        </w:trPr>
        <w:tc>
          <w:tcPr>
            <w:tcW w:type="dxa" w:w="3816"/>
            <w:vAlign w:val="center"/>
            <w:shd w:fill="FFFFFF"/>
            <w:tcMar>
              <w:top w:w="80" w:type="dxa"/>
              <w:left w:w="80" w:type="dxa"/>
              <w:bottom w:w="80" w:type="dxa"/>
              <w:right w:w="80" w:type="dxa"/>
            </w:tcMar>
          </w:tcPr>
          <w:p>
            <w:r>
              <w:rPr>
                <w:rFonts w:ascii="Times New Roman" w:hAnsi="Times New Roman"/>
                <w:b w:val="0"/>
              </w:rPr>
              <w:t>Đổi ứng viên sau một trace đạt</w:t>
            </w:r>
          </w:p>
        </w:tc>
        <w:tc>
          <w:tcPr>
            <w:tcW w:type="dxa" w:w="6120"/>
            <w:vAlign w:val="center"/>
            <w:shd w:fill="FFFFFF"/>
            <w:tcMar>
              <w:top w:w="80" w:type="dxa"/>
              <w:left w:w="80" w:type="dxa"/>
              <w:bottom w:w="80" w:type="dxa"/>
              <w:right w:w="80" w:type="dxa"/>
            </w:tcMar>
          </w:tcPr>
          <w:p>
            <w:r>
              <w:rPr>
                <w:rFonts w:ascii="Times New Roman" w:hAnsi="Times New Roman"/>
                <w:b w:val="0"/>
              </w:rPr>
              <w:t>Kết quả cũ không thể xác nhận ứng viên mới nếu chưa có biện minh tái sử dụng hoặc kiểm tra lại</w:t>
            </w:r>
          </w:p>
        </w:tc>
      </w:tr>
      <w:tr>
        <w:trPr>
          <w:cantSplit/>
        </w:trPr>
        <w:tc>
          <w:tcPr>
            <w:tcW w:type="dxa" w:w="3816"/>
            <w:vAlign w:val="center"/>
            <w:shd w:fill="F7F7F7"/>
            <w:tcMar>
              <w:top w:w="80" w:type="dxa"/>
              <w:left w:w="80" w:type="dxa"/>
              <w:bottom w:w="80" w:type="dxa"/>
              <w:right w:w="80" w:type="dxa"/>
            </w:tcMar>
          </w:tcPr>
          <w:p>
            <w:r>
              <w:rPr>
                <w:rFonts w:ascii="Times New Roman" w:hAnsi="Times New Roman"/>
                <w:b w:val="0"/>
              </w:rPr>
              <w:t>Đổi ý định đã chấp nhận sau duyệt</w:t>
            </w:r>
          </w:p>
        </w:tc>
        <w:tc>
          <w:tcPr>
            <w:tcW w:type="dxa" w:w="6120"/>
            <w:vAlign w:val="center"/>
            <w:shd w:fill="F7F7F7"/>
            <w:tcMar>
              <w:top w:w="80" w:type="dxa"/>
              <w:left w:w="80" w:type="dxa"/>
              <w:bottom w:w="80" w:type="dxa"/>
              <w:right w:w="80" w:type="dxa"/>
            </w:tcMar>
          </w:tcPr>
          <w:p>
            <w:r>
              <w:rPr>
                <w:rFonts w:ascii="Times New Roman" w:hAnsi="Times New Roman"/>
                <w:b w:val="0"/>
              </w:rPr>
              <w:t>Yêu cầu duyệt lại và làm mất hiệu lực các kết luận tiếp theo bị ảnh hưởng</w:t>
            </w:r>
          </w:p>
        </w:tc>
      </w:tr>
      <w:tr>
        <w:trPr>
          <w:cantSplit/>
        </w:trPr>
        <w:tc>
          <w:tcPr>
            <w:tcW w:type="dxa" w:w="3816"/>
            <w:vAlign w:val="center"/>
            <w:shd w:fill="FFFFFF"/>
            <w:tcMar>
              <w:top w:w="80" w:type="dxa"/>
              <w:left w:w="80" w:type="dxa"/>
              <w:bottom w:w="80" w:type="dxa"/>
              <w:right w:w="80" w:type="dxa"/>
            </w:tcMar>
          </w:tcPr>
          <w:p>
            <w:r>
              <w:rPr>
                <w:rFonts w:ascii="Times New Roman" w:hAnsi="Times New Roman"/>
                <w:b w:val="0"/>
              </w:rPr>
              <w:t>Tham chiếu SATISFIED nhưng mức khớp INCONCLUSIVE</w:t>
            </w:r>
          </w:p>
        </w:tc>
        <w:tc>
          <w:tcPr>
            <w:tcW w:type="dxa" w:w="6120"/>
            <w:vAlign w:val="center"/>
            <w:shd w:fill="FFFFFF"/>
            <w:tcMar>
              <w:top w:w="80" w:type="dxa"/>
              <w:left w:w="80" w:type="dxa"/>
              <w:bottom w:w="80" w:type="dxa"/>
              <w:right w:w="80" w:type="dxa"/>
            </w:tcMar>
          </w:tcPr>
          <w:p>
            <w:r>
              <w:rPr>
                <w:rFonts w:ascii="Times New Roman" w:hAnsi="Times New Roman"/>
                <w:b w:val="0"/>
              </w:rPr>
              <w:t>Hoãn quyết định nếu mức khớp là bắt buộc; giữ cả hai kết luận</w:t>
            </w:r>
          </w:p>
        </w:tc>
      </w:tr>
      <w:tr>
        <w:trPr>
          <w:cantSplit/>
        </w:trPr>
        <w:tc>
          <w:tcPr>
            <w:tcW w:type="dxa" w:w="3816"/>
            <w:vAlign w:val="center"/>
            <w:shd w:fill="F7F7F7"/>
            <w:tcMar>
              <w:top w:w="80" w:type="dxa"/>
              <w:left w:w="80" w:type="dxa"/>
              <w:bottom w:w="80" w:type="dxa"/>
              <w:right w:w="80" w:type="dxa"/>
            </w:tcMar>
          </w:tcPr>
          <w:p>
            <w:r>
              <w:rPr>
                <w:rFonts w:ascii="Times New Roman" w:hAnsi="Times New Roman"/>
                <w:b w:val="0"/>
              </w:rPr>
              <w:t>Không có trace hoặc finding của oracle</w:t>
            </w:r>
          </w:p>
        </w:tc>
        <w:tc>
          <w:tcPr>
            <w:tcW w:type="dxa" w:w="6120"/>
            <w:vAlign w:val="center"/>
            <w:shd w:fill="F7F7F7"/>
            <w:tcMar>
              <w:top w:w="80" w:type="dxa"/>
              <w:left w:w="80" w:type="dxa"/>
              <w:bottom w:w="80" w:type="dxa"/>
              <w:right w:w="80" w:type="dxa"/>
            </w:tcMar>
          </w:tcPr>
          <w:p>
            <w:r>
              <w:rPr>
                <w:rFonts w:ascii="Times New Roman" w:hAnsi="Times New Roman"/>
                <w:b w:val="0"/>
              </w:rPr>
              <w:t>Không suy ra bao phủ đầy đủ hoặc đúng về ngữ nghĩa</w:t>
            </w:r>
          </w:p>
        </w:tc>
      </w:tr>
      <w:tr>
        <w:trPr>
          <w:cantSplit/>
        </w:trPr>
        <w:tc>
          <w:tcPr>
            <w:tcW w:type="dxa" w:w="3816"/>
            <w:vAlign w:val="center"/>
            <w:shd w:fill="FFFFFF"/>
            <w:tcMar>
              <w:top w:w="80" w:type="dxa"/>
              <w:left w:w="80" w:type="dxa"/>
              <w:bottom w:w="80" w:type="dxa"/>
              <w:right w:w="80" w:type="dxa"/>
            </w:tcMar>
          </w:tcPr>
          <w:p>
            <w:r>
              <w:rPr>
                <w:rFonts w:ascii="Times New Roman" w:hAnsi="Times New Roman"/>
                <w:b w:val="0"/>
              </w:rPr>
              <w:t>Thêm mã bằng chứng chưa giải quyết vào registry</w:t>
            </w:r>
          </w:p>
        </w:tc>
        <w:tc>
          <w:tcPr>
            <w:tcW w:type="dxa" w:w="6120"/>
            <w:vAlign w:val="center"/>
            <w:shd w:fill="FFFFFF"/>
            <w:tcMar>
              <w:top w:w="80" w:type="dxa"/>
              <w:left w:w="80" w:type="dxa"/>
              <w:bottom w:w="80" w:type="dxa"/>
              <w:right w:w="80" w:type="dxa"/>
            </w:tcMar>
          </w:tcPr>
          <w:p>
            <w:r>
              <w:rPr>
                <w:rFonts w:ascii="Times New Roman" w:hAnsi="Times New Roman"/>
                <w:b w:val="0"/>
              </w:rPr>
              <w:t>Không xem sự có mặt của trường dữ liệu là bằng chứng đã được xác minh</w:t>
            </w:r>
          </w:p>
        </w:tc>
      </w:tr>
      <w:tr>
        <w:trPr>
          <w:cantSplit/>
        </w:trPr>
        <w:tc>
          <w:tcPr>
            <w:tcW w:type="dxa" w:w="3816"/>
            <w:vAlign w:val="center"/>
            <w:shd w:fill="F7F7F7"/>
            <w:tcMar>
              <w:top w:w="80" w:type="dxa"/>
              <w:left w:w="80" w:type="dxa"/>
              <w:bottom w:w="80" w:type="dxa"/>
              <w:right w:w="80" w:type="dxa"/>
            </w:tcMar>
          </w:tcPr>
          <w:p>
            <w:r>
              <w:rPr>
                <w:rFonts w:ascii="Times New Roman" w:hAnsi="Times New Roman"/>
                <w:b w:val="0"/>
              </w:rPr>
              <w:t>Dùng lại bằng chứng từ trạng thái đầu hoặc phiên bản công cụ khác</w:t>
            </w:r>
          </w:p>
        </w:tc>
        <w:tc>
          <w:tcPr>
            <w:tcW w:type="dxa" w:w="6120"/>
            <w:vAlign w:val="center"/>
            <w:shd w:fill="F7F7F7"/>
            <w:tcMar>
              <w:top w:w="80" w:type="dxa"/>
              <w:left w:w="80" w:type="dxa"/>
              <w:bottom w:w="80" w:type="dxa"/>
              <w:right w:w="80" w:type="dxa"/>
            </w:tcMar>
          </w:tcPr>
          <w:p>
            <w:r>
              <w:rPr>
                <w:rFonts w:ascii="Times New Roman" w:hAnsi="Times New Roman"/>
                <w:b w:val="0"/>
              </w:rPr>
              <w:t>Kiểm tra khả năng áp dụng và giữ các giả định</w:t>
            </w:r>
          </w:p>
        </w:tc>
      </w:tr>
      <w:tr>
        <w:trPr>
          <w:cantSplit/>
        </w:trPr>
        <w:tc>
          <w:tcPr>
            <w:tcW w:type="dxa" w:w="3816"/>
            <w:vAlign w:val="center"/>
            <w:shd w:fill="FFFFFF"/>
            <w:tcMar>
              <w:top w:w="80" w:type="dxa"/>
              <w:left w:w="80" w:type="dxa"/>
              <w:bottom w:w="80" w:type="dxa"/>
              <w:right w:w="80" w:type="dxa"/>
            </w:tcMar>
          </w:tcPr>
          <w:p>
            <w:r>
              <w:rPr>
                <w:rFonts w:ascii="Times New Roman" w:hAnsi="Times New Roman"/>
                <w:b w:val="0"/>
              </w:rPr>
              <w:t>Bước kiểm tra bắt buộc không khả dụng</w:t>
            </w:r>
          </w:p>
        </w:tc>
        <w:tc>
          <w:tcPr>
            <w:tcW w:type="dxa" w:w="6120"/>
            <w:vAlign w:val="center"/>
            <w:shd w:fill="FFFFFF"/>
            <w:tcMar>
              <w:top w:w="80" w:type="dxa"/>
              <w:left w:w="80" w:type="dxa"/>
              <w:bottom w:w="80" w:type="dxa"/>
              <w:right w:w="80" w:type="dxa"/>
            </w:tcMar>
          </w:tcPr>
          <w:p>
            <w:r>
              <w:rPr>
                <w:rFonts w:ascii="Times New Roman" w:hAnsi="Times New Roman"/>
                <w:b w:val="0"/>
              </w:rPr>
              <w:t>Hoãn hoặc chặn; không ghi một phép kiểm tra ngữ nghĩa thành công</w:t>
            </w:r>
          </w:p>
        </w:tc>
      </w:tr>
    </w:tbl>
    <w:p>
      <w:pPr>
        <w:spacing w:after="40"/>
      </w:pPr>
    </w:p>
    <w:p>
      <w:r>
        <w:t>Các phép thử đề xuất ở trên là kế hoạch kiểm tra việc tuân thủ, không phải kết quả thử nghiệm mới. Một nghiên cứu có thể tái lập cần công bố đầu vào của từng phép thử, quyết định chính sách mong đợi, quyết định quan sát được và đường thực thi chịu trách nhiệm. Kết quả phải phân biệt một bất biến đã được cưỡng chế, một đường đi chưa hỗ trợ nhưng hoãn quyết định an toàn và một lỗ hổng cần triển khai. Điều này cần thiết trước khi nâng các mô tả kiến trúc thành bảo đảm cho mọi đường thực thi.</w:t>
      </w:r>
    </w:p>
    <w:sectPr w:rsidR="00FC693F" w:rsidRPr="0006063C" w:rsidSect="00034616">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Tổng hợp Marlowe và bảo đảm theo phạm vi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bảo đảm theo phạm vi bằng chứng cho việc tổng hợp hợp đồng tài chính Marlowe từ ngôn ngữ tự nhiên</dc:title>
  <dc:subject>Architecture and prototype research manuscript</dc:subject>
  <dc:creator/>
  <cp:keywords>Marlowe, intent preservation, semantic hallucination, scoped evidence</cp:keywords>
  <dc:description>generated by python-docx</dc:description>
  <cp:lastModifiedBy/>
  <cp:revision>1</cp:revision>
  <dcterms:created xsi:type="dcterms:W3CDTF">2013-12-23T23:15:00Z</dcterms:created>
  <dcterms:modified xsi:type="dcterms:W3CDTF">2013-12-23T23:15:00Z</dcterms:modified>
  <cp:category/>
</cp:coreProperties>
</file>