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0B24B83B" w14:textId="61C914E3" w:rsidR="00D45628" w:rsidRDefault="00D45628" w:rsidP="002333E1">
      <w:pPr>
        <w:pStyle w:val="Heading1"/>
        <w:ind w:left="-5"/>
        <w:rPr>
          <w:b w:val="0"/>
          <w:bCs/>
          <w:color w:val="000000" w:themeColor="text1"/>
          <w:sz w:val="18"/>
          <w:szCs w:val="18"/>
        </w:rPr>
      </w:pPr>
      <w:hyperlink r:id="rId8" w:history="1">
        <w:r w:rsidRPr="00B45BE5">
          <w:rPr>
            <w:rStyle w:val="Hyperlink"/>
            <w:b w:val="0"/>
            <w:bCs/>
            <w:sz w:val="18"/>
            <w:szCs w:val="18"/>
          </w:rPr>
          <w:t>https://docs.google.com/document/d/1QzCVN4R-yDbmI9vbohieWTP0vOk0_yIp/edit?usp=sharing&amp;ouid=100490496765366795685&amp;rtpof=true&amp;sd=true</w:t>
        </w:r>
      </w:hyperlink>
    </w:p>
    <w:p w14:paraId="1E7843E6" w14:textId="77777777" w:rsidR="00D45628" w:rsidRPr="00D45628" w:rsidRDefault="00D45628" w:rsidP="00D45628"/>
    <w:p w14:paraId="56A395F4" w14:textId="01D2B2DF" w:rsidR="00A21DDB" w:rsidRPr="002333E1" w:rsidRDefault="00040E4A" w:rsidP="002333E1">
      <w:pPr>
        <w:pStyle w:val="Heading1"/>
        <w:ind w:left="-5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034820">
        <w:rPr>
          <w:b w:val="0"/>
          <w:bCs/>
          <w:color w:val="000000" w:themeColor="text1"/>
          <w:sz w:val="18"/>
          <w:szCs w:val="18"/>
        </w:rPr>
        <w:t>, and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B14E20">
        <w:rPr>
          <w:b w:val="0"/>
          <w:bCs/>
          <w:color w:val="000000" w:themeColor="text1"/>
          <w:sz w:val="18"/>
          <w:szCs w:val="18"/>
        </w:rPr>
        <w:t xml:space="preserve">with </w:t>
      </w:r>
      <w:r w:rsidR="00034820">
        <w:rPr>
          <w:b w:val="0"/>
          <w:bCs/>
          <w:color w:val="000000" w:themeColor="text1"/>
          <w:sz w:val="18"/>
          <w:szCs w:val="18"/>
        </w:rPr>
        <w:t>exper</w:t>
      </w:r>
      <w:r>
        <w:rPr>
          <w:b w:val="0"/>
          <w:bCs/>
          <w:color w:val="000000" w:themeColor="text1"/>
          <w:sz w:val="18"/>
          <w:szCs w:val="18"/>
        </w:rPr>
        <w:t>tise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spanning </w:t>
      </w:r>
      <w:r>
        <w:rPr>
          <w:b w:val="0"/>
          <w:bCs/>
          <w:color w:val="000000" w:themeColor="text1"/>
          <w:sz w:val="18"/>
          <w:szCs w:val="18"/>
        </w:rPr>
        <w:t xml:space="preserve">from </w:t>
      </w:r>
      <w:r w:rsidR="00383F1D">
        <w:rPr>
          <w:b w:val="0"/>
          <w:bCs/>
          <w:color w:val="000000" w:themeColor="text1"/>
          <w:sz w:val="18"/>
          <w:szCs w:val="18"/>
        </w:rPr>
        <w:t>application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to 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networking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software </w:t>
      </w:r>
      <w:r w:rsidR="00383F1D">
        <w:rPr>
          <w:b w:val="0"/>
          <w:bCs/>
          <w:color w:val="000000" w:themeColor="text1"/>
          <w:sz w:val="18"/>
          <w:szCs w:val="18"/>
        </w:rPr>
        <w:t>stack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383F1D">
        <w:rPr>
          <w:b w:val="0"/>
          <w:bCs/>
          <w:color w:val="000000" w:themeColor="text1"/>
          <w:sz w:val="18"/>
          <w:szCs w:val="18"/>
        </w:rPr>
        <w:t>Passionate about cryptography, information security, low level performance, BPF, and highly scalable architecture.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10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1B1F58EF" w:rsidR="00920462" w:rsidRDefault="00644134" w:rsidP="00FB2672">
      <w:pPr>
        <w:numPr>
          <w:ilvl w:val="0"/>
          <w:numId w:val="1"/>
        </w:numPr>
        <w:ind w:hanging="159"/>
      </w:pPr>
      <w:r>
        <w:t>H</w:t>
      </w:r>
      <w:r w:rsidR="00920462">
        <w:t xml:space="preserve">elped </w:t>
      </w:r>
      <w:proofErr w:type="spellStart"/>
      <w:r w:rsidR="00920462">
        <w:t>Cloudfront</w:t>
      </w:r>
      <w:proofErr w:type="spellEnd"/>
      <w:r w:rsidR="00920462">
        <w:t xml:space="preserve"> </w:t>
      </w:r>
      <w:r>
        <w:t>migrate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>
        <w:t>result</w:t>
      </w:r>
      <w:r w:rsidR="00726510">
        <w:t>ing</w:t>
      </w:r>
      <w:r>
        <w:t xml:space="preserve"> in 20% better performance and 30% </w:t>
      </w:r>
      <w:r w:rsidR="00D44E7C">
        <w:t xml:space="preserve">less </w:t>
      </w:r>
      <w:r>
        <w:t xml:space="preserve">CPU </w:t>
      </w:r>
      <w:r w:rsidR="00D44E7C">
        <w:t>usag</w:t>
      </w:r>
      <w:r w:rsidR="005A42A4">
        <w:t>e</w:t>
      </w:r>
      <w:r>
        <w:t>.</w:t>
      </w:r>
    </w:p>
    <w:p w14:paraId="1405B615" w14:textId="4D403271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r w:rsidR="001E47A6" w:rsidRPr="0058527F">
        <w:t xml:space="preserve">asynchronous </w:t>
      </w:r>
      <w:proofErr w:type="spellStart"/>
      <w:r w:rsidR="001E47A6" w:rsidRPr="0058527F">
        <w:t>ClientHello</w:t>
      </w:r>
      <w:proofErr w:type="spellEnd"/>
      <w:r w:rsidR="00BA2172">
        <w:t xml:space="preserve"> handling for s2n-quic</w:t>
      </w:r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631C62">
        <w:t>.</w:t>
      </w:r>
      <w:r>
        <w:t xml:space="preserve"> </w:t>
      </w:r>
      <w:r w:rsidR="00631C62">
        <w:t>W</w:t>
      </w:r>
      <w:r>
        <w:t xml:space="preserve">orked closely with </w:t>
      </w:r>
      <w:proofErr w:type="spellStart"/>
      <w:r>
        <w:t>Cloudfront</w:t>
      </w:r>
      <w:proofErr w:type="spellEnd"/>
      <w:r>
        <w:t xml:space="preserve"> to</w:t>
      </w:r>
      <w:r w:rsidR="00A664E9">
        <w:t xml:space="preserve"> deliver</w:t>
      </w:r>
      <w:r w:rsidR="0058527F">
        <w:t xml:space="preserve"> </w:t>
      </w:r>
      <w:hyperlink r:id="rId11" w:history="1">
        <w:r w:rsidR="0058527F" w:rsidRPr="0058527F">
          <w:rPr>
            <w:rStyle w:val="Hyperlink"/>
          </w:rPr>
          <w:t>asynchronous certificate loading</w:t>
        </w:r>
      </w:hyperlink>
      <w:r w:rsidR="00631C62">
        <w:rPr>
          <w:rStyle w:val="Hyperlink"/>
        </w:rPr>
        <w:t xml:space="preserve"> </w:t>
      </w:r>
      <w:r w:rsidR="00631C62">
        <w:t>which reduce</w:t>
      </w:r>
      <w:r w:rsidR="004240DE">
        <w:t xml:space="preserve">d </w:t>
      </w:r>
      <w:r w:rsidR="00631C62">
        <w:t>memory footprint required across the</w:t>
      </w:r>
      <w:r w:rsidR="004240DE">
        <w:t>ir</w:t>
      </w:r>
      <w:r w:rsidR="00631C62">
        <w:t xml:space="preserve"> fleet.</w:t>
      </w:r>
    </w:p>
    <w:p w14:paraId="6CBA98C7" w14:textId="5378A6AE" w:rsidR="00644134" w:rsidRDefault="00BA4EBE" w:rsidP="003C1F36">
      <w:pPr>
        <w:numPr>
          <w:ilvl w:val="0"/>
          <w:numId w:val="1"/>
        </w:numPr>
        <w:ind w:hanging="159"/>
      </w:pPr>
      <w:r>
        <w:t xml:space="preserve">Conducted </w:t>
      </w:r>
      <w:r w:rsidR="00A664E9">
        <w:t>investigations</w:t>
      </w:r>
      <w:r>
        <w:t xml:space="preserve"> and led team discussions on </w:t>
      </w:r>
      <w:r w:rsidR="00A664E9">
        <w:t>various</w:t>
      </w:r>
      <w:r>
        <w:t xml:space="preserve"> </w:t>
      </w:r>
      <w:r w:rsidR="00A664E9">
        <w:t xml:space="preserve">large-scale projects </w:t>
      </w:r>
      <w:r w:rsidR="00CD5A67">
        <w:t>which influenced API design and internal implementatio</w:t>
      </w:r>
      <w:r w:rsidR="005A42A4">
        <w:t>n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2" w:history="1">
        <w:r w:rsidRPr="00CD5A67">
          <w:rPr>
            <w:rStyle w:val="Hyperlink"/>
          </w:rPr>
          <w:t>Ack-frequency</w:t>
        </w:r>
      </w:hyperlink>
      <w:r w:rsidR="00CD5A67">
        <w:t xml:space="preserve"> analysis</w:t>
      </w:r>
      <w:r>
        <w:t>,</w:t>
      </w:r>
      <w:r w:rsidR="005A42A4">
        <w:t xml:space="preserve"> implementing a zero-cost </w:t>
      </w:r>
      <w:hyperlink r:id="rId13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4" w:history="1">
        <w:r w:rsidR="005A42A4">
          <w:rPr>
            <w:rStyle w:val="Hyperlink"/>
          </w:rPr>
          <w:t>Client support</w:t>
        </w:r>
      </w:hyperlink>
      <w:r w:rsidR="005A42A4">
        <w:t xml:space="preserve"> to s2n-quic,</w:t>
      </w:r>
      <w:r>
        <w:t xml:space="preserve"> </w:t>
      </w:r>
      <w:hyperlink r:id="rId15" w:history="1">
        <w:r w:rsidR="00CD5A67" w:rsidRPr="00CD5A67">
          <w:rPr>
            <w:rStyle w:val="Hyperlink"/>
          </w:rPr>
          <w:t>m</w:t>
        </w:r>
        <w:r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6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7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205767F3" w:rsidR="00A974E6" w:rsidRDefault="00DC0CBF" w:rsidP="0029288E">
      <w:pPr>
        <w:numPr>
          <w:ilvl w:val="0"/>
          <w:numId w:val="1"/>
        </w:numPr>
        <w:spacing w:after="115"/>
        <w:ind w:hanging="159"/>
      </w:pPr>
      <w:r>
        <w:t>Implemented</w:t>
      </w:r>
      <w:r w:rsidR="009B4DFC">
        <w:t xml:space="preserve"> </w:t>
      </w:r>
      <w:hyperlink r:id="rId18" w:history="1">
        <w:r w:rsidR="005000F7" w:rsidRPr="00DC0CBF">
          <w:rPr>
            <w:rStyle w:val="Hyperlink"/>
          </w:rPr>
          <w:t xml:space="preserve">Netbench </w:t>
        </w:r>
        <w:r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>
        <w:t>,</w:t>
      </w:r>
      <w:r w:rsidR="00666F5C">
        <w:t xml:space="preserve"> </w:t>
      </w:r>
      <w:r>
        <w:t>enabling</w:t>
      </w:r>
      <w:r w:rsidR="00666F5C">
        <w:t xml:space="preserve"> </w:t>
      </w:r>
      <w:r w:rsidR="006E3D7A">
        <w:t xml:space="preserve">production-like, </w:t>
      </w:r>
      <w:r w:rsidR="00666F5C">
        <w:t>reproducible</w:t>
      </w:r>
      <w:r>
        <w:t>,</w:t>
      </w:r>
      <w:r w:rsidR="006E3D7A">
        <w:t xml:space="preserve"> and</w:t>
      </w:r>
      <w:r>
        <w:t xml:space="preserve"> automated </w:t>
      </w:r>
      <w:r w:rsidR="00666F5C">
        <w:t>testing of various network protocols on EC2 hosts.</w:t>
      </w:r>
      <w:r w:rsidR="009B4DFC">
        <w:t xml:space="preserve"> </w:t>
      </w:r>
      <w:r w:rsidR="006E3D7A">
        <w:t>Enabled the team to make data-driven decisions when developing our libraries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20055957" w:rsidR="00502545" w:rsidRDefault="00502545" w:rsidP="00502545">
      <w:pPr>
        <w:numPr>
          <w:ilvl w:val="0"/>
          <w:numId w:val="1"/>
        </w:numPr>
        <w:ind w:hanging="159"/>
      </w:pPr>
      <w:r>
        <w:t>Deployed new production service for fingerprinting similar EC2 hosts</w:t>
      </w:r>
      <w:r w:rsidR="009E1002">
        <w:t>; a</w:t>
      </w:r>
      <w:r>
        <w:t xml:space="preserve">t launch the service handled 10,000+ API calls across 15+ AWS regions with </w:t>
      </w:r>
      <w:r w:rsidR="00E16F71">
        <w:t>zero</w:t>
      </w:r>
      <w:r>
        <w:t xml:space="preserve"> </w:t>
      </w:r>
      <w:r w:rsidR="00E16F71">
        <w:t>failures</w:t>
      </w:r>
      <w:r w:rsidR="00AA3AF2">
        <w:t xml:space="preserve"> and </w:t>
      </w:r>
      <w:r>
        <w:t>downtime.</w:t>
      </w:r>
    </w:p>
    <w:p w14:paraId="733D51CD" w14:textId="0CEB4FEF" w:rsidR="00502545" w:rsidRDefault="00502545" w:rsidP="00502545">
      <w:pPr>
        <w:numPr>
          <w:ilvl w:val="0"/>
          <w:numId w:val="1"/>
        </w:numPr>
        <w:ind w:hanging="159"/>
      </w:pPr>
      <w:r>
        <w:t xml:space="preserve">Implemented automatic detection of stuck fail-safe-switches across 15+ AWS regions, which </w:t>
      </w:r>
      <w:r w:rsidR="00E16F71">
        <w:t xml:space="preserve">helped reduce </w:t>
      </w:r>
      <w:proofErr w:type="spellStart"/>
      <w:r w:rsidR="003C1F36">
        <w:t>oncall</w:t>
      </w:r>
      <w:proofErr w:type="spellEnd"/>
      <w:r w:rsidR="003C1F36">
        <w:t xml:space="preserve"> pages,</w:t>
      </w:r>
      <w:r w:rsidR="00E16F71">
        <w:t xml:space="preserve"> </w:t>
      </w:r>
      <w:r>
        <w:t>increas</w:t>
      </w:r>
      <w:r w:rsidR="00E16F71">
        <w:t>ed</w:t>
      </w:r>
      <w:r>
        <w:t xml:space="preserve"> availability of service</w:t>
      </w:r>
      <w:r w:rsidR="00980E9A">
        <w:t>s</w:t>
      </w:r>
      <w:r w:rsidR="003C1F36">
        <w:t xml:space="preserve"> and</w:t>
      </w:r>
      <w:r>
        <w:t xml:space="preserve"> </w:t>
      </w:r>
      <w:r w:rsidR="008C79D0">
        <w:t xml:space="preserve">resulted in </w:t>
      </w:r>
      <w:r w:rsidR="003C1F36">
        <w:t>cost savings of</w:t>
      </w:r>
      <w:r w:rsidR="00E16F71">
        <w:t xml:space="preserve"> </w:t>
      </w:r>
      <w:r>
        <w:t>$</w:t>
      </w:r>
      <w:r w:rsidR="00E16F71">
        <w:t>1</w:t>
      </w:r>
      <w:r>
        <w:t>00,000/year.</w:t>
      </w:r>
    </w:p>
    <w:p w14:paraId="13D8434D" w14:textId="7FDFC592" w:rsidR="002E7BB3" w:rsidRDefault="00E16F71" w:rsidP="00443BAE">
      <w:pPr>
        <w:numPr>
          <w:ilvl w:val="0"/>
          <w:numId w:val="1"/>
        </w:numPr>
        <w:spacing w:after="120"/>
        <w:ind w:left="158" w:hanging="158"/>
      </w:pPr>
      <w:r>
        <w:t xml:space="preserve">Added granular </w:t>
      </w:r>
      <w:r w:rsidR="003C1F36">
        <w:t xml:space="preserve">AZ </w:t>
      </w:r>
      <w:r>
        <w:t xml:space="preserve">support to </w:t>
      </w:r>
      <w:r w:rsidR="00502545">
        <w:t>fail-safe-switches</w:t>
      </w:r>
      <w:r w:rsidR="003C1F36">
        <w:t xml:space="preserve">, resulting in </w:t>
      </w:r>
      <w:r>
        <w:t xml:space="preserve">increased </w:t>
      </w:r>
      <w:r w:rsidR="00502545">
        <w:t xml:space="preserve">availability </w:t>
      </w:r>
      <w:r w:rsidR="00FF22E7">
        <w:t>service</w:t>
      </w:r>
      <w:r w:rsidR="00980E9A">
        <w:t>s</w:t>
      </w:r>
      <w:r w:rsidR="00FF22E7">
        <w:t xml:space="preserve"> </w:t>
      </w:r>
      <w:r w:rsidR="00502545">
        <w:t xml:space="preserve">and </w:t>
      </w:r>
      <w:r w:rsidR="003C1F36">
        <w:t>cost savings of</w:t>
      </w:r>
      <w:r w:rsidR="00502545">
        <w:t xml:space="preserve"> $</w:t>
      </w:r>
      <w:r>
        <w:t>25</w:t>
      </w:r>
      <w:r w:rsidR="00502545">
        <w:t>0,000/year.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316713DF" w:rsidR="00C835AC" w:rsidRDefault="00C835AC" w:rsidP="00C835AC">
      <w:pPr>
        <w:numPr>
          <w:ilvl w:val="0"/>
          <w:numId w:val="1"/>
        </w:numPr>
        <w:ind w:hanging="159"/>
      </w:pPr>
      <w:r>
        <w:t>Led</w:t>
      </w:r>
      <w:r w:rsidRPr="005D575D">
        <w:t xml:space="preserve"> </w:t>
      </w:r>
      <w:r>
        <w:t xml:space="preserve">multiple stakeholders across </w:t>
      </w:r>
      <w:r w:rsidRPr="005D575D">
        <w:t>Data Science/Design/</w:t>
      </w:r>
      <w:proofErr w:type="gramStart"/>
      <w:r w:rsidRPr="005D575D">
        <w:t xml:space="preserve">iOS </w:t>
      </w:r>
      <w:r>
        <w:t xml:space="preserve"> teams</w:t>
      </w:r>
      <w:proofErr w:type="gramEnd"/>
      <w:r>
        <w:t xml:space="preserve"> </w:t>
      </w:r>
      <w:r w:rsidRPr="005D575D">
        <w:t xml:space="preserve">to </w:t>
      </w:r>
      <w:r>
        <w:t>launch a new Music Recommendation micro-service</w:t>
      </w:r>
      <w:r w:rsidRPr="005D575D">
        <w:t>.</w:t>
      </w:r>
    </w:p>
    <w:p w14:paraId="0AA01976" w14:textId="7FC929C8" w:rsidR="005D575D" w:rsidRDefault="00582917" w:rsidP="005D575D">
      <w:pPr>
        <w:numPr>
          <w:ilvl w:val="0"/>
          <w:numId w:val="1"/>
        </w:numPr>
        <w:ind w:hanging="159"/>
      </w:pPr>
      <w:r>
        <w:t>M</w:t>
      </w:r>
      <w:r w:rsidR="001D6976">
        <w:t>igrate</w:t>
      </w:r>
      <w:r>
        <w:t>d</w:t>
      </w:r>
      <w:r w:rsidR="001D6976">
        <w:t xml:space="preserve"> Scala </w:t>
      </w:r>
      <w:r w:rsidR="001D6976" w:rsidRPr="005D575D">
        <w:t xml:space="preserve">micro-service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 xml:space="preserve">Kubernetes </w:t>
      </w:r>
      <w:r w:rsidR="001D6976">
        <w:t>(</w:t>
      </w:r>
      <w:r w:rsidR="00BC373D">
        <w:t xml:space="preserve">deployed on </w:t>
      </w:r>
      <w:r w:rsidR="001D6976" w:rsidRPr="005D575D">
        <w:t xml:space="preserve">AWS using </w:t>
      </w:r>
      <w:hyperlink r:id="rId19" w:history="1">
        <w:r w:rsidR="001D6976" w:rsidRPr="00220107">
          <w:rPr>
            <w:rStyle w:val="Hyperlink"/>
            <w:i/>
            <w:iCs/>
          </w:rPr>
          <w:t>kops</w:t>
        </w:r>
      </w:hyperlink>
      <w:r w:rsidR="001D6976">
        <w:t xml:space="preserve">). </w:t>
      </w:r>
    </w:p>
    <w:p w14:paraId="2708D2EF" w14:textId="6E5E346B" w:rsidR="005D575D" w:rsidRDefault="00605A4B" w:rsidP="00373D72">
      <w:pPr>
        <w:numPr>
          <w:ilvl w:val="0"/>
          <w:numId w:val="1"/>
        </w:numPr>
        <w:ind w:hanging="159"/>
      </w:pPr>
      <w:r>
        <w:t>D</w:t>
      </w:r>
      <w:r w:rsidR="001D6976">
        <w:t>efine</w:t>
      </w:r>
      <w:r>
        <w:t>d</w:t>
      </w:r>
      <w:r w:rsidR="001D6976">
        <w:t xml:space="preserve"> and implement</w:t>
      </w:r>
      <w:r>
        <w:t>ed</w:t>
      </w:r>
      <w:r w:rsidR="001D6976">
        <w:t xml:space="preserve"> highly-available </w:t>
      </w:r>
      <w:r w:rsidR="006F33CF">
        <w:t xml:space="preserve">Kubernetes </w:t>
      </w:r>
      <w:r w:rsidR="001D6976">
        <w:t xml:space="preserve">deployment/rollback process for </w:t>
      </w:r>
      <w:r w:rsidR="006F33CF">
        <w:t>B</w:t>
      </w:r>
      <w:r w:rsidR="001D6976">
        <w:t xml:space="preserve">ackend </w:t>
      </w:r>
      <w:r w:rsidR="006F33CF">
        <w:t xml:space="preserve">services </w:t>
      </w:r>
      <w:r w:rsidR="001D6976">
        <w:t>team</w:t>
      </w:r>
      <w:r w:rsidR="005D575D" w:rsidRPr="005D575D">
        <w:t>.</w:t>
      </w:r>
      <w:r w:rsidR="00373D72">
        <w:t xml:space="preserve"> W</w:t>
      </w:r>
      <w:r w:rsidR="005D575D" w:rsidRPr="005D575D">
        <w:t xml:space="preserve">orked with </w:t>
      </w:r>
      <w:r w:rsidR="001D6976">
        <w:t>SRE</w:t>
      </w:r>
      <w:r w:rsidR="005D575D" w:rsidRPr="005D575D">
        <w:t xml:space="preserve"> team to 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20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074DAF9B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1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advisor.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3A955914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seamless offline support.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6B2D0BDE" w14:textId="3A2D3611" w:rsidR="0012137D" w:rsidRDefault="0012137D" w:rsidP="005D575D">
      <w:pPr>
        <w:numPr>
          <w:ilvl w:val="0"/>
          <w:numId w:val="1"/>
        </w:numPr>
        <w:ind w:hanging="159"/>
        <w:jc w:val="left"/>
      </w:pPr>
      <w:r w:rsidRPr="00124915">
        <w:t>Forest Watcher</w:t>
      </w:r>
      <w:r>
        <w:t xml:space="preserve"> (project highlight)</w:t>
      </w:r>
      <w:r w:rsidRPr="00124915">
        <w:t xml:space="preserve">: </w:t>
      </w:r>
      <w:r>
        <w:t xml:space="preserve">The goal was to equip rangers in Africa with </w:t>
      </w:r>
      <w:r w:rsidRPr="00124915">
        <w:t xml:space="preserve">deforestation </w:t>
      </w:r>
      <w:r>
        <w:t>map data</w:t>
      </w:r>
      <w:r w:rsidRPr="00124915">
        <w:t xml:space="preserve">. </w:t>
      </w:r>
      <w:r>
        <w:t xml:space="preserve">The </w:t>
      </w:r>
      <w:r w:rsidRPr="00124915">
        <w:t xml:space="preserve">Android </w:t>
      </w:r>
      <w:r>
        <w:t xml:space="preserve">app </w:t>
      </w:r>
      <w:r w:rsidRPr="00124915">
        <w:t xml:space="preserve">implementation featured offline mapping, offline data storage and </w:t>
      </w:r>
      <w:r>
        <w:t xml:space="preserve">online/offline </w:t>
      </w:r>
      <w:r w:rsidRPr="00124915">
        <w:t xml:space="preserve">data sync. Supporting </w:t>
      </w:r>
      <w:hyperlink r:id="rId22" w:history="1">
        <w:r w:rsidRPr="0007714F">
          <w:rPr>
            <w:rStyle w:val="Hyperlink"/>
          </w:rPr>
          <w:t>talk</w:t>
        </w:r>
      </w:hyperlink>
      <w:r w:rsidRPr="00124915">
        <w:t>.</w:t>
      </w:r>
    </w:p>
    <w:p w14:paraId="722CE6CF" w14:textId="42705510" w:rsidR="00C34EB7" w:rsidRDefault="0012137D" w:rsidP="00C34EB7">
      <w:pPr>
        <w:numPr>
          <w:ilvl w:val="0"/>
          <w:numId w:val="1"/>
        </w:numPr>
        <w:spacing w:after="115"/>
        <w:ind w:hanging="159"/>
      </w:pPr>
      <w:r>
        <w:t>Collaborated closely with clients to launch Android apps. Responsibilities included system a</w:t>
      </w:r>
      <w:r w:rsidRPr="00124915">
        <w:t>rchitec</w:t>
      </w:r>
      <w:r>
        <w:t>ture</w:t>
      </w:r>
      <w:r w:rsidRPr="00124915">
        <w:t>, backend/front-end</w:t>
      </w:r>
      <w:r>
        <w:t xml:space="preserve"> development</w:t>
      </w:r>
      <w:r w:rsidRPr="00124915">
        <w:t xml:space="preserve">, </w:t>
      </w:r>
      <w:r>
        <w:t>testing</w:t>
      </w:r>
      <w:r w:rsidRPr="00124915">
        <w:t xml:space="preserve">, and </w:t>
      </w:r>
      <w:r>
        <w:t>app releases</w:t>
      </w:r>
      <w:r w:rsidR="005D575D" w:rsidRPr="00124915">
        <w:t>.</w:t>
      </w:r>
    </w:p>
    <w:p w14:paraId="6FCE37E4" w14:textId="6820870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 w:rsidRPr="008A1EC9">
        <w:rPr>
          <w:b/>
          <w:color w:val="414141"/>
          <w:sz w:val="20"/>
        </w:rPr>
        <w:t>Rubenstein Technology Group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>
        <w:rPr>
          <w:i/>
          <w:color w:val="DC3522"/>
        </w:rPr>
        <w:t>York, NY</w:t>
      </w:r>
    </w:p>
    <w:p w14:paraId="55431E16" w14:textId="16FE9BA6" w:rsidR="008A1EC9" w:rsidRDefault="008A1EC9" w:rsidP="008A1EC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Software</w:t>
      </w:r>
      <w:r w:rsidRPr="00C34EB7">
        <w:rPr>
          <w:color w:val="5D5D5D"/>
          <w:sz w:val="16"/>
        </w:rPr>
        <w:t xml:space="preserve"> Engineer</w:t>
      </w:r>
      <w:r>
        <w:rPr>
          <w:color w:val="5D5D5D"/>
          <w:sz w:val="16"/>
        </w:rPr>
        <w:tab/>
      </w:r>
      <w:r w:rsidR="00671166">
        <w:rPr>
          <w:i/>
          <w:color w:val="5D5D5D"/>
          <w:sz w:val="16"/>
        </w:rPr>
        <w:t>Oct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3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671166">
        <w:rPr>
          <w:i/>
          <w:color w:val="5D5D5D"/>
          <w:sz w:val="16"/>
        </w:rPr>
        <w:t>Aug</w:t>
      </w:r>
      <w:r>
        <w:rPr>
          <w:i/>
          <w:color w:val="5D5D5D"/>
          <w:sz w:val="16"/>
        </w:rPr>
        <w:t>. 201</w:t>
      </w:r>
      <w:r w:rsidR="00671166">
        <w:rPr>
          <w:i/>
          <w:color w:val="5D5D5D"/>
          <w:sz w:val="16"/>
        </w:rPr>
        <w:t>4</w:t>
      </w:r>
    </w:p>
    <w:p w14:paraId="487EB595" w14:textId="3311601C" w:rsidR="002420C2" w:rsidRPr="002333E1" w:rsidRDefault="006B76DC" w:rsidP="002333E1">
      <w:pPr>
        <w:numPr>
          <w:ilvl w:val="0"/>
          <w:numId w:val="1"/>
        </w:numPr>
        <w:spacing w:after="115"/>
        <w:ind w:hanging="159"/>
      </w:pPr>
      <w:r w:rsidRPr="00124915">
        <w:t xml:space="preserve">Worked closely with the Design lead </w:t>
      </w:r>
      <w:r>
        <w:t xml:space="preserve">to launch </w:t>
      </w:r>
      <w:r w:rsidRPr="00124915">
        <w:t xml:space="preserve">a </w:t>
      </w:r>
      <w:r>
        <w:t>responsive</w:t>
      </w:r>
      <w:r w:rsidRPr="00124915">
        <w:t xml:space="preserve"> website for a large law firm</w:t>
      </w:r>
      <w:r w:rsidR="00124915" w:rsidRPr="00124915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7AE5" w14:textId="77777777" w:rsidR="00A248FB" w:rsidRDefault="00A248FB" w:rsidP="00CB2D00">
      <w:pPr>
        <w:spacing w:line="240" w:lineRule="auto"/>
      </w:pPr>
      <w:r>
        <w:separator/>
      </w:r>
    </w:p>
  </w:endnote>
  <w:endnote w:type="continuationSeparator" w:id="0">
    <w:p w14:paraId="0B3F125E" w14:textId="77777777" w:rsidR="00A248FB" w:rsidRDefault="00A248FB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1C28" w14:textId="77777777" w:rsidR="00A248FB" w:rsidRDefault="00A248FB" w:rsidP="00CB2D00">
      <w:pPr>
        <w:spacing w:line="240" w:lineRule="auto"/>
      </w:pPr>
      <w:r>
        <w:separator/>
      </w:r>
    </w:p>
  </w:footnote>
  <w:footnote w:type="continuationSeparator" w:id="0">
    <w:p w14:paraId="6C005FED" w14:textId="77777777" w:rsidR="00A248FB" w:rsidRDefault="00A248FB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20F33"/>
    <w:rsid w:val="00032091"/>
    <w:rsid w:val="00034820"/>
    <w:rsid w:val="00040E4A"/>
    <w:rsid w:val="0007714F"/>
    <w:rsid w:val="00082734"/>
    <w:rsid w:val="000A4253"/>
    <w:rsid w:val="000B175B"/>
    <w:rsid w:val="000B3462"/>
    <w:rsid w:val="000B6268"/>
    <w:rsid w:val="000E5AF1"/>
    <w:rsid w:val="00104E81"/>
    <w:rsid w:val="00113CFC"/>
    <w:rsid w:val="0012137D"/>
    <w:rsid w:val="0012253C"/>
    <w:rsid w:val="00124915"/>
    <w:rsid w:val="0013343F"/>
    <w:rsid w:val="001538B3"/>
    <w:rsid w:val="00160D8E"/>
    <w:rsid w:val="0016651A"/>
    <w:rsid w:val="001711A5"/>
    <w:rsid w:val="0017317E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C2009"/>
    <w:rsid w:val="002C4ADA"/>
    <w:rsid w:val="002E7BB3"/>
    <w:rsid w:val="002E7DEB"/>
    <w:rsid w:val="00362AA9"/>
    <w:rsid w:val="00370A2D"/>
    <w:rsid w:val="00373D72"/>
    <w:rsid w:val="00383F1D"/>
    <w:rsid w:val="00393527"/>
    <w:rsid w:val="003A5CED"/>
    <w:rsid w:val="003C1F36"/>
    <w:rsid w:val="003C2795"/>
    <w:rsid w:val="003F47F9"/>
    <w:rsid w:val="00421813"/>
    <w:rsid w:val="004240DE"/>
    <w:rsid w:val="00443BAE"/>
    <w:rsid w:val="004546B8"/>
    <w:rsid w:val="004714CD"/>
    <w:rsid w:val="004A623E"/>
    <w:rsid w:val="004B19D9"/>
    <w:rsid w:val="004D2E7D"/>
    <w:rsid w:val="005000F7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600199"/>
    <w:rsid w:val="0060024B"/>
    <w:rsid w:val="00601E00"/>
    <w:rsid w:val="00605A4B"/>
    <w:rsid w:val="00616297"/>
    <w:rsid w:val="00631C62"/>
    <w:rsid w:val="00631C63"/>
    <w:rsid w:val="00644134"/>
    <w:rsid w:val="006625A2"/>
    <w:rsid w:val="0066693A"/>
    <w:rsid w:val="00666F5C"/>
    <w:rsid w:val="00671166"/>
    <w:rsid w:val="00683ED6"/>
    <w:rsid w:val="006B76DC"/>
    <w:rsid w:val="006E32A5"/>
    <w:rsid w:val="006E3D7A"/>
    <w:rsid w:val="006F33CF"/>
    <w:rsid w:val="006F67ED"/>
    <w:rsid w:val="007020D5"/>
    <w:rsid w:val="00726510"/>
    <w:rsid w:val="00726692"/>
    <w:rsid w:val="00730A8E"/>
    <w:rsid w:val="00777A14"/>
    <w:rsid w:val="007C24D6"/>
    <w:rsid w:val="007E7568"/>
    <w:rsid w:val="007F05AA"/>
    <w:rsid w:val="00821510"/>
    <w:rsid w:val="0082430C"/>
    <w:rsid w:val="0082588F"/>
    <w:rsid w:val="008A1EC9"/>
    <w:rsid w:val="008B3111"/>
    <w:rsid w:val="008C2938"/>
    <w:rsid w:val="008C79D0"/>
    <w:rsid w:val="008F5C3C"/>
    <w:rsid w:val="00920462"/>
    <w:rsid w:val="00944192"/>
    <w:rsid w:val="00973291"/>
    <w:rsid w:val="00974D23"/>
    <w:rsid w:val="00977A38"/>
    <w:rsid w:val="00980E9A"/>
    <w:rsid w:val="00992F1F"/>
    <w:rsid w:val="009A456C"/>
    <w:rsid w:val="009B4DFC"/>
    <w:rsid w:val="009C2CE5"/>
    <w:rsid w:val="009E1002"/>
    <w:rsid w:val="00A21A69"/>
    <w:rsid w:val="00A21DDB"/>
    <w:rsid w:val="00A248FB"/>
    <w:rsid w:val="00A338DB"/>
    <w:rsid w:val="00A40F3B"/>
    <w:rsid w:val="00A66285"/>
    <w:rsid w:val="00A664E9"/>
    <w:rsid w:val="00A974E6"/>
    <w:rsid w:val="00AA3AF2"/>
    <w:rsid w:val="00AE2335"/>
    <w:rsid w:val="00AF3292"/>
    <w:rsid w:val="00B14E20"/>
    <w:rsid w:val="00B25033"/>
    <w:rsid w:val="00B25BA4"/>
    <w:rsid w:val="00B4126F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34EB7"/>
    <w:rsid w:val="00C5276D"/>
    <w:rsid w:val="00C835AC"/>
    <w:rsid w:val="00CB2D00"/>
    <w:rsid w:val="00CB5193"/>
    <w:rsid w:val="00CD5A67"/>
    <w:rsid w:val="00CE0FB2"/>
    <w:rsid w:val="00D04CBC"/>
    <w:rsid w:val="00D44E7C"/>
    <w:rsid w:val="00D45628"/>
    <w:rsid w:val="00D52711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237E"/>
    <w:rsid w:val="00E7556D"/>
    <w:rsid w:val="00E9190F"/>
    <w:rsid w:val="00E933D3"/>
    <w:rsid w:val="00ED4989"/>
    <w:rsid w:val="00EE7A68"/>
    <w:rsid w:val="00F03065"/>
    <w:rsid w:val="00F215A2"/>
    <w:rsid w:val="00F2190C"/>
    <w:rsid w:val="00F34589"/>
    <w:rsid w:val="00F50138"/>
    <w:rsid w:val="00FA06C7"/>
    <w:rsid w:val="00FB2672"/>
    <w:rsid w:val="00FB2C31"/>
    <w:rsid w:val="00FB40FC"/>
    <w:rsid w:val="00FD2088"/>
    <w:rsid w:val="00FD3CAC"/>
    <w:rsid w:val="00FE4937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zCVN4R-yDbmI9vbohieWTP0vOk0_yIp/edit?usp=sharing&amp;ouid=100490496765366795685&amp;rtpof=true&amp;sd=true" TargetMode="External"/><Relationship Id="rId13" Type="http://schemas.openxmlformats.org/officeDocument/2006/relationships/hyperlink" Target="https://github.com/aws/s2n-quic/issues/439" TargetMode="External"/><Relationship Id="rId18" Type="http://schemas.openxmlformats.org/officeDocument/2006/relationships/hyperlink" Target="https://github.com/toidiu/netbench_orchestr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hatterproof.org/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1276" TargetMode="External"/><Relationship Id="rId17" Type="http://schemas.openxmlformats.org/officeDocument/2006/relationships/hyperlink" Target="https://github.com/aws/s2n-tls/issues/34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758" TargetMode="External"/><Relationship Id="rId20" Type="http://schemas.openxmlformats.org/officeDocument/2006/relationships/hyperlink" Target="https://github.com/flapdoodle-oss/de.flapdoodle.embed.mong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13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quic/issues/19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tls" TargetMode="External"/><Relationship Id="rId19" Type="http://schemas.openxmlformats.org/officeDocument/2006/relationships/hyperlink" Target="https://github.com/kubernetes/k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quic" TargetMode="External"/><Relationship Id="rId14" Type="http://schemas.openxmlformats.org/officeDocument/2006/relationships/hyperlink" Target="https://github.com/aws/s2n-quic/issues/1009" TargetMode="External"/><Relationship Id="rId22" Type="http://schemas.openxmlformats.org/officeDocument/2006/relationships/hyperlink" Target="https://speakerdeck.com/toidiu/offline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139</cp:revision>
  <dcterms:created xsi:type="dcterms:W3CDTF">2022-09-26T21:00:00Z</dcterms:created>
  <dcterms:modified xsi:type="dcterms:W3CDTF">2024-01-22T01:11:00Z</dcterms:modified>
</cp:coreProperties>
</file>