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color w:val="1A365D"/>
          <w:sz w:val="24"/>
        </w:rPr>
        <w:t>POSTS AND TELECOMMUNICATIONS INSTITUTE OF TECHNOLOGY (PTIT)</w:t>
      </w:r>
    </w:p>
    <w:p>
      <w:pPr>
        <w:spacing w:before="0" w:after="20"/>
        <w:jc w:val="left"/>
      </w:pPr>
      <w:r>
        <w:rPr>
          <w:rFonts w:ascii="Times New Roman" w:hAnsi="Times New Roman"/>
          <w:color w:val="64748B"/>
          <w:sz w:val="20"/>
        </w:rPr>
        <w:t>Faculty of Information Security • Hanoi, Vietnam</w:t>
      </w:r>
    </w:p>
    <w:p>
      <w:pPr>
        <w:spacing w:before="0" w:after="240"/>
      </w:pPr>
      <w:r>
        <w:rPr>
          <w:rFonts w:ascii="Times New Roman" w:hAnsi="Times New Roman"/>
          <w:color w:val="64748B"/>
          <w:sz w:val="20"/>
        </w:rPr>
        <w:t>Official Corresponding Email: haong.b24at088@stu.ptit.edu.vn • Date: October 11, 2026</w:t>
      </w:r>
    </w:p>
    <w:p>
      <w:pPr>
        <w:spacing w:before="0" w:after="280"/>
        <w:pBdr>
          <w:bottom w:val="single" w:sz="12" w:space="1" w:color="1A365D"/>
        </w:pBdr>
      </w:pPr>
    </w:p>
    <w:p>
      <w:pPr>
        <w:spacing w:before="0" w:after="240" w:line="276" w:lineRule="auto"/>
      </w:pPr>
      <w:r>
        <w:rPr>
          <w:rFonts w:ascii="Times New Roman" w:hAnsi="Times New Roman"/>
          <w:color w:val="1E293B"/>
          <w:sz w:val="22"/>
        </w:rPr>
        <w:t>To:</w:t>
        <w:br/>
        <w:t>The Editor-in-Chief</w:t>
        <w:br/>
        <w:br/>
        <w:t>[Target journal to be filled in at submission time. This manuscript is prepared journal-neutrally and is suitable, unchanged, for: Journal of Information Security and Applications; IEEE Access; Computers &amp; Security; Cryptography (MDPI); Applied Sciences (MDPI).]</w:t>
      </w:r>
    </w:p>
    <w:p>
      <w:pPr>
        <w:spacing w:before="80" w:after="240"/>
      </w:pPr>
      <w:r>
        <w:rPr>
          <w:rFonts w:ascii="Times New Roman" w:hAnsi="Times New Roman"/>
          <w:b/>
          <w:color w:val="1A365D"/>
          <w:sz w:val="22"/>
        </w:rPr>
        <w:t xml:space="preserve">Subject: </w:t>
      </w:r>
      <w:r>
        <w:rPr>
          <w:rFonts w:ascii="Times New Roman" w:hAnsi="Times New Roman"/>
          <w:b/>
          <w:color w:val="1E293B"/>
          <w:sz w:val="22"/>
        </w:rPr>
        <w:t>Submission of Original Research Manuscript: "Tesseract-128: A 128-Bit Symmetric Block Cipher Integrating 4D Hypercube Permutations and ARX Diffusion for Constrained Telemetry Networks"</w:t>
      </w:r>
    </w:p>
    <w:p>
      <w:pPr>
        <w:spacing w:before="80" w:after="160"/>
      </w:pPr>
      <w:r>
        <w:rPr>
          <w:rFonts w:ascii="Times New Roman" w:hAnsi="Times New Roman"/>
          <w:b/>
          <w:color w:val="1E293B"/>
          <w:sz w:val="22"/>
        </w:rPr>
        <w:t>Dear Editor-in-Chief,</w:t>
      </w:r>
    </w:p>
    <w:p>
      <w:pPr>
        <w:spacing w:before="0" w:after="160" w:line="276" w:lineRule="auto"/>
      </w:pPr>
      <w:r>
        <w:rPr>
          <w:rFonts w:ascii="Times New Roman" w:hAnsi="Times New Roman"/>
          <w:sz w:val="22"/>
        </w:rPr>
        <w:t>I am pleased to submit our original research manuscript titled "Tesseract-128: A 128-Bit Symmetric Block Cipher Integrating 4D Hypercube Permutations and ARX Diffusion for Constrained Telemetry Networks" for publication consideration as a regular research article in the target journal named above.</w:t>
      </w:r>
    </w:p>
    <w:p>
      <w:pPr>
        <w:spacing w:before="160" w:after="80"/>
      </w:pPr>
      <w:r>
        <w:rPr>
          <w:rFonts w:ascii="Times New Roman" w:hAnsi="Times New Roman"/>
          <w:b/>
          <w:color w:val="1A365D"/>
          <w:sz w:val="23"/>
        </w:rPr>
        <w:t>1. Operational Context and Practical Motivation</w:t>
      </w:r>
    </w:p>
    <w:p>
      <w:pPr>
        <w:spacing w:before="0" w:after="160" w:line="276" w:lineRule="auto"/>
      </w:pPr>
      <w:r>
        <w:rPr>
          <w:rFonts w:ascii="Times New Roman" w:hAnsi="Times New Roman"/>
          <w:sz w:val="22"/>
        </w:rPr>
        <w:t xml:space="preserve">Although conventional literature demonstrates that software AES implementations achieve acceptable throughput via precomputed lookup tables, their substantial 4,096-byte memory footprint frequently induces acute L1 data-cache eviction and exposes timing side channels on microcontrollers lacking AES-NI. </w:t>
      </w:r>
      <w:r>
        <w:rPr>
          <w:rFonts w:ascii="Times New Roman" w:hAnsi="Times New Roman"/>
          <w:sz w:val="22"/>
        </w:rPr>
        <w:t>In modern cyber-physical systems, automotive CAN-FD in-vehicle communication, and constrained telemetry networks (such as CoAP and MQTT-SN), edge microcontrollers lack dedicated hardware cryptographic accelerators (e.g., AES-NI) and possess restricted on-chip cache memory. Conversely, pure ARX ciphers (e.g., SIMON and SPECK) lack closed-form wide-trail security arguments and require high round counts (32 to 68 rounds) that penalize short-packet transmission latency.</w:t>
      </w:r>
    </w:p>
    <w:p>
      <w:pPr>
        <w:spacing w:before="160" w:after="80"/>
      </w:pPr>
      <w:r>
        <w:rPr>
          <w:rFonts w:ascii="Times New Roman" w:hAnsi="Times New Roman"/>
          <w:b/>
          <w:color w:val="1A365D"/>
          <w:sz w:val="23"/>
        </w:rPr>
        <w:t>2. Architectural Contribution and Mathematical Formulation</w:t>
      </w:r>
    </w:p>
    <w:p>
      <w:pPr>
        <w:spacing w:before="0" w:after="160" w:line="276" w:lineRule="auto"/>
      </w:pPr>
      <w:r>
        <w:rPr>
          <w:rFonts w:ascii="Times New Roman" w:hAnsi="Times New Roman"/>
          <w:sz w:val="22"/>
        </w:rPr>
        <w:t xml:space="preserve">To resolve this fundamental operational trade-off, this manuscript introduces Tesseract-128, demonstrating that coupling discrete double-isoclinic rotations from the Lie group SO(4) with 32-bit Add-Rotate-XOR modular diffusion disperses byte coordinates across orthogonal planes without invariant subspaces, requiring only 192 bytes of static lookup tables. </w:t>
      </w:r>
      <w:r>
        <w:rPr>
          <w:rFonts w:ascii="Times New Roman" w:hAnsi="Times New Roman"/>
          <w:sz w:val="22"/>
        </w:rPr>
        <w:t>By mapping the 16-byte cipher state onto the vertices of a 4D hypercube {0,1}^4, the linear layer achieves algebraic transitivity and optimal diffusion while fitting completely within a single 256-byte cache line or micro-SRAM scratchpad, completely eliminating table-induced cache-collision attacks.</w:t>
      </w:r>
    </w:p>
    <w:p>
      <w:pPr>
        <w:spacing w:before="160" w:after="80"/>
      </w:pPr>
      <w:r>
        <w:rPr>
          <w:rFonts w:ascii="Times New Roman" w:hAnsi="Times New Roman"/>
          <w:b/>
          <w:color w:val="1A365D"/>
          <w:sz w:val="23"/>
        </w:rPr>
        <w:t>3. Automated Cryptanalysis and Empirical Performance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 xml:space="preserve">Within a word-level MILP model of the ARX carry chain, automated searches establish lower bounds of 78 active S-boxes against differential cryptanalysis (P_diff &lt;= 2^-468) and 108 active S-boxes against linear cryptanalysis across 8 rounds; these are model-relative bounds rather than proofs of security, and they are consistent with our empirical hardware benchmarks achieving a 2.88x encryption latency reduction over software AES on 64-byte automotive CAN-FD telemetry frames. </w:t>
      </w:r>
      <w:r>
        <w:rPr>
          <w:rFonts w:ascii="Times New Roman" w:hAnsi="Times New Roman"/>
          <w:sz w:val="22"/>
        </w:rPr>
        <w:t>Key rigorous verification findings established in this work include: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Tool-Aided Security Margins: </w:t>
      </w:r>
      <w:r>
        <w:rPr>
          <w:rFonts w:ascii="Times New Roman" w:hAnsi="Times New Roman"/>
          <w:color w:val="334155"/>
          <w:sz w:val="21"/>
        </w:rPr>
        <w:t>Within a word-level truncated-differential MILP model, a lower bound of &gt;= 78 active S-boxes is obtained against differential cryptanalysis (P_diff &lt;= 2^-468 &lt; 2^-128) and &gt;= 108 against linear cryptanalysis over 8 rounds; this is a model-relative bound, not a proof of immunity.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Miss-in-the-Middle Termination: </w:t>
      </w:r>
      <w:r>
        <w:rPr>
          <w:rFonts w:ascii="Times New Roman" w:hAnsi="Times New Roman"/>
          <w:color w:val="334155"/>
          <w:sz w:val="21"/>
        </w:rPr>
        <w:t>Automated searches establish zero impossible differential and zero-correlation trails at &gt;= 5 rounds, securing a comfortable 4-round safety margin.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Multiset Integral Balance: </w:t>
      </w:r>
      <w:r>
        <w:rPr>
          <w:rFonts w:ascii="Times New Roman" w:hAnsi="Times New Roman"/>
          <w:color w:val="334155"/>
          <w:sz w:val="21"/>
        </w:rPr>
        <w:t>Simulations across 1,280 Lambda-sets (16 active positions x 20 keys) confirm multiset balance termination by Round 4.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Statistical Randomness: </w:t>
      </w:r>
      <w:r>
        <w:rPr>
          <w:rFonts w:ascii="Times New Roman" w:hAnsi="Times New Roman"/>
          <w:color w:val="334155"/>
          <w:sz w:val="21"/>
        </w:rPr>
        <w:t>Generated keystreams pass all 15 statistical tests in NIST SP 800-22 Rev. 1a and GM/T 0005-2021 without exception.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Hardware Acceleration: </w:t>
      </w:r>
      <w:r>
        <w:rPr>
          <w:rFonts w:ascii="Times New Roman" w:hAnsi="Times New Roman"/>
          <w:color w:val="334155"/>
          <w:sz w:val="21"/>
        </w:rPr>
        <w:t>Four-block parallel AVX2 processing delivers 254.18 MB/s in CTR mode, and authenticated Tesseract-GCM mode delivers 208.80 MB/s. The single-block pshufb path is retained for constant-time, lookup-free execution rather than as a throughput optimisation.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Real-World Telemetry Impact: </w:t>
      </w:r>
      <w:r>
        <w:rPr>
          <w:rFonts w:ascii="Times New Roman" w:hAnsi="Times New Roman"/>
          <w:color w:val="334155"/>
          <w:sz w:val="21"/>
        </w:rPr>
        <w:t>In an automotive CAN-FD testbed, Tesseract-GCM processes 64-byte frames in 1,267 clock cycles (~0.37 us at 3.4 GHz), representing a 2.88x speedup over software AES and adding under 0.3% transmission overhead to the physical bus.</w:t>
      </w:r>
    </w:p>
    <w:p>
      <w:pPr>
        <w:spacing w:before="160" w:after="80"/>
      </w:pPr>
      <w:r>
        <w:rPr>
          <w:rFonts w:ascii="Times New Roman" w:hAnsi="Times New Roman"/>
          <w:b/>
          <w:color w:val="1A365D"/>
          <w:sz w:val="23"/>
        </w:rPr>
        <w:t>4. Alignment with Journal Scope</w:t>
      </w:r>
    </w:p>
    <w:p>
      <w:pPr>
        <w:spacing w:before="0" w:after="160" w:line="276" w:lineRule="auto"/>
      </w:pPr>
      <w:r>
        <w:rPr>
          <w:rFonts w:ascii="Times New Roman" w:hAnsi="Times New Roman"/>
          <w:sz w:val="22"/>
        </w:rPr>
        <w:t>This manuscript aligns directly with the core scope of a general information-security and applied-cryptography venue, specifically addressing applied symmetric cryptography, lightweight primitives for constrained IoT and automotive networks, automated cryptanalysis, and empirical hardware/software evaluation. In accordance with open science practices, all C/C++ reference code, AVX2 SIMD intrinsics, Python PuLP MILP solvers, and testbenches are publicly accessible at https://github.com/toilacobemongmo/Tesseract-128.</w:t>
      </w:r>
    </w:p>
    <w:p>
      <w:pPr>
        <w:spacing w:before="160" w:after="80"/>
      </w:pPr>
      <w:r>
        <w:rPr>
          <w:rFonts w:ascii="Times New Roman" w:hAnsi="Times New Roman"/>
          <w:b/>
          <w:color w:val="1A365D"/>
          <w:sz w:val="23"/>
        </w:rPr>
        <w:t>5. Suggested Independent Reviewers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To facilitate rigorous peer review, we suggest the following four independent international experts who possess specialized expertise in symmetric block ciphers, automated MILP cryptanalysis, ARX primitives, and lightweight implementations: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Reviewer / Title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Affiliation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Expertise &amp; Relevance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1A365D"/>
                <w:sz w:val="19"/>
              </w:rPr>
              <w:t>Dr. Hojjat Hadipour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color w:val="334155"/>
                <w:sz w:val="19"/>
              </w:rPr>
              <w:t>Graz University of Technology (IAIK), Austria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color w:val="334155"/>
                <w:sz w:val="19"/>
              </w:rPr>
              <w:t>World-leading expert in automated MILP/SAT cryptanalysis of ARX and symmetric block ciphers.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1A365D"/>
                <w:sz w:val="19"/>
              </w:rPr>
              <w:t>Dr. Christof Beierle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color w:val="334155"/>
                <w:sz w:val="19"/>
              </w:rPr>
              <w:t>Ruhr University Bochum, Germany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color w:val="334155"/>
                <w:sz w:val="19"/>
              </w:rPr>
              <w:t>Expert in ARX-box design, Alzette primitive, and provable bounds in lightweight cryptography.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1A365D"/>
                <w:sz w:val="19"/>
              </w:rPr>
              <w:t>Dr. Daniel Dinu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color w:val="334155"/>
                <w:sz w:val="19"/>
              </w:rPr>
              <w:t>University of Luxembourg, Luxembourg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color w:val="334155"/>
                <w:sz w:val="19"/>
              </w:rPr>
              <w:t>Expert in SPARX, provable ARX bounds, and embedded software cryptographic benchmarking.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8" w:space="0" w:color="1A365D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1A365D"/>
                <w:sz w:val="19"/>
              </w:rPr>
              <w:t>Dr. Subhadeep Banik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8" w:space="0" w:color="1A365D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color w:val="334155"/>
                <w:sz w:val="19"/>
              </w:rPr>
              <w:t>Università della Svizzera italiana, Switzerland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8" w:space="0" w:color="1A365D"/>
              <w:left w:val="none"/>
              <w:right w:val="none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color w:val="334155"/>
                <w:sz w:val="19"/>
              </w:rPr>
              <w:t>Expert in lightweight block ciphers (PRESENT, Midori) and hardware/software microarchitecture.</w:t>
            </w:r>
          </w:p>
        </w:tc>
      </w:tr>
    </w:tbl>
    <w:p>
      <w:pPr>
        <w:spacing w:before="120" w:after="0"/>
      </w:pPr>
    </w:p>
    <w:p>
      <w:pPr>
        <w:spacing w:before="160" w:after="80"/>
      </w:pPr>
      <w:r>
        <w:rPr>
          <w:rFonts w:ascii="Times New Roman" w:hAnsi="Times New Roman"/>
          <w:b/>
          <w:color w:val="1A365D"/>
          <w:sz w:val="23"/>
        </w:rPr>
        <w:t>6. Author Declarations and Ethical Statements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Originality: </w:t>
      </w:r>
      <w:r>
        <w:rPr>
          <w:rFonts w:ascii="Times New Roman" w:hAnsi="Times New Roman"/>
          <w:color w:val="334155"/>
          <w:sz w:val="21"/>
        </w:rPr>
        <w:t>This manuscript describes original research that has not been published previously and is not under concurrent consideration for publication elsewhere.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Sole Authorship: </w:t>
      </w:r>
      <w:r>
        <w:rPr>
          <w:rFonts w:ascii="Times New Roman" w:hAnsi="Times New Roman"/>
          <w:color w:val="334155"/>
          <w:sz w:val="21"/>
        </w:rPr>
        <w:t>The undersigned author is the sole contributor to the conceptualization, mathematical derivation, software implementation, validation, and manuscript preparation.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Competing Interests: </w:t>
      </w:r>
      <w:r>
        <w:rPr>
          <w:rFonts w:ascii="Times New Roman" w:hAnsi="Times New Roman"/>
          <w:color w:val="334155"/>
          <w:sz w:val="21"/>
        </w:rPr>
        <w:t>The author declares no known competing financial interests or personal relationships that could have influenced the findings reported in this paper.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color w:val="1E293B"/>
          <w:sz w:val="21"/>
        </w:rPr>
        <w:t xml:space="preserve">Ethical Compliance: </w:t>
      </w:r>
      <w:r>
        <w:rPr>
          <w:rFonts w:ascii="Times New Roman" w:hAnsi="Times New Roman"/>
          <w:color w:val="334155"/>
          <w:sz w:val="21"/>
        </w:rPr>
        <w:t>All experimental methodologies and benchmarking protocols adhere to international academic standards and ethical guidelines.</w:t>
      </w:r>
    </w:p>
    <w:p>
      <w:pPr>
        <w:spacing w:before="200" w:after="80"/>
      </w:pPr>
      <w:r>
        <w:rPr>
          <w:rFonts w:ascii="Times New Roman" w:hAnsi="Times New Roman"/>
          <w:sz w:val="22"/>
        </w:rPr>
        <w:t>Thank you very much for your time, consideration, and handling of our manuscript.</w:t>
      </w:r>
    </w:p>
    <w:p>
      <w:pPr>
        <w:spacing w:before="200" w:after="40"/>
      </w:pPr>
      <w:r>
        <w:rPr>
          <w:rFonts w:ascii="Times New Roman" w:hAnsi="Times New Roman"/>
          <w:sz w:val="22"/>
        </w:rPr>
        <w:t>Sincerely,</w:t>
      </w:r>
    </w:p>
    <w:p>
      <w:pPr>
        <w:spacing w:before="280" w:after="40" w:line="276" w:lineRule="auto"/>
      </w:pPr>
      <w:r>
        <w:rPr>
          <w:rFonts w:ascii="Times New Roman" w:hAnsi="Times New Roman"/>
          <w:b/>
          <w:color w:val="1A365D"/>
          <w:sz w:val="23"/>
        </w:rPr>
        <w:t>Hao Gia Nguyen</w:t>
      </w:r>
    </w:p>
    <w:p>
      <w:pPr>
        <w:spacing w:before="0" w:after="0" w:line="276" w:lineRule="auto"/>
      </w:pPr>
      <w:r>
        <w:rPr>
          <w:rFonts w:ascii="Times New Roman" w:hAnsi="Times New Roman"/>
          <w:color w:val="334155"/>
          <w:sz w:val="21"/>
        </w:rPr>
        <w:t>Faculty of Information Security</w:t>
        <w:br/>
        <w:t>Posts and Telecommunications Institute of Technology (PTIT)</w:t>
        <w:br/>
        <w:t>Km 10 Nguyen Trai Road, Ha Dong District, Hanoi, Vietnam</w:t>
        <w:br/>
        <w:t>Official Corresponding Email: haong.b24at088@stu.ptit.edu.vn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