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5E" w:rsidRPr="003924A3" w:rsidRDefault="00563076" w:rsidP="00F474C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924A3">
        <w:rPr>
          <w:rFonts w:ascii="Arial" w:hAnsi="Arial" w:cs="Arial"/>
          <w:b/>
          <w:sz w:val="24"/>
          <w:szCs w:val="24"/>
        </w:rPr>
        <w:t>Introduction</w:t>
      </w:r>
    </w:p>
    <w:p w:rsidR="00E6369C" w:rsidRDefault="00B03BDB" w:rsidP="00F474C5">
      <w:pPr>
        <w:spacing w:line="276" w:lineRule="auto"/>
        <w:jc w:val="both"/>
        <w:rPr>
          <w:rFonts w:ascii="Arial" w:hAnsi="Arial" w:cs="Arial"/>
        </w:rPr>
      </w:pPr>
      <w:r w:rsidRPr="00B03BDB">
        <w:rPr>
          <w:rFonts w:ascii="Arial" w:hAnsi="Arial" w:cs="Arial"/>
        </w:rPr>
        <w:t>Metagenomic sequencing data h</w:t>
      </w:r>
      <w:r>
        <w:rPr>
          <w:rFonts w:ascii="Arial" w:hAnsi="Arial" w:cs="Arial"/>
        </w:rPr>
        <w:t>as increased the understanding of the role of the microbiome</w:t>
      </w:r>
      <w:r w:rsidR="00E6369C">
        <w:rPr>
          <w:rFonts w:ascii="Arial" w:hAnsi="Arial" w:cs="Arial"/>
        </w:rPr>
        <w:t xml:space="preserve"> and given insight into a variety of (bacterial) communities. </w:t>
      </w:r>
      <w:proofErr w:type="spellStart"/>
      <w:r w:rsidR="00E6369C" w:rsidRPr="00F474C5">
        <w:rPr>
          <w:rFonts w:ascii="Arial" w:hAnsi="Arial" w:cs="Arial"/>
        </w:rPr>
        <w:t>Korem</w:t>
      </w:r>
      <w:proofErr w:type="spellEnd"/>
      <w:r w:rsidR="00E6369C" w:rsidRPr="00F474C5">
        <w:rPr>
          <w:rFonts w:ascii="Arial" w:hAnsi="Arial" w:cs="Arial"/>
        </w:rPr>
        <w:t xml:space="preserve"> </w:t>
      </w:r>
      <w:r w:rsidR="00E6369C" w:rsidRPr="004E5917">
        <w:rPr>
          <w:rFonts w:ascii="Arial" w:hAnsi="Arial" w:cs="Arial"/>
          <w:i/>
        </w:rPr>
        <w:t>et al</w:t>
      </w:r>
      <w:r w:rsidR="00F474C5">
        <w:rPr>
          <w:rFonts w:ascii="Arial" w:hAnsi="Arial" w:cs="Arial"/>
          <w:i/>
        </w:rPr>
        <w:t xml:space="preserve">. </w:t>
      </w:r>
      <w:r w:rsidR="00F474C5">
        <w:rPr>
          <w:rFonts w:ascii="Arial" w:hAnsi="Arial" w:cs="Arial"/>
        </w:rPr>
        <w:t xml:space="preserve">(2015) </w:t>
      </w:r>
      <w:r w:rsidR="00E6369C">
        <w:rPr>
          <w:rFonts w:ascii="Arial" w:hAnsi="Arial" w:cs="Arial"/>
        </w:rPr>
        <w:t xml:space="preserve">used </w:t>
      </w:r>
      <w:r w:rsidR="004C486F">
        <w:rPr>
          <w:rFonts w:ascii="Arial" w:hAnsi="Arial" w:cs="Arial"/>
        </w:rPr>
        <w:t xml:space="preserve">the </w:t>
      </w:r>
      <w:r w:rsidR="00E6369C">
        <w:rPr>
          <w:rFonts w:ascii="Arial" w:hAnsi="Arial" w:cs="Arial"/>
        </w:rPr>
        <w:t>pattern of metagenomic sequencing read coverage around the origin of replication (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) to gain insight into the growth dynamics of gut microbiota. Detecting the 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 in bacteria can hence be of great importance for metagenomic analysis</w:t>
      </w:r>
      <w:r w:rsidR="004C486F">
        <w:rPr>
          <w:rFonts w:ascii="Arial" w:hAnsi="Arial" w:cs="Arial"/>
        </w:rPr>
        <w:t xml:space="preserve">. With the </w:t>
      </w:r>
      <w:proofErr w:type="spellStart"/>
      <w:r w:rsidR="004C486F">
        <w:rPr>
          <w:rFonts w:ascii="Arial" w:hAnsi="Arial" w:cs="Arial"/>
        </w:rPr>
        <w:t>oriC</w:t>
      </w:r>
      <w:proofErr w:type="spellEnd"/>
      <w:r w:rsidR="004C486F">
        <w:rPr>
          <w:rFonts w:ascii="Arial" w:hAnsi="Arial" w:cs="Arial"/>
        </w:rPr>
        <w:t xml:space="preserve"> being the starting point of bacterial replication, its</w:t>
      </w:r>
      <w:r w:rsidR="00E6369C">
        <w:rPr>
          <w:rFonts w:ascii="Arial" w:hAnsi="Arial" w:cs="Arial"/>
        </w:rPr>
        <w:t xml:space="preserve"> detection</w:t>
      </w:r>
      <w:r w:rsidR="004C486F">
        <w:rPr>
          <w:rFonts w:ascii="Arial" w:hAnsi="Arial" w:cs="Arial"/>
        </w:rPr>
        <w:t xml:space="preserve"> can facilitate the analysis</w:t>
      </w:r>
      <w:r w:rsidR="00E6369C">
        <w:rPr>
          <w:rFonts w:ascii="Arial" w:hAnsi="Arial" w:cs="Arial"/>
        </w:rPr>
        <w:t xml:space="preserve"> of certain motifs</w:t>
      </w:r>
      <w:r w:rsidR="004C486F">
        <w:rPr>
          <w:rFonts w:ascii="Arial" w:hAnsi="Arial" w:cs="Arial"/>
        </w:rPr>
        <w:t xml:space="preserve"> and features</w:t>
      </w:r>
      <w:r w:rsidR="00E6369C">
        <w:rPr>
          <w:rFonts w:ascii="Arial" w:hAnsi="Arial" w:cs="Arial"/>
        </w:rPr>
        <w:t xml:space="preserve"> around this location or simply </w:t>
      </w:r>
      <w:r w:rsidR="00C162F7">
        <w:rPr>
          <w:rFonts w:ascii="Arial" w:hAnsi="Arial" w:cs="Arial"/>
        </w:rPr>
        <w:t xml:space="preserve">be used as a starting point </w:t>
      </w:r>
      <w:r w:rsidR="00E6369C">
        <w:rPr>
          <w:rFonts w:ascii="Arial" w:hAnsi="Arial" w:cs="Arial"/>
        </w:rPr>
        <w:t>for gene annotation.</w:t>
      </w:r>
    </w:p>
    <w:p w:rsidR="004C486F" w:rsidRDefault="004C486F" w:rsidP="00F474C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frequently used indicator of the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is the </w:t>
      </w:r>
      <w:r w:rsidR="00F474C5">
        <w:rPr>
          <w:rFonts w:ascii="Arial" w:hAnsi="Arial" w:cs="Arial"/>
        </w:rPr>
        <w:t>so-called</w:t>
      </w:r>
      <w:r>
        <w:rPr>
          <w:rFonts w:ascii="Arial" w:hAnsi="Arial" w:cs="Arial"/>
        </w:rPr>
        <w:t xml:space="preserve"> skew which is based on the strand asymmetry between the leading and lagging strand. The leadings strand usually is rich in guanine (G) and adenine (A) whereas a higher content of cytosine (C) and thymine (T) can be found in the lagging strand </w:t>
      </w:r>
      <w:r w:rsidR="00F474C5">
        <w:rPr>
          <w:rFonts w:ascii="Arial" w:hAnsi="Arial" w:cs="Arial"/>
        </w:rPr>
        <w:t>(</w:t>
      </w:r>
      <w:proofErr w:type="spellStart"/>
      <w:r w:rsidR="00F474C5">
        <w:rPr>
          <w:rFonts w:ascii="Arial" w:hAnsi="Arial" w:cs="Arial"/>
        </w:rPr>
        <w:t>Touchon</w:t>
      </w:r>
      <w:proofErr w:type="spellEnd"/>
      <w:r w:rsidR="00F474C5">
        <w:rPr>
          <w:rFonts w:ascii="Arial" w:hAnsi="Arial" w:cs="Arial"/>
        </w:rPr>
        <w:t xml:space="preserve"> and Rocha, 2008)</w:t>
      </w:r>
      <w:r>
        <w:rPr>
          <w:rFonts w:ascii="Arial" w:hAnsi="Arial" w:cs="Arial"/>
        </w:rPr>
        <w:t>.</w:t>
      </w:r>
      <w:r w:rsidR="0042563C">
        <w:rPr>
          <w:rFonts w:ascii="Arial" w:hAnsi="Arial" w:cs="Arial"/>
        </w:rPr>
        <w:t xml:space="preserve"> The putative location of the </w:t>
      </w:r>
      <w:proofErr w:type="spellStart"/>
      <w:r w:rsidR="0042563C">
        <w:rPr>
          <w:rFonts w:ascii="Arial" w:hAnsi="Arial" w:cs="Arial"/>
        </w:rPr>
        <w:t>oriC</w:t>
      </w:r>
      <w:proofErr w:type="spellEnd"/>
      <w:r w:rsidR="0042563C">
        <w:rPr>
          <w:rFonts w:ascii="Arial" w:hAnsi="Arial" w:cs="Arial"/>
        </w:rPr>
        <w:t xml:space="preserve"> is then indicated by a minimum of the GC skew (G-C)/(G+C) or a maximum in the AT skew respectively. Even though the GC skew is frequently used, the AT skew is able to cover for less pronounced regions in the GC skew </w:t>
      </w:r>
      <w:r w:rsidR="00550585">
        <w:rPr>
          <w:rFonts w:ascii="Arial" w:hAnsi="Arial" w:cs="Arial"/>
        </w:rPr>
        <w:t>(Grigoriev, 1998)</w:t>
      </w:r>
      <w:r w:rsidR="0042563C">
        <w:rPr>
          <w:rFonts w:ascii="Arial" w:hAnsi="Arial" w:cs="Arial"/>
        </w:rPr>
        <w:t>.</w:t>
      </w:r>
    </w:p>
    <w:p w:rsidR="00550585" w:rsidRDefault="0042563C" w:rsidP="0055058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measure used for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prediction is the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motif.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</w:t>
      </w:r>
      <w:r w:rsidR="00250EF2">
        <w:rPr>
          <w:rFonts w:ascii="Arial" w:hAnsi="Arial" w:cs="Arial"/>
        </w:rPr>
        <w:t xml:space="preserve">is the key </w:t>
      </w:r>
      <w:r>
        <w:rPr>
          <w:rFonts w:ascii="Arial" w:hAnsi="Arial" w:cs="Arial"/>
        </w:rPr>
        <w:t xml:space="preserve">protein </w:t>
      </w:r>
      <w:r w:rsidR="00250EF2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initiat</w:t>
      </w:r>
      <w:r w:rsidR="00250EF2">
        <w:rPr>
          <w:rFonts w:ascii="Arial" w:hAnsi="Arial" w:cs="Arial"/>
        </w:rPr>
        <w:t>ion</w:t>
      </w:r>
      <w:r>
        <w:rPr>
          <w:rFonts w:ascii="Arial" w:hAnsi="Arial" w:cs="Arial"/>
        </w:rPr>
        <w:t xml:space="preserve"> of replication</w:t>
      </w:r>
      <w:r w:rsidR="00250EF2">
        <w:rPr>
          <w:rFonts w:ascii="Arial" w:hAnsi="Arial" w:cs="Arial"/>
        </w:rPr>
        <w:t xml:space="preserve">. It binds to clusters of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boxes that accumulate around the </w:t>
      </w:r>
      <w:proofErr w:type="spellStart"/>
      <w:r w:rsidR="00250EF2">
        <w:rPr>
          <w:rFonts w:ascii="Arial" w:hAnsi="Arial" w:cs="Arial"/>
        </w:rPr>
        <w:t>oriC</w:t>
      </w:r>
      <w:proofErr w:type="spellEnd"/>
      <w:r w:rsidR="00250EF2">
        <w:rPr>
          <w:rFonts w:ascii="Arial" w:hAnsi="Arial" w:cs="Arial"/>
        </w:rPr>
        <w:t xml:space="preserve">. The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motif is nine base pairs long and is highly conserved with the consensus sequence </w:t>
      </w:r>
    </w:p>
    <w:p w:rsidR="0042563C" w:rsidRDefault="00250EF2" w:rsidP="00550585">
      <w:pPr>
        <w:spacing w:after="0" w:line="276" w:lineRule="auto"/>
        <w:jc w:val="both"/>
        <w:rPr>
          <w:rFonts w:ascii="Arial" w:hAnsi="Arial" w:cs="Arial"/>
        </w:rPr>
      </w:pPr>
      <w:r w:rsidRPr="00550585">
        <w:rPr>
          <w:rFonts w:ascii="Arial" w:hAnsi="Arial" w:cs="Arial"/>
        </w:rPr>
        <w:t>“</w:t>
      </w:r>
      <w:r w:rsidRPr="00550585">
        <w:rPr>
          <w:rFonts w:ascii="Arial" w:hAnsi="Arial" w:cs="Arial"/>
          <w:i/>
        </w:rPr>
        <w:t xml:space="preserve">TT </w:t>
      </w:r>
      <m:oMath>
        <m:f>
          <m:fPr>
            <m:type m:val="skw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T</m:t>
            </m:r>
          </m:den>
        </m:f>
      </m:oMath>
      <w:r w:rsidRPr="00550585">
        <w:rPr>
          <w:rFonts w:ascii="Arial" w:hAnsi="Arial" w:cs="Arial"/>
          <w:i/>
        </w:rPr>
        <w:t>TNCACA</w:t>
      </w:r>
      <w:r>
        <w:rPr>
          <w:rFonts w:ascii="Arial" w:hAnsi="Arial" w:cs="Arial"/>
        </w:rPr>
        <w:t xml:space="preserve">” </w:t>
      </w:r>
      <w:r w:rsidR="00F85842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Blaesing </w:t>
      </w:r>
      <w:r w:rsidRPr="00F85842">
        <w:rPr>
          <w:rFonts w:ascii="Arial" w:hAnsi="Arial" w:cs="Arial"/>
          <w:i/>
        </w:rPr>
        <w:t>et al</w:t>
      </w:r>
      <w:r w:rsidR="00F85842">
        <w:rPr>
          <w:rFonts w:ascii="Arial" w:hAnsi="Arial" w:cs="Arial"/>
        </w:rPr>
        <w:t>., 2017)</w:t>
      </w:r>
      <w:r>
        <w:rPr>
          <w:rFonts w:ascii="Arial" w:hAnsi="Arial" w:cs="Arial"/>
        </w:rPr>
        <w:t xml:space="preserve">. Detecting the location of these clusters of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boxes can therefore improve the prediction of a putative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>.</w:t>
      </w:r>
    </w:p>
    <w:p w:rsidR="00550585" w:rsidRDefault="00550585" w:rsidP="00550585">
      <w:pPr>
        <w:spacing w:after="0" w:line="276" w:lineRule="auto"/>
        <w:jc w:val="both"/>
        <w:rPr>
          <w:rFonts w:ascii="Arial" w:hAnsi="Arial" w:cs="Arial"/>
        </w:rPr>
      </w:pPr>
    </w:p>
    <w:p w:rsidR="00250EF2" w:rsidRDefault="00250EF2" w:rsidP="00F474C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project tries to identify putative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locations of four different bacteria species (</w:t>
      </w:r>
      <w:r w:rsidRPr="00250EF2">
        <w:rPr>
          <w:rFonts w:ascii="Arial" w:hAnsi="Arial" w:cs="Arial"/>
          <w:i/>
        </w:rPr>
        <w:t xml:space="preserve">Escherichia coli, Vibrio cholerae, Salmonella enterica, </w:t>
      </w:r>
      <w:proofErr w:type="spellStart"/>
      <w:r w:rsidRPr="00250EF2">
        <w:rPr>
          <w:rFonts w:ascii="Arial" w:hAnsi="Arial" w:cs="Arial"/>
          <w:i/>
        </w:rPr>
        <w:t>Thermotoga</w:t>
      </w:r>
      <w:proofErr w:type="spellEnd"/>
      <w:r w:rsidRPr="00250EF2">
        <w:rPr>
          <w:rFonts w:ascii="Arial" w:hAnsi="Arial" w:cs="Arial"/>
          <w:i/>
        </w:rPr>
        <w:t xml:space="preserve"> </w:t>
      </w:r>
      <w:proofErr w:type="spellStart"/>
      <w:r w:rsidRPr="00250EF2">
        <w:rPr>
          <w:rFonts w:ascii="Arial" w:hAnsi="Arial" w:cs="Arial"/>
          <w:i/>
        </w:rPr>
        <w:t>petrophila</w:t>
      </w:r>
      <w:proofErr w:type="spellEnd"/>
      <w:r>
        <w:rPr>
          <w:rFonts w:ascii="Arial" w:hAnsi="Arial" w:cs="Arial"/>
        </w:rPr>
        <w:t xml:space="preserve">). The approximate </w:t>
      </w:r>
      <w:r w:rsidR="00563076">
        <w:rPr>
          <w:rFonts w:ascii="Arial" w:hAnsi="Arial" w:cs="Arial"/>
        </w:rPr>
        <w:t xml:space="preserve">region of the </w:t>
      </w:r>
      <w:proofErr w:type="spellStart"/>
      <w:r w:rsidR="00563076">
        <w:rPr>
          <w:rFonts w:ascii="Arial" w:hAnsi="Arial" w:cs="Arial"/>
        </w:rPr>
        <w:t>oriC</w:t>
      </w:r>
      <w:proofErr w:type="spellEnd"/>
      <w:r w:rsidR="00563076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identified using GC and AT skews</w:t>
      </w:r>
      <w:r w:rsidR="00563076">
        <w:rPr>
          <w:rFonts w:ascii="Arial" w:hAnsi="Arial" w:cs="Arial"/>
        </w:rPr>
        <w:t xml:space="preserve">. In this region, the </w:t>
      </w:r>
      <w:proofErr w:type="spellStart"/>
      <w:r w:rsidR="00563076">
        <w:rPr>
          <w:rFonts w:ascii="Arial" w:hAnsi="Arial" w:cs="Arial"/>
        </w:rPr>
        <w:t>DnaA</w:t>
      </w:r>
      <w:proofErr w:type="spellEnd"/>
      <w:r w:rsidR="00563076">
        <w:rPr>
          <w:rFonts w:ascii="Arial" w:hAnsi="Arial" w:cs="Arial"/>
        </w:rPr>
        <w:t xml:space="preserve"> motif clusters are then located to further specify the region.</w:t>
      </w:r>
    </w:p>
    <w:p w:rsidR="00B66050" w:rsidRDefault="00B66050" w:rsidP="00F474C5">
      <w:pPr>
        <w:spacing w:line="276" w:lineRule="auto"/>
        <w:rPr>
          <w:rFonts w:ascii="Arial" w:hAnsi="Arial" w:cs="Arial"/>
        </w:rPr>
      </w:pPr>
    </w:p>
    <w:p w:rsidR="00B66050" w:rsidRPr="003924A3" w:rsidRDefault="00B66050" w:rsidP="00F474C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924A3">
        <w:rPr>
          <w:rFonts w:ascii="Arial" w:hAnsi="Arial" w:cs="Arial"/>
          <w:b/>
          <w:sz w:val="24"/>
          <w:szCs w:val="24"/>
        </w:rPr>
        <w:t>Literature</w:t>
      </w:r>
    </w:p>
    <w:p w:rsidR="00F85842" w:rsidRPr="00F85842" w:rsidRDefault="00F85842" w:rsidP="00F474C5">
      <w:pPr>
        <w:spacing w:after="0" w:line="276" w:lineRule="auto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Blaesing, F., Weigel, C., </w:t>
      </w:r>
      <w:proofErr w:type="spellStart"/>
      <w:r w:rsidRPr="00F85842">
        <w:rPr>
          <w:rFonts w:ascii="Arial" w:hAnsi="Arial" w:cs="Arial"/>
        </w:rPr>
        <w:t>Welzeck</w:t>
      </w:r>
      <w:proofErr w:type="spellEnd"/>
      <w:r w:rsidRPr="00F85842">
        <w:rPr>
          <w:rFonts w:ascii="Arial" w:hAnsi="Arial" w:cs="Arial"/>
        </w:rPr>
        <w:t>, M. and Messer, W. (2017) Analysis of the DNA</w:t>
      </w:r>
      <w:r w:rsidRPr="00F85842">
        <w:rPr>
          <w:rFonts w:ascii="Cambria Math" w:hAnsi="Cambria Math" w:cs="Cambria Math"/>
        </w:rPr>
        <w:t>‐</w:t>
      </w:r>
      <w:r w:rsidRPr="00F85842">
        <w:rPr>
          <w:rFonts w:ascii="Arial" w:hAnsi="Arial" w:cs="Arial"/>
        </w:rPr>
        <w:t>binding</w:t>
      </w:r>
    </w:p>
    <w:p w:rsidR="00B66050" w:rsidRDefault="00F85842" w:rsidP="00F474C5">
      <w:pPr>
        <w:spacing w:after="0" w:line="276" w:lineRule="auto"/>
        <w:ind w:firstLine="426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domain of Escherichia coli </w:t>
      </w:r>
      <w:proofErr w:type="spellStart"/>
      <w:r w:rsidRPr="00F85842">
        <w:rPr>
          <w:rFonts w:ascii="Arial" w:hAnsi="Arial" w:cs="Arial"/>
        </w:rPr>
        <w:t>DnaA</w:t>
      </w:r>
      <w:proofErr w:type="spellEnd"/>
      <w:r w:rsidRPr="00F85842">
        <w:rPr>
          <w:rFonts w:ascii="Arial" w:hAnsi="Arial" w:cs="Arial"/>
        </w:rPr>
        <w:t xml:space="preserve"> protein. </w:t>
      </w:r>
      <w:r w:rsidRPr="00F85842">
        <w:rPr>
          <w:rFonts w:ascii="Arial" w:hAnsi="Arial" w:cs="Arial"/>
          <w:i/>
        </w:rPr>
        <w:t>Molecular microbiology</w:t>
      </w:r>
      <w:r w:rsidRPr="00F85842">
        <w:rPr>
          <w:rFonts w:ascii="Arial" w:hAnsi="Arial" w:cs="Arial"/>
        </w:rPr>
        <w:t xml:space="preserve">, </w:t>
      </w:r>
      <w:r w:rsidRPr="00F85842">
        <w:rPr>
          <w:rFonts w:ascii="Arial" w:hAnsi="Arial" w:cs="Arial"/>
          <w:b/>
        </w:rPr>
        <w:t>36</w:t>
      </w:r>
      <w:r w:rsidRPr="00F85842">
        <w:rPr>
          <w:rFonts w:ascii="Arial" w:hAnsi="Arial" w:cs="Arial"/>
        </w:rPr>
        <w:t>(3), 557-569.</w:t>
      </w:r>
    </w:p>
    <w:p w:rsidR="003924A3" w:rsidRDefault="003924A3" w:rsidP="00F474C5">
      <w:pPr>
        <w:spacing w:after="0" w:line="276" w:lineRule="auto"/>
        <w:ind w:firstLine="426"/>
        <w:jc w:val="both"/>
        <w:rPr>
          <w:rFonts w:ascii="Arial" w:hAnsi="Arial" w:cs="Arial"/>
        </w:rPr>
      </w:pPr>
    </w:p>
    <w:p w:rsidR="003924A3" w:rsidRDefault="003924A3" w:rsidP="003924A3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3924A3">
        <w:rPr>
          <w:rFonts w:ascii="Arial" w:hAnsi="Arial" w:cs="Arial"/>
        </w:rPr>
        <w:t>Grigor</w:t>
      </w:r>
      <w:bookmarkStart w:id="0" w:name="_GoBack"/>
      <w:bookmarkEnd w:id="0"/>
      <w:r w:rsidRPr="003924A3">
        <w:rPr>
          <w:rFonts w:ascii="Arial" w:hAnsi="Arial" w:cs="Arial"/>
        </w:rPr>
        <w:t xml:space="preserve">iev, A. (1998) </w:t>
      </w:r>
      <w:proofErr w:type="spellStart"/>
      <w:r w:rsidRPr="003924A3">
        <w:rPr>
          <w:rFonts w:ascii="Arial" w:hAnsi="Arial" w:cs="Arial"/>
        </w:rPr>
        <w:t>Analyzing</w:t>
      </w:r>
      <w:proofErr w:type="spellEnd"/>
      <w:r w:rsidRPr="003924A3">
        <w:rPr>
          <w:rFonts w:ascii="Arial" w:hAnsi="Arial" w:cs="Arial"/>
        </w:rPr>
        <w:t xml:space="preserve"> genomes with cumulative skew diagrams. </w:t>
      </w:r>
      <w:r w:rsidRPr="003924A3">
        <w:rPr>
          <w:rFonts w:ascii="Arial" w:hAnsi="Arial" w:cs="Arial"/>
          <w:i/>
          <w:iCs/>
        </w:rPr>
        <w:t>Nucleic acids</w:t>
      </w:r>
    </w:p>
    <w:p w:rsidR="003924A3" w:rsidRPr="003924A3" w:rsidRDefault="003924A3" w:rsidP="003924A3">
      <w:pPr>
        <w:spacing w:after="0" w:line="276" w:lineRule="auto"/>
        <w:ind w:firstLine="426"/>
        <w:jc w:val="both"/>
        <w:rPr>
          <w:rFonts w:ascii="Arial" w:hAnsi="Arial" w:cs="Arial"/>
        </w:rPr>
      </w:pPr>
      <w:r w:rsidRPr="003924A3">
        <w:rPr>
          <w:rFonts w:ascii="Arial" w:hAnsi="Arial" w:cs="Arial"/>
          <w:i/>
          <w:iCs/>
        </w:rPr>
        <w:t>research</w:t>
      </w:r>
      <w:r w:rsidRPr="003924A3">
        <w:rPr>
          <w:rFonts w:ascii="Arial" w:hAnsi="Arial" w:cs="Arial"/>
        </w:rPr>
        <w:t xml:space="preserve">, </w:t>
      </w:r>
      <w:r w:rsidRPr="00AD3642">
        <w:rPr>
          <w:rFonts w:ascii="Arial" w:hAnsi="Arial" w:cs="Arial"/>
          <w:b/>
          <w:iCs/>
        </w:rPr>
        <w:t>26</w:t>
      </w:r>
      <w:r w:rsidRPr="003924A3">
        <w:rPr>
          <w:rFonts w:ascii="Arial" w:hAnsi="Arial" w:cs="Arial"/>
        </w:rPr>
        <w:t>(10), 2286-2290.</w:t>
      </w:r>
    </w:p>
    <w:p w:rsidR="00F474C5" w:rsidRDefault="00F474C5" w:rsidP="003924A3">
      <w:pPr>
        <w:spacing w:after="0" w:line="276" w:lineRule="auto"/>
        <w:jc w:val="both"/>
        <w:rPr>
          <w:rFonts w:ascii="Arial" w:hAnsi="Arial" w:cs="Arial"/>
        </w:rPr>
      </w:pPr>
    </w:p>
    <w:p w:rsidR="00F85842" w:rsidRPr="00AD3642" w:rsidRDefault="00F85842" w:rsidP="00F474C5">
      <w:pPr>
        <w:spacing w:after="0" w:line="276" w:lineRule="auto"/>
        <w:jc w:val="both"/>
        <w:rPr>
          <w:rFonts w:ascii="Arial" w:hAnsi="Arial" w:cs="Arial"/>
        </w:rPr>
      </w:pPr>
      <w:r w:rsidRPr="00AD3642">
        <w:rPr>
          <w:rFonts w:ascii="Arial" w:hAnsi="Arial" w:cs="Arial"/>
        </w:rPr>
        <w:t>Korem, T., Zeevi, D., Suez, J., Weinberger, A., Avnit-Sagi, T., Pompan-Lotan, M., Matot, E.,</w:t>
      </w:r>
    </w:p>
    <w:p w:rsidR="00F85842" w:rsidRDefault="00F85842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  <w:proofErr w:type="spellStart"/>
      <w:r w:rsidRPr="00F85842">
        <w:rPr>
          <w:rFonts w:ascii="Arial" w:hAnsi="Arial" w:cs="Arial"/>
        </w:rPr>
        <w:t>Jona</w:t>
      </w:r>
      <w:proofErr w:type="spellEnd"/>
      <w:r w:rsidRPr="00F85842">
        <w:rPr>
          <w:rFonts w:ascii="Arial" w:hAnsi="Arial" w:cs="Arial"/>
        </w:rPr>
        <w:t xml:space="preserve">, G., </w:t>
      </w:r>
      <w:proofErr w:type="spellStart"/>
      <w:r w:rsidRPr="00F85842">
        <w:rPr>
          <w:rFonts w:ascii="Arial" w:hAnsi="Arial" w:cs="Arial"/>
        </w:rPr>
        <w:t>Harmelin</w:t>
      </w:r>
      <w:proofErr w:type="spellEnd"/>
      <w:r w:rsidRPr="00F85842">
        <w:rPr>
          <w:rFonts w:ascii="Arial" w:hAnsi="Arial" w:cs="Arial"/>
        </w:rPr>
        <w:t xml:space="preserve">, A., Cohen, N., Sirota-Madi, A., Pevsner-Fischer, M., </w:t>
      </w:r>
      <w:proofErr w:type="spellStart"/>
      <w:r w:rsidRPr="00F85842">
        <w:rPr>
          <w:rFonts w:ascii="Arial" w:hAnsi="Arial" w:cs="Arial"/>
        </w:rPr>
        <w:t>Sorek</w:t>
      </w:r>
      <w:proofErr w:type="spellEnd"/>
      <w:r w:rsidRPr="00F85842">
        <w:rPr>
          <w:rFonts w:ascii="Arial" w:hAnsi="Arial" w:cs="Arial"/>
        </w:rPr>
        <w:t>, R., Xavier,</w:t>
      </w:r>
    </w:p>
    <w:p w:rsidR="00F83DAB" w:rsidRDefault="00F85842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R., </w:t>
      </w:r>
      <w:proofErr w:type="spellStart"/>
      <w:r w:rsidRPr="00F85842">
        <w:rPr>
          <w:rFonts w:ascii="Arial" w:hAnsi="Arial" w:cs="Arial"/>
        </w:rPr>
        <w:t>Elinav</w:t>
      </w:r>
      <w:proofErr w:type="spellEnd"/>
      <w:r w:rsidRPr="00F85842">
        <w:rPr>
          <w:rFonts w:ascii="Arial" w:hAnsi="Arial" w:cs="Arial"/>
        </w:rPr>
        <w:t>, E. and Segal, E. (2015) Growth dynamics of gut microbiota in health and</w:t>
      </w:r>
    </w:p>
    <w:p w:rsidR="00F85842" w:rsidRDefault="00F85842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disease inferred from single metagenomic samples. </w:t>
      </w:r>
      <w:r w:rsidRPr="00F85842">
        <w:rPr>
          <w:rFonts w:ascii="Arial" w:hAnsi="Arial" w:cs="Arial"/>
          <w:i/>
          <w:iCs/>
        </w:rPr>
        <w:t>Science</w:t>
      </w:r>
      <w:r w:rsidRPr="00F85842">
        <w:rPr>
          <w:rFonts w:ascii="Arial" w:hAnsi="Arial" w:cs="Arial"/>
        </w:rPr>
        <w:t xml:space="preserve">, </w:t>
      </w:r>
      <w:r w:rsidRPr="00F474C5">
        <w:rPr>
          <w:rFonts w:ascii="Arial" w:hAnsi="Arial" w:cs="Arial"/>
          <w:b/>
          <w:iCs/>
        </w:rPr>
        <w:t>349</w:t>
      </w:r>
      <w:r w:rsidRPr="00F474C5">
        <w:rPr>
          <w:rFonts w:ascii="Arial" w:hAnsi="Arial" w:cs="Arial"/>
        </w:rPr>
        <w:t>(</w:t>
      </w:r>
      <w:r w:rsidRPr="00F85842">
        <w:rPr>
          <w:rFonts w:ascii="Arial" w:hAnsi="Arial" w:cs="Arial"/>
        </w:rPr>
        <w:t>6252), 1101-1106.</w:t>
      </w:r>
    </w:p>
    <w:p w:rsidR="00F474C5" w:rsidRDefault="00F474C5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</w:p>
    <w:p w:rsidR="00F474C5" w:rsidRDefault="00F474C5" w:rsidP="00F474C5">
      <w:pPr>
        <w:spacing w:after="0" w:line="276" w:lineRule="auto"/>
        <w:rPr>
          <w:rFonts w:ascii="Arial" w:hAnsi="Arial" w:cs="Arial"/>
        </w:rPr>
      </w:pPr>
      <w:proofErr w:type="spellStart"/>
      <w:r w:rsidRPr="00F474C5">
        <w:rPr>
          <w:rFonts w:ascii="Arial" w:hAnsi="Arial" w:cs="Arial"/>
        </w:rPr>
        <w:t>Touchon</w:t>
      </w:r>
      <w:proofErr w:type="spellEnd"/>
      <w:r w:rsidRPr="00F474C5">
        <w:rPr>
          <w:rFonts w:ascii="Arial" w:hAnsi="Arial" w:cs="Arial"/>
        </w:rPr>
        <w:t xml:space="preserve">, M., </w:t>
      </w:r>
      <w:r>
        <w:rPr>
          <w:rFonts w:ascii="Arial" w:hAnsi="Arial" w:cs="Arial"/>
        </w:rPr>
        <w:t>and</w:t>
      </w:r>
      <w:r w:rsidRPr="00F474C5">
        <w:rPr>
          <w:rFonts w:ascii="Arial" w:hAnsi="Arial" w:cs="Arial"/>
        </w:rPr>
        <w:t xml:space="preserve"> Rocha, E. P. (2008) From GC skews to wavelets: a gentle guide to the</w:t>
      </w:r>
    </w:p>
    <w:p w:rsidR="00F474C5" w:rsidRPr="00F474C5" w:rsidRDefault="00F474C5" w:rsidP="00F474C5">
      <w:pPr>
        <w:spacing w:after="0" w:line="276" w:lineRule="auto"/>
        <w:ind w:firstLine="426"/>
        <w:rPr>
          <w:rFonts w:ascii="Arial" w:hAnsi="Arial" w:cs="Arial"/>
        </w:rPr>
      </w:pPr>
      <w:r w:rsidRPr="00F474C5">
        <w:rPr>
          <w:rFonts w:ascii="Arial" w:hAnsi="Arial" w:cs="Arial"/>
        </w:rPr>
        <w:t>analysis of compositional asymmetries in genomic data. ​</w:t>
      </w:r>
      <w:proofErr w:type="spellStart"/>
      <w:r w:rsidRPr="00F474C5">
        <w:rPr>
          <w:rFonts w:ascii="Arial" w:hAnsi="Arial" w:cs="Arial"/>
          <w:i/>
        </w:rPr>
        <w:t>Biochimie</w:t>
      </w:r>
      <w:proofErr w:type="spellEnd"/>
      <w:r>
        <w:rPr>
          <w:rFonts w:ascii="Arial" w:hAnsi="Arial" w:cs="Arial"/>
        </w:rPr>
        <w:t>,</w:t>
      </w:r>
      <w:r w:rsidRPr="00F474C5">
        <w:rPr>
          <w:rFonts w:ascii="Arial" w:hAnsi="Arial" w:cs="Arial"/>
        </w:rPr>
        <w:t xml:space="preserve"> ​</w:t>
      </w:r>
      <w:r w:rsidRPr="00F474C5">
        <w:rPr>
          <w:rFonts w:ascii="Arial" w:hAnsi="Arial" w:cs="Arial"/>
          <w:b/>
        </w:rPr>
        <w:t>90</w:t>
      </w:r>
      <w:r w:rsidRPr="00F474C5">
        <w:rPr>
          <w:rFonts w:ascii="Arial" w:hAnsi="Arial" w:cs="Arial"/>
        </w:rPr>
        <w:t xml:space="preserve">(4), 648-659. </w:t>
      </w:r>
    </w:p>
    <w:p w:rsidR="00F474C5" w:rsidRPr="00F85842" w:rsidRDefault="00F474C5" w:rsidP="00F474C5">
      <w:pPr>
        <w:spacing w:after="0" w:line="276" w:lineRule="auto"/>
        <w:jc w:val="both"/>
        <w:rPr>
          <w:rFonts w:ascii="Arial" w:hAnsi="Arial" w:cs="Arial"/>
        </w:rPr>
      </w:pPr>
    </w:p>
    <w:p w:rsidR="00F85842" w:rsidRPr="00F85842" w:rsidRDefault="00F85842" w:rsidP="00F474C5">
      <w:pPr>
        <w:spacing w:after="0" w:line="276" w:lineRule="auto"/>
        <w:jc w:val="both"/>
        <w:rPr>
          <w:rFonts w:ascii="Arial" w:hAnsi="Arial" w:cs="Arial"/>
        </w:rPr>
      </w:pPr>
    </w:p>
    <w:sectPr w:rsidR="00F85842" w:rsidRPr="00F85842" w:rsidSect="00EE27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8DB" w:rsidRDefault="000168DB" w:rsidP="003924A3">
      <w:pPr>
        <w:spacing w:after="0" w:line="240" w:lineRule="auto"/>
      </w:pPr>
      <w:r>
        <w:separator/>
      </w:r>
    </w:p>
  </w:endnote>
  <w:endnote w:type="continuationSeparator" w:id="0">
    <w:p w:rsidR="000168DB" w:rsidRDefault="000168DB" w:rsidP="0039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8DB" w:rsidRDefault="000168DB" w:rsidP="003924A3">
      <w:pPr>
        <w:spacing w:after="0" w:line="240" w:lineRule="auto"/>
      </w:pPr>
      <w:r>
        <w:separator/>
      </w:r>
    </w:p>
  </w:footnote>
  <w:footnote w:type="continuationSeparator" w:id="0">
    <w:p w:rsidR="000168DB" w:rsidRDefault="000168DB" w:rsidP="0039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3" w:rsidRPr="00AF1600" w:rsidRDefault="003924A3" w:rsidP="00AF1600">
    <w:pPr>
      <w:pStyle w:val="Kopfzeile"/>
      <w:jc w:val="center"/>
      <w:rPr>
        <w:rFonts w:ascii="Arial" w:hAnsi="Arial" w:cs="Arial"/>
        <w:sz w:val="20"/>
        <w:szCs w:val="20"/>
      </w:rPr>
    </w:pPr>
    <w:r w:rsidRPr="00AF1600">
      <w:rPr>
        <w:rFonts w:ascii="Arial" w:hAnsi="Arial" w:cs="Arial"/>
        <w:sz w:val="20"/>
        <w:szCs w:val="20"/>
      </w:rPr>
      <w:t xml:space="preserve">Project 14: Detection of the Replication Origin </w:t>
    </w:r>
    <w:r w:rsidR="00AF1600" w:rsidRPr="00AF1600">
      <w:rPr>
        <w:rFonts w:ascii="Arial" w:hAnsi="Arial" w:cs="Arial"/>
        <w:sz w:val="20"/>
        <w:szCs w:val="20"/>
      </w:rPr>
      <w:t>in</w:t>
    </w:r>
    <w:r w:rsidRPr="00AF1600">
      <w:rPr>
        <w:rFonts w:ascii="Arial" w:hAnsi="Arial" w:cs="Arial"/>
        <w:sz w:val="20"/>
        <w:szCs w:val="20"/>
      </w:rPr>
      <w:t xml:space="preserve"> Bacterial Genomes</w:t>
    </w:r>
    <w:r w:rsidR="00AF1600" w:rsidRPr="00AF1600">
      <w:rPr>
        <w:rFonts w:ascii="Arial" w:hAnsi="Arial" w:cs="Arial"/>
        <w:sz w:val="20"/>
        <w:szCs w:val="20"/>
      </w:rPr>
      <w:t xml:space="preserve"> (WS19/20)</w:t>
    </w:r>
    <w:r w:rsidR="00AF1600" w:rsidRPr="00AF1600">
      <w:rPr>
        <w:rFonts w:ascii="Arial" w:hAnsi="Arial" w:cs="Arial"/>
        <w:sz w:val="20"/>
        <w:szCs w:val="20"/>
      </w:rPr>
      <w:br/>
      <w:t xml:space="preserve">A. </w:t>
    </w:r>
    <w:proofErr w:type="spellStart"/>
    <w:r w:rsidR="00AF1600" w:rsidRPr="00AF1600">
      <w:rPr>
        <w:rFonts w:ascii="Arial" w:hAnsi="Arial" w:cs="Arial"/>
        <w:sz w:val="20"/>
        <w:szCs w:val="20"/>
      </w:rPr>
      <w:t>Reuß</w:t>
    </w:r>
    <w:proofErr w:type="spellEnd"/>
    <w:r w:rsidR="00AF1600" w:rsidRPr="00AF1600">
      <w:rPr>
        <w:rFonts w:ascii="Arial" w:hAnsi="Arial" w:cs="Arial"/>
        <w:sz w:val="20"/>
        <w:szCs w:val="20"/>
      </w:rPr>
      <w:t xml:space="preserve">, A. Schuster, K. </w:t>
    </w:r>
    <w:proofErr w:type="spellStart"/>
    <w:r w:rsidR="00AF1600" w:rsidRPr="00AF1600">
      <w:rPr>
        <w:rFonts w:ascii="Arial" w:hAnsi="Arial" w:cs="Arial"/>
        <w:sz w:val="20"/>
        <w:szCs w:val="20"/>
      </w:rPr>
      <w:t>Maidhof</w:t>
    </w:r>
    <w:proofErr w:type="spellEnd"/>
    <w:r w:rsidR="00AF1600" w:rsidRPr="00AF1600">
      <w:rPr>
        <w:rFonts w:ascii="Arial" w:hAnsi="Arial" w:cs="Arial"/>
        <w:sz w:val="20"/>
        <w:szCs w:val="20"/>
      </w:rPr>
      <w:t xml:space="preserve">, T. </w:t>
    </w:r>
    <w:proofErr w:type="spellStart"/>
    <w:r w:rsidR="00AF1600" w:rsidRPr="00AF1600">
      <w:rPr>
        <w:rFonts w:ascii="Arial" w:hAnsi="Arial" w:cs="Arial"/>
        <w:sz w:val="20"/>
        <w:szCs w:val="20"/>
      </w:rPr>
      <w:t>Gresser</w:t>
    </w:r>
    <w:proofErr w:type="spellEnd"/>
  </w:p>
  <w:p w:rsidR="003924A3" w:rsidRDefault="003924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3E17"/>
    <w:multiLevelType w:val="hybridMultilevel"/>
    <w:tmpl w:val="50089E48"/>
    <w:lvl w:ilvl="0" w:tplc="545CA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56126"/>
    <w:multiLevelType w:val="hybridMultilevel"/>
    <w:tmpl w:val="936ACCB0"/>
    <w:lvl w:ilvl="0" w:tplc="939C5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5A"/>
    <w:rsid w:val="000168DB"/>
    <w:rsid w:val="00023738"/>
    <w:rsid w:val="00250EF2"/>
    <w:rsid w:val="00281759"/>
    <w:rsid w:val="003924A3"/>
    <w:rsid w:val="0042563C"/>
    <w:rsid w:val="00443E32"/>
    <w:rsid w:val="004C486F"/>
    <w:rsid w:val="004D2E48"/>
    <w:rsid w:val="004E5917"/>
    <w:rsid w:val="00550585"/>
    <w:rsid w:val="00563076"/>
    <w:rsid w:val="00747293"/>
    <w:rsid w:val="007D5A3D"/>
    <w:rsid w:val="00A9546B"/>
    <w:rsid w:val="00AC7551"/>
    <w:rsid w:val="00AD3642"/>
    <w:rsid w:val="00AF1600"/>
    <w:rsid w:val="00B03BDB"/>
    <w:rsid w:val="00B66050"/>
    <w:rsid w:val="00BB2BDB"/>
    <w:rsid w:val="00C162F7"/>
    <w:rsid w:val="00D43E5A"/>
    <w:rsid w:val="00E6369C"/>
    <w:rsid w:val="00EE27FB"/>
    <w:rsid w:val="00F474C5"/>
    <w:rsid w:val="00F83DAB"/>
    <w:rsid w:val="00F8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7E846-4C83-4705-AAF2-2AF6DDF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E5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50EF2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39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24A3"/>
  </w:style>
  <w:style w:type="paragraph" w:styleId="Fuzeile">
    <w:name w:val="footer"/>
    <w:basedOn w:val="Standard"/>
    <w:link w:val="FuzeileZchn"/>
    <w:uiPriority w:val="99"/>
    <w:unhideWhenUsed/>
    <w:rsid w:val="0039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Reuss</dc:creator>
  <cp:keywords/>
  <dc:description/>
  <cp:lastModifiedBy>Annalena Reuss</cp:lastModifiedBy>
  <cp:revision>11</cp:revision>
  <dcterms:created xsi:type="dcterms:W3CDTF">2019-12-12T12:58:00Z</dcterms:created>
  <dcterms:modified xsi:type="dcterms:W3CDTF">2019-12-15T18:29:00Z</dcterms:modified>
</cp:coreProperties>
</file>