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b149fib05kmz" w:id="0"/>
      <w:bookmarkEnd w:id="0"/>
      <w:r w:rsidDel="00000000" w:rsidR="00000000" w:rsidRPr="00000000">
        <w:rPr>
          <w:rtl w:val="0"/>
        </w:rPr>
        <w:t xml:space="preserve">Abstract</w:t>
      </w:r>
    </w:p>
    <w:p w:rsidR="00000000" w:rsidDel="00000000" w:rsidP="00000000" w:rsidRDefault="00000000" w:rsidRPr="00000000" w14:paraId="00000002">
      <w:pPr>
        <w:pStyle w:val="Heading1"/>
        <w:rPr/>
      </w:pPr>
      <w:bookmarkStart w:colFirst="0" w:colLast="0" w:name="_heading=h.w7170gmn10pw" w:id="1"/>
      <w:bookmarkEnd w:id="1"/>
      <w:r w:rsidDel="00000000" w:rsidR="00000000" w:rsidRPr="00000000">
        <w:rPr>
          <w:rtl w:val="0"/>
        </w:rPr>
        <w:t xml:space="preserve">Introduction</w:t>
      </w:r>
    </w:p>
    <w:p w:rsidR="00000000" w:rsidDel="00000000" w:rsidP="00000000" w:rsidRDefault="00000000" w:rsidRPr="00000000" w14:paraId="00000003">
      <w:pPr>
        <w:spacing w:line="276" w:lineRule="auto"/>
        <w:jc w:val="both"/>
        <w:rPr>
          <w:rFonts w:ascii="Arial" w:cs="Arial" w:eastAsia="Arial" w:hAnsi="Arial"/>
        </w:rPr>
      </w:pPr>
      <w:r w:rsidDel="00000000" w:rsidR="00000000" w:rsidRPr="00000000">
        <w:rPr>
          <w:rFonts w:ascii="Arial" w:cs="Arial" w:eastAsia="Arial" w:hAnsi="Arial"/>
          <w:rtl w:val="0"/>
        </w:rPr>
        <w:t xml:space="preserve">Metagenomic sequencing data has increased the understanding of the role of the microbiome and given insight into a variety of (bacterial) communities. Korem </w:t>
      </w:r>
      <w:r w:rsidDel="00000000" w:rsidR="00000000" w:rsidRPr="00000000">
        <w:rPr>
          <w:rFonts w:ascii="Arial" w:cs="Arial" w:eastAsia="Arial" w:hAnsi="Arial"/>
          <w:i w:val="1"/>
          <w:rtl w:val="0"/>
        </w:rPr>
        <w:t xml:space="preserve">et al. </w:t>
      </w:r>
      <w:r w:rsidDel="00000000" w:rsidR="00000000" w:rsidRPr="00000000">
        <w:rPr>
          <w:rFonts w:ascii="Arial" w:cs="Arial" w:eastAsia="Arial" w:hAnsi="Arial"/>
          <w:rtl w:val="0"/>
        </w:rPr>
        <w:t xml:space="preserve">(2015) used the pattern of metagenomic sequencing read coverage around the origin of replication (oriC) to gain insight into the growth dynamics of gut microbiota. Detecting the oriC in bacteria can hence be of great importance for metagenomic analysis. With the oriC being the starting point of bacterial replication, its detection can facilitate the analysis of certain motifs and features around this location or simply be used as a starting point for gene annotation.</w:t>
      </w:r>
    </w:p>
    <w:p w:rsidR="00000000" w:rsidDel="00000000" w:rsidP="00000000" w:rsidRDefault="00000000" w:rsidRPr="00000000" w14:paraId="00000004">
      <w:pPr>
        <w:spacing w:line="276" w:lineRule="auto"/>
        <w:jc w:val="both"/>
        <w:rPr>
          <w:rFonts w:ascii="Arial" w:cs="Arial" w:eastAsia="Arial" w:hAnsi="Arial"/>
        </w:rPr>
      </w:pPr>
      <w:r w:rsidDel="00000000" w:rsidR="00000000" w:rsidRPr="00000000">
        <w:rPr>
          <w:rFonts w:ascii="Arial" w:cs="Arial" w:eastAsia="Arial" w:hAnsi="Arial"/>
          <w:rtl w:val="0"/>
        </w:rPr>
        <w:t xml:space="preserve">A frequently used indicator of the oriC is the so-called nucleotide skew which is based on the strand asymmetry between the leading and lagging strand. The leading strand usually is rich in guanine (G) and adenine (A) whereas a higher content of cytosine (C) and thymine (T) can be found in the lagging strand (Touchon and Rocha, 2008). The putative location of the oriC is then indicated by a minimum of the GC skew </w:t>
      </w:r>
      <w:r w:rsidDel="00000000" w:rsidR="00000000" w:rsidRPr="00000000">
        <w:rPr>
          <w:rFonts w:ascii="Arial" w:cs="Arial" w:eastAsia="Arial" w:hAnsi="Arial"/>
          <w:i w:val="1"/>
          <w:rtl w:val="0"/>
        </w:rPr>
        <w:t xml:space="preserve">(G-C)/(G+C)</w:t>
      </w:r>
      <w:r w:rsidDel="00000000" w:rsidR="00000000" w:rsidRPr="00000000">
        <w:rPr>
          <w:rFonts w:ascii="Arial" w:cs="Arial" w:eastAsia="Arial" w:hAnsi="Arial"/>
          <w:rtl w:val="0"/>
        </w:rPr>
        <w:t xml:space="preserve"> or a maximum in the AT skew respectively. </w:t>
      </w:r>
      <w:r w:rsidDel="00000000" w:rsidR="00000000" w:rsidRPr="00000000">
        <w:rPr>
          <w:rtl w:val="0"/>
        </w:rPr>
        <w:t xml:space="preserve">Skews can hence provide a simple and quick measure to detect strand asymmetries (Touchon and Rocha, 2008)</w:t>
      </w:r>
      <w:r w:rsidDel="00000000" w:rsidR="00000000" w:rsidRPr="00000000">
        <w:rPr>
          <w:rFonts w:ascii="Arial" w:cs="Arial" w:eastAsia="Arial" w:hAnsi="Arial"/>
          <w:rtl w:val="0"/>
        </w:rPr>
        <w:t xml:space="preserve">.</w:t>
      </w:r>
    </w:p>
    <w:p w:rsidR="00000000" w:rsidDel="00000000" w:rsidP="00000000" w:rsidRDefault="00000000" w:rsidRPr="00000000" w14:paraId="00000005">
      <w:pPr>
        <w:spacing w:after="0" w:line="276" w:lineRule="auto"/>
        <w:jc w:val="both"/>
        <w:rPr>
          <w:rFonts w:ascii="Arial" w:cs="Arial" w:eastAsia="Arial" w:hAnsi="Arial"/>
        </w:rPr>
      </w:pPr>
      <w:r w:rsidDel="00000000" w:rsidR="00000000" w:rsidRPr="00000000">
        <w:rPr>
          <w:rFonts w:ascii="Arial" w:cs="Arial" w:eastAsia="Arial" w:hAnsi="Arial"/>
          <w:rtl w:val="0"/>
        </w:rPr>
        <w:t xml:space="preserve">Another measure used for oriC prediction is the DnaA motif. DnaA is the key protein in the initiation of replication. It binds to clusters of DnaA boxes that accumulate around the oriC (</w:t>
      </w:r>
      <w:r w:rsidDel="00000000" w:rsidR="00000000" w:rsidRPr="00000000">
        <w:rPr>
          <w:rtl w:val="0"/>
        </w:rPr>
        <w:t xml:space="preserve">Mackiewicz et </w:t>
      </w:r>
      <w:r w:rsidDel="00000000" w:rsidR="00000000" w:rsidRPr="00000000">
        <w:rPr>
          <w:i w:val="1"/>
          <w:rtl w:val="0"/>
        </w:rPr>
        <w:t xml:space="preserve">al</w:t>
      </w:r>
      <w:r w:rsidDel="00000000" w:rsidR="00000000" w:rsidRPr="00000000">
        <w:rPr>
          <w:rtl w:val="0"/>
        </w:rPr>
        <w:t xml:space="preserve">. 2004)</w:t>
      </w:r>
      <w:r w:rsidDel="00000000" w:rsidR="00000000" w:rsidRPr="00000000">
        <w:rPr>
          <w:rFonts w:ascii="Arial" w:cs="Arial" w:eastAsia="Arial" w:hAnsi="Arial"/>
          <w:rtl w:val="0"/>
        </w:rPr>
        <w:t xml:space="preserve">. The DnaA motif is nine base pairs long and is highly conserved in most </w:t>
      </w:r>
      <w:r w:rsidDel="00000000" w:rsidR="00000000" w:rsidRPr="00000000">
        <w:rPr>
          <w:rtl w:val="0"/>
        </w:rPr>
        <w:t xml:space="preserve">b</w:t>
      </w:r>
      <w:r w:rsidDel="00000000" w:rsidR="00000000" w:rsidRPr="00000000">
        <w:rPr>
          <w:rFonts w:ascii="Arial" w:cs="Arial" w:eastAsia="Arial" w:hAnsi="Arial"/>
          <w:rtl w:val="0"/>
        </w:rPr>
        <w:t xml:space="preserve">acteria with the consensus sequence “</w:t>
      </w:r>
      <w:r w:rsidDel="00000000" w:rsidR="00000000" w:rsidRPr="00000000">
        <w:rPr>
          <w:rFonts w:ascii="Arial" w:cs="Arial" w:eastAsia="Arial" w:hAnsi="Arial"/>
          <w:i w:val="1"/>
          <w:rtl w:val="0"/>
        </w:rPr>
        <w:t xml:space="preserve">TT </w:t>
      </w:r>
      <m:oMath>
        <m:f>
          <m:fPr>
            <m:ctrlPr>
              <w:rPr>
                <w:rFonts w:ascii="Cambria Math" w:cs="Cambria Math" w:eastAsia="Cambria Math" w:hAnsi="Cambria Math"/>
              </w:rPr>
            </m:ctrlPr>
          </m:fPr>
          <m:num>
            <m:r>
              <w:rPr>
                <w:rFonts w:ascii="Cambria Math" w:cs="Cambria Math" w:eastAsia="Cambria Math" w:hAnsi="Cambria Math"/>
              </w:rPr>
              <m:t xml:space="preserve">A</m:t>
            </m:r>
          </m:num>
          <m:den>
            <m:r>
              <w:rPr>
                <w:rFonts w:ascii="Cambria Math" w:cs="Cambria Math" w:eastAsia="Cambria Math" w:hAnsi="Cambria Math"/>
              </w:rPr>
              <m:t xml:space="preserve">T</m:t>
            </m:r>
          </m:den>
        </m:f>
      </m:oMath>
      <w:r w:rsidDel="00000000" w:rsidR="00000000" w:rsidRPr="00000000">
        <w:rPr>
          <w:rFonts w:ascii="Arial" w:cs="Arial" w:eastAsia="Arial" w:hAnsi="Arial"/>
          <w:i w:val="1"/>
          <w:rtl w:val="0"/>
        </w:rPr>
        <w:t xml:space="preserve">TNCACA</w:t>
      </w:r>
      <w:r w:rsidDel="00000000" w:rsidR="00000000" w:rsidRPr="00000000">
        <w:rPr>
          <w:rFonts w:ascii="Arial" w:cs="Arial" w:eastAsia="Arial" w:hAnsi="Arial"/>
          <w:rtl w:val="0"/>
        </w:rPr>
        <w:t xml:space="preserve">” (Blaesing </w:t>
      </w:r>
      <w:r w:rsidDel="00000000" w:rsidR="00000000" w:rsidRPr="00000000">
        <w:rPr>
          <w:rFonts w:ascii="Arial" w:cs="Arial" w:eastAsia="Arial" w:hAnsi="Arial"/>
          <w:i w:val="1"/>
          <w:rtl w:val="0"/>
        </w:rPr>
        <w:t xml:space="preserve">et al</w:t>
      </w:r>
      <w:r w:rsidDel="00000000" w:rsidR="00000000" w:rsidRPr="00000000">
        <w:rPr>
          <w:rFonts w:ascii="Arial" w:cs="Arial" w:eastAsia="Arial" w:hAnsi="Arial"/>
          <w:rtl w:val="0"/>
        </w:rPr>
        <w:t xml:space="preserve">., 2017). Detecting the location of these clusters of DnaA boxes can therefore improve the prediction of a putative oriC.</w:t>
      </w:r>
    </w:p>
    <w:p w:rsidR="00000000" w:rsidDel="00000000" w:rsidP="00000000" w:rsidRDefault="00000000" w:rsidRPr="00000000" w14:paraId="00000006">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spacing w:line="276" w:lineRule="auto"/>
        <w:jc w:val="both"/>
        <w:rPr>
          <w:rFonts w:ascii="Arial" w:cs="Arial" w:eastAsia="Arial" w:hAnsi="Arial"/>
          <w:color w:val="ff0000"/>
        </w:rPr>
      </w:pPr>
      <w:r w:rsidDel="00000000" w:rsidR="00000000" w:rsidRPr="00000000">
        <w:rPr>
          <w:rFonts w:ascii="Arial" w:cs="Arial" w:eastAsia="Arial" w:hAnsi="Arial"/>
          <w:rtl w:val="0"/>
        </w:rPr>
        <w:t xml:space="preserve">This project tries to identify putative oriC locations of four different bacteria species (</w:t>
      </w:r>
      <w:r w:rsidDel="00000000" w:rsidR="00000000" w:rsidRPr="00000000">
        <w:rPr>
          <w:rFonts w:ascii="Arial" w:cs="Arial" w:eastAsia="Arial" w:hAnsi="Arial"/>
          <w:i w:val="1"/>
          <w:rtl w:val="0"/>
        </w:rPr>
        <w:t xml:space="preserve">Escherichia coli, Vibrio cholerae, Salmonella enterica, Thermotoga petrophila</w:t>
      </w:r>
      <w:r w:rsidDel="00000000" w:rsidR="00000000" w:rsidRPr="00000000">
        <w:rPr>
          <w:rFonts w:ascii="Arial" w:cs="Arial" w:eastAsia="Arial" w:hAnsi="Arial"/>
          <w:rtl w:val="0"/>
        </w:rPr>
        <w:t xml:space="preserve">). The approximate region of the oriC is identified using a GC </w:t>
      </w:r>
      <w:r w:rsidDel="00000000" w:rsidR="00000000" w:rsidRPr="00000000">
        <w:rPr>
          <w:rtl w:val="0"/>
        </w:rPr>
        <w:t xml:space="preserve">skew</w:t>
      </w:r>
      <w:r w:rsidDel="00000000" w:rsidR="00000000" w:rsidRPr="00000000">
        <w:rPr>
          <w:rFonts w:ascii="Arial" w:cs="Arial" w:eastAsia="Arial" w:hAnsi="Arial"/>
          <w:rtl w:val="0"/>
        </w:rPr>
        <w:t xml:space="preserve">. </w:t>
      </w:r>
      <w:r w:rsidDel="00000000" w:rsidR="00000000" w:rsidRPr="00000000">
        <w:rPr>
          <w:color w:val="ff0000"/>
          <w:rtl w:val="0"/>
        </w:rPr>
        <w:t xml:space="preserve">For</w:t>
      </w:r>
      <w:r w:rsidDel="00000000" w:rsidR="00000000" w:rsidRPr="00000000">
        <w:rPr>
          <w:rFonts w:ascii="Arial" w:cs="Arial" w:eastAsia="Arial" w:hAnsi="Arial"/>
          <w:color w:val="ff0000"/>
          <w:rtl w:val="0"/>
        </w:rPr>
        <w:t xml:space="preserve"> this region, the DnaA motif is then determined and</w:t>
      </w:r>
      <w:r w:rsidDel="00000000" w:rsidR="00000000" w:rsidRPr="00000000">
        <w:rPr>
          <w:color w:val="ff0000"/>
          <w:rtl w:val="0"/>
        </w:rPr>
        <w:t xml:space="preserve"> and its occurrences are counted</w:t>
      </w:r>
      <w:r w:rsidDel="00000000" w:rsidR="00000000" w:rsidRPr="00000000">
        <w:rPr>
          <w:rFonts w:ascii="Arial" w:cs="Arial" w:eastAsia="Arial" w:hAnsi="Arial"/>
          <w:color w:val="ff0000"/>
          <w:rtl w:val="0"/>
        </w:rPr>
        <w:t xml:space="preserve">.</w:t>
      </w:r>
    </w:p>
    <w:p w:rsidR="00000000" w:rsidDel="00000000" w:rsidP="00000000" w:rsidRDefault="00000000" w:rsidRPr="00000000" w14:paraId="00000008">
      <w:pPr>
        <w:spacing w:line="276" w:lineRule="auto"/>
        <w:jc w:val="both"/>
        <w:rPr>
          <w:rFonts w:ascii="Arial" w:cs="Arial" w:eastAsia="Arial" w:hAnsi="Arial"/>
        </w:rPr>
      </w:pPr>
      <w:sdt>
        <w:sdtPr>
          <w:tag w:val="goog_rdk_0"/>
        </w:sdtPr>
        <w:sdtContent>
          <w:r w:rsidDel="00000000" w:rsidR="00000000" w:rsidRPr="00000000">
            <w:rPr>
              <w:rFonts w:ascii="Arial Unicode MS" w:cs="Arial Unicode MS" w:eastAsia="Arial Unicode MS" w:hAnsi="Arial Unicode MS"/>
              <w:color w:val="ff0000"/>
              <w:rtl w:val="0"/>
            </w:rPr>
            <w:t xml:space="preserve">→ [Unser Ziel muss nochmal überarbeitet werden]</w:t>
          </w:r>
        </w:sdtContent>
      </w:sdt>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spacing w:line="276" w:lineRule="auto"/>
        <w:rPr/>
      </w:pPr>
      <w:bookmarkStart w:colFirst="0" w:colLast="0" w:name="_heading=h.12hun227gbqx" w:id="2"/>
      <w:bookmarkEnd w:id="2"/>
      <w:r w:rsidDel="00000000" w:rsidR="00000000" w:rsidRPr="00000000">
        <w:rPr>
          <w:rtl w:val="0"/>
        </w:rPr>
        <w:t xml:space="preserve">Material and Methods</w:t>
      </w:r>
    </w:p>
    <w:p w:rsidR="00000000" w:rsidDel="00000000" w:rsidP="00000000" w:rsidRDefault="00000000" w:rsidRPr="00000000" w14:paraId="0000000A">
      <w:pPr>
        <w:pStyle w:val="Heading2"/>
        <w:spacing w:line="276" w:lineRule="auto"/>
        <w:rPr/>
      </w:pPr>
      <w:bookmarkStart w:colFirst="0" w:colLast="0" w:name="_heading=h.ontoldapvlzf" w:id="3"/>
      <w:bookmarkEnd w:id="3"/>
      <w:r w:rsidDel="00000000" w:rsidR="00000000" w:rsidRPr="00000000">
        <w:rPr>
          <w:rtl w:val="0"/>
        </w:rPr>
        <w:t xml:space="preserve">Data</w:t>
      </w:r>
    </w:p>
    <w:p w:rsidR="00000000" w:rsidDel="00000000" w:rsidP="00000000" w:rsidRDefault="00000000" w:rsidRPr="00000000" w14:paraId="0000000B">
      <w:pPr>
        <w:rPr>
          <w:highlight w:val="white"/>
        </w:rPr>
      </w:pPr>
      <w:r w:rsidDel="00000000" w:rsidR="00000000" w:rsidRPr="00000000">
        <w:rPr>
          <w:rtl w:val="0"/>
        </w:rPr>
        <w:t xml:space="preserve">Reference sequence genomes were downloaded from NCBI </w:t>
      </w:r>
      <w:r w:rsidDel="00000000" w:rsidR="00000000" w:rsidRPr="00000000">
        <w:rPr>
          <w:highlight w:val="white"/>
          <w:rtl w:val="0"/>
        </w:rPr>
        <w:t xml:space="preserve">Assembly database. Table 1 shows the organisms used and their respective families. A list of all strains can be found in the appendix.</w:t>
      </w:r>
    </w:p>
    <w:p w:rsidR="00000000" w:rsidDel="00000000" w:rsidP="00000000" w:rsidRDefault="00000000" w:rsidRPr="00000000" w14:paraId="0000000C">
      <w:pPr>
        <w:rPr>
          <w:highlight w:val="white"/>
        </w:rPr>
      </w:pPr>
      <w:r w:rsidDel="00000000" w:rsidR="00000000" w:rsidRPr="00000000">
        <w:rPr>
          <w:b w:val="1"/>
          <w:highlight w:val="white"/>
          <w:rtl w:val="0"/>
        </w:rPr>
        <w:t xml:space="preserve">Table 1: </w:t>
      </w:r>
      <w:r w:rsidDel="00000000" w:rsidR="00000000" w:rsidRPr="00000000">
        <w:rPr>
          <w:highlight w:val="white"/>
          <w:rtl w:val="0"/>
        </w:rPr>
        <w:t xml:space="preserve">Organisms and their respective family</w:t>
      </w:r>
    </w:p>
    <w:tbl>
      <w:tblPr>
        <w:tblStyle w:val="Table1"/>
        <w:tblW w:w="8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725"/>
        <w:gridCol w:w="2535"/>
        <w:gridCol w:w="1995"/>
        <w:tblGridChange w:id="0">
          <w:tblGrid>
            <w:gridCol w:w="2265"/>
            <w:gridCol w:w="1725"/>
            <w:gridCol w:w="2535"/>
            <w:gridCol w:w="199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#sequences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jc w:val="left"/>
              <w:rPr>
                <w:b w:val="1"/>
                <w:sz w:val="20"/>
                <w:szCs w:val="20"/>
                <w:highlight w:val="white"/>
              </w:rPr>
            </w:pPr>
            <w:r w:rsidDel="00000000" w:rsidR="00000000" w:rsidRPr="00000000">
              <w:rPr>
                <w:b w:val="1"/>
                <w:sz w:val="20"/>
                <w:szCs w:val="20"/>
                <w:highlight w:val="white"/>
                <w:rtl w:val="0"/>
              </w:rPr>
              <w:t xml:space="preserve">#sequences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Escherichia coli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Enterobacteriaceae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12 (reference)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Vibrio cholerae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Vibrionaceae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3 (reference)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Thermotoga petrophila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10 (including other 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Thermotogaceae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Salmonella enterica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Enterobacteriaceae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12 (reference)</w:t>
            </w:r>
          </w:p>
        </w:tc>
      </w:tr>
    </w:tbl>
    <w:p w:rsidR="00000000" w:rsidDel="00000000" w:rsidP="00000000" w:rsidRDefault="00000000" w:rsidRPr="00000000" w14:paraId="00000021">
      <w:pPr>
        <w:rPr>
          <w:sz w:val="20"/>
          <w:szCs w:val="20"/>
          <w:highlight w:val="white"/>
        </w:rPr>
      </w:pPr>
      <w:r w:rsidDel="00000000" w:rsidR="00000000" w:rsidRPr="00000000">
        <w:rPr>
          <w:rtl w:val="0"/>
        </w:rPr>
      </w:r>
    </w:p>
    <w:p w:rsidR="00000000" w:rsidDel="00000000" w:rsidP="00000000" w:rsidRDefault="00000000" w:rsidRPr="00000000" w14:paraId="00000022">
      <w:pPr>
        <w:pStyle w:val="Heading2"/>
        <w:spacing w:line="276" w:lineRule="auto"/>
        <w:rPr/>
      </w:pPr>
      <w:bookmarkStart w:colFirst="0" w:colLast="0" w:name="_heading=h.fidhwsptser3" w:id="4"/>
      <w:bookmarkEnd w:id="4"/>
      <w:r w:rsidDel="00000000" w:rsidR="00000000" w:rsidRPr="00000000">
        <w:rPr>
          <w:rtl w:val="0"/>
        </w:rPr>
        <w:t xml:space="preserve">Skew Diagrams</w:t>
      </w:r>
    </w:p>
    <w:p w:rsidR="00000000" w:rsidDel="00000000" w:rsidP="00000000" w:rsidRDefault="00000000" w:rsidRPr="00000000" w14:paraId="00000023">
      <w:pPr>
        <w:rPr/>
      </w:pPr>
      <w:r w:rsidDel="00000000" w:rsidR="00000000" w:rsidRPr="00000000">
        <w:rPr>
          <w:rtl w:val="0"/>
        </w:rPr>
        <w:t xml:space="preserve">First the GC-skew minimum was calculated for reference strains of the bacterial families of </w:t>
      </w:r>
      <w:r w:rsidDel="00000000" w:rsidR="00000000" w:rsidRPr="00000000">
        <w:rPr>
          <w:i w:val="1"/>
          <w:rtl w:val="0"/>
        </w:rPr>
        <w:t xml:space="preserve">Enterobacteriaceae</w:t>
      </w:r>
      <w:r w:rsidDel="00000000" w:rsidR="00000000" w:rsidRPr="00000000">
        <w:rPr>
          <w:rtl w:val="0"/>
        </w:rPr>
        <w:t xml:space="preserve"> and </w:t>
      </w:r>
      <w:r w:rsidDel="00000000" w:rsidR="00000000" w:rsidRPr="00000000">
        <w:rPr>
          <w:i w:val="1"/>
          <w:rtl w:val="0"/>
        </w:rPr>
        <w:t xml:space="preserve">Vibrionaceae</w:t>
      </w:r>
      <w:r w:rsidDel="00000000" w:rsidR="00000000" w:rsidRPr="00000000">
        <w:rPr>
          <w:rtl w:val="0"/>
        </w:rPr>
        <w:t xml:space="preserve"> to obtain an overview of the values to be expected. In the next step the minimum was determined for 10 strains of the four species </w:t>
      </w:r>
      <w:r w:rsidDel="00000000" w:rsidR="00000000" w:rsidRPr="00000000">
        <w:rPr>
          <w:i w:val="1"/>
          <w:rtl w:val="0"/>
        </w:rPr>
        <w:t xml:space="preserve">Escherichia coli</w:t>
      </w:r>
      <w:r w:rsidDel="00000000" w:rsidR="00000000" w:rsidRPr="00000000">
        <w:rPr>
          <w:rtl w:val="0"/>
        </w:rPr>
        <w:t xml:space="preserve">, </w:t>
      </w:r>
      <w:r w:rsidDel="00000000" w:rsidR="00000000" w:rsidRPr="00000000">
        <w:rPr>
          <w:i w:val="1"/>
          <w:rtl w:val="0"/>
        </w:rPr>
        <w:t xml:space="preserve">Salmonella enteritidis</w:t>
      </w:r>
      <w:r w:rsidDel="00000000" w:rsidR="00000000" w:rsidRPr="00000000">
        <w:rPr>
          <w:rtl w:val="0"/>
        </w:rPr>
        <w:t xml:space="preserve">, </w:t>
      </w:r>
      <w:r w:rsidDel="00000000" w:rsidR="00000000" w:rsidRPr="00000000">
        <w:rPr>
          <w:i w:val="1"/>
          <w:rtl w:val="0"/>
        </w:rPr>
        <w:t xml:space="preserve">Vibrio cholerae</w:t>
      </w:r>
      <w:r w:rsidDel="00000000" w:rsidR="00000000" w:rsidRPr="00000000">
        <w:rPr>
          <w:rtl w:val="0"/>
        </w:rPr>
        <w:t xml:space="preserve">, and </w:t>
      </w:r>
      <w:r w:rsidDel="00000000" w:rsidR="00000000" w:rsidRPr="00000000">
        <w:rPr>
          <w:i w:val="1"/>
          <w:rtl w:val="0"/>
        </w:rPr>
        <w:t xml:space="preserve">Thermotoga petrophila</w:t>
      </w:r>
      <w:r w:rsidDel="00000000" w:rsidR="00000000" w:rsidRPr="00000000">
        <w:rPr>
          <w:rtl w:val="0"/>
        </w:rPr>
        <w:t xml:space="preserve">. Since only one complete genome of </w:t>
      </w:r>
      <w:r w:rsidDel="00000000" w:rsidR="00000000" w:rsidRPr="00000000">
        <w:rPr>
          <w:i w:val="1"/>
          <w:rtl w:val="0"/>
        </w:rPr>
        <w:t xml:space="preserve">T. petrophila </w:t>
      </w:r>
      <w:r w:rsidDel="00000000" w:rsidR="00000000" w:rsidRPr="00000000">
        <w:rPr>
          <w:rtl w:val="0"/>
        </w:rPr>
        <w:t xml:space="preserve">was available, other Thermotoga </w:t>
      </w:r>
      <w:r w:rsidDel="00000000" w:rsidR="00000000" w:rsidRPr="00000000">
        <w:rPr>
          <w:i w:val="1"/>
          <w:rtl w:val="0"/>
        </w:rPr>
        <w:t xml:space="preserve">subspecies </w:t>
      </w:r>
      <w:r w:rsidDel="00000000" w:rsidR="00000000" w:rsidRPr="00000000">
        <w:rPr>
          <w:rtl w:val="0"/>
        </w:rPr>
        <w:t xml:space="preserve">were considered too. Determined GC minima were then compared to the minima and the oriC start position given in the DoriC database with respect to the genome length. Three sequences with a known OriC were used as controls.</w:t>
      </w:r>
    </w:p>
    <w:p w:rsidR="00000000" w:rsidDel="00000000" w:rsidP="00000000" w:rsidRDefault="00000000" w:rsidRPr="00000000" w14:paraId="00000024">
      <w:pPr>
        <w:rPr/>
      </w:pPr>
      <w:r w:rsidDel="00000000" w:rsidR="00000000" w:rsidRPr="00000000">
        <w:rPr>
          <w:rtl w:val="0"/>
        </w:rPr>
        <w:t xml:space="preserve">The DnaA motifs were analysed by profile alignment in a 2000 window around the determined GC minimum, including also the reverse complement (see also section “Motif Finding”). To allow for mismatches/variations, motifs with a score </w:t>
      </w:r>
      <w:sdt>
        <w:sdtPr>
          <w:tag w:val="goog_rdk_1"/>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rtl w:val="0"/>
        </w:rPr>
        <w:t xml:space="preserve"> 10 were counted </w:t>
      </w:r>
      <w:r w:rsidDel="00000000" w:rsidR="00000000" w:rsidRPr="00000000">
        <w:rPr>
          <w:rtl w:val="0"/>
        </w:rPr>
        <w:t xml:space="preserve">and compared to the number of motifs at the oriC as given in the DoriC database</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The same procedure was applied to </w:t>
      </w:r>
      <w:r w:rsidDel="00000000" w:rsidR="00000000" w:rsidRPr="00000000">
        <w:rPr>
          <w:i w:val="1"/>
          <w:rtl w:val="0"/>
        </w:rPr>
        <w:t xml:space="preserve">Wigglesworthia glossinidia</w:t>
      </w:r>
      <w:r w:rsidDel="00000000" w:rsidR="00000000" w:rsidRPr="00000000">
        <w:rPr>
          <w:rtl w:val="0"/>
        </w:rPr>
        <w:t xml:space="preserve">. </w:t>
      </w:r>
      <w:r w:rsidDel="00000000" w:rsidR="00000000" w:rsidRPr="00000000">
        <w:rPr>
          <w:rtl w:val="0"/>
        </w:rPr>
        <w:t xml:space="preserve">Additionally, for </w:t>
      </w:r>
      <w:r w:rsidDel="00000000" w:rsidR="00000000" w:rsidRPr="00000000">
        <w:rPr>
          <w:i w:val="1"/>
          <w:rtl w:val="0"/>
        </w:rPr>
        <w:t xml:space="preserve">W. glossinidia</w:t>
      </w:r>
      <w:r w:rsidDel="00000000" w:rsidR="00000000" w:rsidRPr="00000000">
        <w:rPr>
          <w:rtl w:val="0"/>
        </w:rPr>
        <w:t xml:space="preserve"> the number of GC minima was determined.</w:t>
      </w:r>
    </w:p>
    <w:p w:rsidR="00000000" w:rsidDel="00000000" w:rsidP="00000000" w:rsidRDefault="00000000" w:rsidRPr="00000000" w14:paraId="00000026">
      <w:pPr>
        <w:rPr/>
      </w:pPr>
      <w:r w:rsidDel="00000000" w:rsidR="00000000" w:rsidRPr="00000000">
        <w:rPr/>
        <w:drawing>
          <wp:inline distB="114300" distT="114300" distL="114300" distR="114300">
            <wp:extent cx="5743688" cy="2767112"/>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43688" cy="276711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Figure 1:</w:t>
      </w:r>
      <w:r w:rsidDel="00000000" w:rsidR="00000000" w:rsidRPr="00000000">
        <w:rPr>
          <w:rtl w:val="0"/>
        </w:rPr>
        <w:t xml:space="preserve"> Overview of the project workflow.</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spacing w:line="276" w:lineRule="auto"/>
        <w:rPr/>
      </w:pPr>
      <w:bookmarkStart w:colFirst="0" w:colLast="0" w:name="_heading=h.o8j56fuobcr1" w:id="5"/>
      <w:bookmarkEnd w:id="5"/>
      <w:r w:rsidDel="00000000" w:rsidR="00000000" w:rsidRPr="00000000">
        <w:rPr>
          <w:rtl w:val="0"/>
        </w:rPr>
        <w:t xml:space="preserve">Meme</w:t>
      </w:r>
    </w:p>
    <w:p w:rsidR="00000000" w:rsidDel="00000000" w:rsidP="00000000" w:rsidRDefault="00000000" w:rsidRPr="00000000" w14:paraId="0000002A">
      <w:pPr>
        <w:rPr/>
      </w:pPr>
      <w:r w:rsidDel="00000000" w:rsidR="00000000" w:rsidRPr="00000000">
        <w:rPr>
          <w:rtl w:val="0"/>
        </w:rPr>
        <w:t xml:space="preserve">The Command-Line application MEME of the MEME Suite (Bailey </w:t>
      </w:r>
      <w:r w:rsidDel="00000000" w:rsidR="00000000" w:rsidRPr="00000000">
        <w:rPr>
          <w:i w:val="1"/>
          <w:rtl w:val="0"/>
        </w:rPr>
        <w:t xml:space="preserve">et al</w:t>
      </w:r>
      <w:r w:rsidDel="00000000" w:rsidR="00000000" w:rsidRPr="00000000">
        <w:rPr>
          <w:rtl w:val="0"/>
        </w:rPr>
        <w:t xml:space="preserve">., 2009) was used to compute relevant sequence motifs of the prokaryotic species and families. MEME Suite contains an implementation of the MEME algorithm (Multiple Em for Motif Elicitation) which besides Gibbs sampling is a motif discovery algorithm. MEME is based on the concept of expectation–maximization and position dependent probability based matrices. Therefore meme does not support gapped or shifted sequences.</w:t>
      </w:r>
    </w:p>
    <w:p w:rsidR="00000000" w:rsidDel="00000000" w:rsidP="00000000" w:rsidRDefault="00000000" w:rsidRPr="00000000" w14:paraId="0000002B">
      <w:pPr>
        <w:rPr/>
      </w:pPr>
      <w:r w:rsidDel="00000000" w:rsidR="00000000" w:rsidRPr="00000000">
        <w:rPr>
          <w:rtl w:val="0"/>
        </w:rPr>
        <w:t xml:space="preserve">2000 bases around the GC-skew minimum of bacterial reference sequences were used to compute a more refined motif for all bacterias with MEME. For the execution the common DnaA consensus sequence TTATCCACA were given as starting point and a 4th order markov model were used for the background normalization.</w:t>
      </w:r>
    </w:p>
    <w:p w:rsidR="00000000" w:rsidDel="00000000" w:rsidP="00000000" w:rsidRDefault="00000000" w:rsidRPr="00000000" w14:paraId="0000002C">
      <w:pPr>
        <w:rPr/>
      </w:pPr>
      <w:r w:rsidDel="00000000" w:rsidR="00000000" w:rsidRPr="00000000">
        <w:rPr>
          <w:rtl w:val="0"/>
        </w:rPr>
        <w:t xml:space="preserve">Multiple motifs for species and families were computed with the same approach. But motif discovery with MEME does not deliver satisfying results for few sequences. To estimate a more specific DnaA motif for few sequences of a species another algorithm had to be implemented.</w:t>
      </w:r>
    </w:p>
    <w:p w:rsidR="00000000" w:rsidDel="00000000" w:rsidP="00000000" w:rsidRDefault="00000000" w:rsidRPr="00000000" w14:paraId="0000002D">
      <w:pPr>
        <w:pStyle w:val="Heading2"/>
        <w:rPr/>
      </w:pPr>
      <w:bookmarkStart w:colFirst="0" w:colLast="0" w:name="_heading=h.caftboouesa6" w:id="6"/>
      <w:bookmarkEnd w:id="6"/>
      <w:r w:rsidDel="00000000" w:rsidR="00000000" w:rsidRPr="00000000">
        <w:rPr>
          <w:rtl w:val="0"/>
        </w:rPr>
        <w:t xml:space="preserve">Motif Finding</w:t>
      </w:r>
    </w:p>
    <w:p w:rsidR="00000000" w:rsidDel="00000000" w:rsidP="00000000" w:rsidRDefault="00000000" w:rsidRPr="00000000" w14:paraId="0000002E">
      <w:pPr>
        <w:rPr/>
      </w:pPr>
      <w:r w:rsidDel="00000000" w:rsidR="00000000" w:rsidRPr="00000000">
        <w:rPr>
          <w:rtl w:val="0"/>
        </w:rPr>
        <w:t xml:space="preserve">For the scoring and visualization of the DnaA motifs a information theory based approach was used. To find DnaA occurrences in 2000 bases around GC-skew minimum each position of the sequence was scored using Individual Information (Rogan </w:t>
      </w:r>
      <w:r w:rsidDel="00000000" w:rsidR="00000000" w:rsidRPr="00000000">
        <w:rPr>
          <w:i w:val="1"/>
          <w:rtl w:val="0"/>
        </w:rPr>
        <w:t xml:space="preserve">et al</w:t>
      </w:r>
      <w:r w:rsidDel="00000000" w:rsidR="00000000" w:rsidRPr="00000000">
        <w:rPr>
          <w:rtl w:val="0"/>
        </w:rPr>
        <w:t xml:space="preserve">., 1998). For the underlying position-specific scoring matrix (PSSM) the pseudocounts were set to 1 and uniform background frequencies were assumed. </w:t>
      </w:r>
    </w:p>
    <w:p w:rsidR="00000000" w:rsidDel="00000000" w:rsidP="00000000" w:rsidRDefault="00000000" w:rsidRPr="00000000" w14:paraId="0000002F">
      <w:pPr>
        <w:rPr/>
      </w:pPr>
      <w:r w:rsidDel="00000000" w:rsidR="00000000" w:rsidRPr="00000000">
        <w:rPr>
          <w:rtl w:val="0"/>
        </w:rPr>
        <w:t xml:space="preserve">For the plot only positive bit scores were visualized. All negative scores were ignored. On the other hand matches on the reverse complement were treated as negative values for clarity. The result is visualized at the bottom of the “OriC Analysis” plot.</w:t>
      </w:r>
    </w:p>
    <w:p w:rsidR="00000000" w:rsidDel="00000000" w:rsidP="00000000" w:rsidRDefault="00000000" w:rsidRPr="00000000" w14:paraId="00000030">
      <w:pPr>
        <w:rPr/>
      </w:pPr>
      <w:r w:rsidDel="00000000" w:rsidR="00000000" w:rsidRPr="00000000">
        <w:rPr>
          <w:rtl w:val="0"/>
        </w:rPr>
        <w:t xml:space="preserve">The scores were also used to create a Weblogo (Crooks </w:t>
      </w:r>
      <w:r w:rsidDel="00000000" w:rsidR="00000000" w:rsidRPr="00000000">
        <w:rPr>
          <w:i w:val="1"/>
          <w:rtl w:val="0"/>
        </w:rPr>
        <w:t xml:space="preserve">et al</w:t>
      </w:r>
      <w:r w:rsidDel="00000000" w:rsidR="00000000" w:rsidRPr="00000000">
        <w:rPr>
          <w:rtl w:val="0"/>
        </w:rPr>
        <w:t xml:space="preserve">., 2004) for specific species and families. Using the general search positions near sequence GC-skew minima of bacterial species and families matching a more general DnaA motif. From matches at these positions a new motif has been generated with the same approach representing a specific DnaA motif of the species or family. The threshold for a match had to score higher than 8.1 bit which conforms an approximative false positive rate of 0.02 %.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0" w:before="0" w:line="240" w:lineRule="auto"/>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0" w:before="0" w:line="240" w:lineRule="auto"/>
        <w:rPr/>
      </w:pPr>
      <w:r w:rsidDel="00000000" w:rsidR="00000000" w:rsidRPr="00000000">
        <w:rPr>
          <w:rtl w:val="0"/>
        </w:rPr>
      </w:r>
    </w:p>
    <w:p w:rsidR="00000000" w:rsidDel="00000000" w:rsidP="00000000" w:rsidRDefault="00000000" w:rsidRPr="00000000" w14:paraId="00000033">
      <w:pPr>
        <w:pStyle w:val="Heading2"/>
        <w:spacing w:line="276" w:lineRule="auto"/>
        <w:rPr/>
      </w:pPr>
      <w:bookmarkStart w:colFirst="0" w:colLast="0" w:name="_heading=h.kro1n9efrh9f" w:id="7"/>
      <w:bookmarkEnd w:id="7"/>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heading=h.iwozkd8yks1j" w:id="8"/>
      <w:bookmarkEnd w:id="8"/>
      <w:r w:rsidDel="00000000" w:rsidR="00000000" w:rsidRPr="00000000">
        <w:rPr>
          <w:rtl w:val="0"/>
        </w:rPr>
        <w:t xml:space="preserve">Results</w:t>
      </w:r>
    </w:p>
    <w:p w:rsidR="00000000" w:rsidDel="00000000" w:rsidP="00000000" w:rsidRDefault="00000000" w:rsidRPr="00000000" w14:paraId="00000035">
      <w:pPr>
        <w:rPr/>
      </w:pPr>
      <w:r w:rsidDel="00000000" w:rsidR="00000000" w:rsidRPr="00000000">
        <w:rPr/>
        <w:drawing>
          <wp:inline distB="114300" distT="114300" distL="114300" distR="114300">
            <wp:extent cx="3838688" cy="261244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38688" cy="261244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Figure 2:</w:t>
      </w:r>
      <w:r w:rsidDel="00000000" w:rsidR="00000000" w:rsidRPr="00000000">
        <w:rPr>
          <w:rtl w:val="0"/>
        </w:rPr>
        <w:t xml:space="preserve"> DnaA motif over all bacterial reference genomes computed by MEME.</w:t>
      </w:r>
    </w:p>
    <w:p w:rsidR="00000000" w:rsidDel="00000000" w:rsidP="00000000" w:rsidRDefault="00000000" w:rsidRPr="00000000" w14:paraId="00000037">
      <w:pPr>
        <w:rPr/>
      </w:pPr>
      <w:r w:rsidDel="00000000" w:rsidR="00000000" w:rsidRPr="00000000">
        <w:rPr>
          <w:rtl w:val="0"/>
        </w:rPr>
        <w:t xml:space="preserve">The DnaA motif computed for all bacterial reference genomes at the skew minimum (Figure 2) is not representative for all bacterias. If the skew minimum does not coincide the OriC of the Organism or the motif differed too much from the others it was not taken into account for the DnaA motif. But it delivered a more refined and more precise pattern pattern sequence to search for DnaA motifs than the consensus sequence.</w:t>
      </w:r>
    </w:p>
    <w:p w:rsidR="00000000" w:rsidDel="00000000" w:rsidP="00000000" w:rsidRDefault="00000000" w:rsidRPr="00000000" w14:paraId="00000038">
      <w:pPr>
        <w:rPr/>
      </w:pPr>
      <w:r w:rsidDel="00000000" w:rsidR="00000000" w:rsidRPr="00000000">
        <w:rPr>
          <w:rtl w:val="0"/>
        </w:rPr>
        <w:t xml:space="preserve">The evaluation of the control strains yielded differences of the minimum to the actual oriC position ranging from 244 to 25634 nucleotides (Table 2).</w:t>
      </w:r>
    </w:p>
    <w:p w:rsidR="00000000" w:rsidDel="00000000" w:rsidP="00000000" w:rsidRDefault="00000000" w:rsidRPr="00000000" w14:paraId="00000039">
      <w:pPr>
        <w:rPr/>
      </w:pPr>
      <w:r w:rsidDel="00000000" w:rsidR="00000000" w:rsidRPr="00000000">
        <w:rPr>
          <w:rtl w:val="0"/>
        </w:rPr>
        <w:t xml:space="preserve">The determined differences to the DoriC database are shown in Table 3 for all families and strains. </w:t>
      </w:r>
    </w:p>
    <w:p w:rsidR="00000000" w:rsidDel="00000000" w:rsidP="00000000" w:rsidRDefault="00000000" w:rsidRPr="00000000" w14:paraId="0000003A">
      <w:pPr>
        <w:rPr/>
      </w:pPr>
      <w:r w:rsidDel="00000000" w:rsidR="00000000" w:rsidRPr="00000000">
        <w:rPr>
          <w:rtl w:val="0"/>
        </w:rPr>
        <w:t xml:space="preserve">The determined minima for the test genomes (</w:t>
      </w:r>
      <w:r w:rsidDel="00000000" w:rsidR="00000000" w:rsidRPr="00000000">
        <w:rPr>
          <w:i w:val="1"/>
          <w:rtl w:val="0"/>
        </w:rPr>
        <w:t xml:space="preserve">E.coli, V. cholerae, S. enterica, T. petrophila</w:t>
      </w:r>
      <w:r w:rsidDel="00000000" w:rsidR="00000000" w:rsidRPr="00000000">
        <w:rPr>
          <w:rtl w:val="0"/>
        </w:rPr>
        <w:t xml:space="preserve">) differed on average by 132 nucleotides to the values given in DoriC. The average difference to the oriC start position was 990 nucleotides and the determined motif number differed by four. </w:t>
      </w:r>
    </w:p>
    <w:p w:rsidR="00000000" w:rsidDel="00000000" w:rsidP="00000000" w:rsidRDefault="00000000" w:rsidRPr="00000000" w14:paraId="0000003B">
      <w:pPr>
        <w:rPr/>
      </w:pPr>
      <w:r w:rsidDel="00000000" w:rsidR="00000000" w:rsidRPr="00000000">
        <w:rPr>
          <w:rtl w:val="0"/>
        </w:rPr>
        <w:t xml:space="preserve">The GC skew of Wigglesworthia glossinidia shows quite an unclear pattern, however two minimum positions are visible in the plot (Figure 3). In comparison to DoriC, the minimum position differed by 467 and the oriC start by </w:t>
      </w:r>
      <w:r w:rsidDel="00000000" w:rsidR="00000000" w:rsidRPr="00000000">
        <w:rPr>
          <w:rtl w:val="0"/>
        </w:rPr>
        <w:t xml:space="preserve">106176 </w:t>
      </w:r>
      <w:r w:rsidDel="00000000" w:rsidR="00000000" w:rsidRPr="00000000">
        <w:rPr>
          <w:rtl w:val="0"/>
        </w:rPr>
        <w:t xml:space="preserve">nucleotides (Table 3). No DnaA motifs were detected.</w:t>
      </w:r>
    </w:p>
    <w:p w:rsidR="00000000" w:rsidDel="00000000" w:rsidP="00000000" w:rsidRDefault="00000000" w:rsidRPr="00000000" w14:paraId="0000003C">
      <w:pPr>
        <w:rPr/>
      </w:pPr>
      <w:r w:rsidDel="00000000" w:rsidR="00000000" w:rsidRPr="00000000">
        <w:rPr/>
        <w:drawing>
          <wp:inline distB="114300" distT="114300" distL="114300" distR="114300">
            <wp:extent cx="5705475" cy="2449830"/>
            <wp:effectExtent b="0" l="0" r="0" t="0"/>
            <wp:docPr id="2" name="image2.png"/>
            <a:graphic>
              <a:graphicData uri="http://schemas.openxmlformats.org/drawingml/2006/picture">
                <pic:pic>
                  <pic:nvPicPr>
                    <pic:cNvPr id="0" name="image2.png"/>
                    <pic:cNvPicPr preferRelativeResize="0"/>
                  </pic:nvPicPr>
                  <pic:blipFill>
                    <a:blip r:embed="rId9"/>
                    <a:srcRect b="8593" l="0" r="1068" t="15764"/>
                    <a:stretch>
                      <a:fillRect/>
                    </a:stretch>
                  </pic:blipFill>
                  <pic:spPr>
                    <a:xfrm>
                      <a:off x="0" y="0"/>
                      <a:ext cx="5705475" cy="244983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Figure 2</w:t>
      </w:r>
      <w:r w:rsidDel="00000000" w:rsidR="00000000" w:rsidRPr="00000000">
        <w:rPr>
          <w:rtl w:val="0"/>
        </w:rPr>
        <w:t xml:space="preserve">: Plot example for </w:t>
      </w:r>
      <w:r w:rsidDel="00000000" w:rsidR="00000000" w:rsidRPr="00000000">
        <w:rPr>
          <w:i w:val="1"/>
          <w:rtl w:val="0"/>
        </w:rPr>
        <w:t xml:space="preserve">Escherichia coli O83:H1 </w:t>
      </w:r>
      <w:r w:rsidDel="00000000" w:rsidR="00000000" w:rsidRPr="00000000">
        <w:rPr>
          <w:rtl w:val="0"/>
        </w:rPr>
        <w:t xml:space="preserve">shows GC skew (top), cumulative GC skew (middle) and the profile alignment motif scores (bottom).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763260" cy="24638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6326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Figure 3:</w:t>
      </w:r>
      <w:r w:rsidDel="00000000" w:rsidR="00000000" w:rsidRPr="00000000">
        <w:rPr>
          <w:rtl w:val="0"/>
        </w:rPr>
        <w:t xml:space="preserve"> Plot for Wigglesworthia glossinidia. </w:t>
      </w:r>
      <w:r w:rsidDel="00000000" w:rsidR="00000000" w:rsidRPr="00000000">
        <w:rPr>
          <w:rtl w:val="0"/>
        </w:rPr>
        <w:t xml:space="preserve">Arrows indicate two potential minima</w:t>
      </w: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b w:val="1"/>
          <w:rtl w:val="0"/>
        </w:rPr>
        <w:t xml:space="preserve">Table 2:</w:t>
      </w:r>
      <w:r w:rsidDel="00000000" w:rsidR="00000000" w:rsidRPr="00000000">
        <w:rPr>
          <w:rtl w:val="0"/>
        </w:rPr>
        <w:t xml:space="preserve"> Control strains with known OriC position. Difference </w:t>
      </w:r>
      <w:r w:rsidDel="00000000" w:rsidR="00000000" w:rsidRPr="00000000">
        <w:rPr>
          <w:b w:val="1"/>
          <w:rtl w:val="0"/>
        </w:rPr>
        <w:t xml:space="preserve">𝞓 </w:t>
      </w:r>
      <w:r w:rsidDel="00000000" w:rsidR="00000000" w:rsidRPr="00000000">
        <w:rPr>
          <w:rtl w:val="0"/>
        </w:rPr>
        <w:t xml:space="preserve">of determined minimum and OriC position were analysed with  respect to genome length.</w:t>
      </w:r>
      <w:r w:rsidDel="00000000" w:rsidR="00000000" w:rsidRPr="00000000">
        <w:rPr>
          <w:rtl w:val="0"/>
        </w:rPr>
      </w:r>
    </w:p>
    <w:tbl>
      <w:tblPr>
        <w:tblStyle w:val="Table2"/>
        <w:tblW w:w="9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2280"/>
        <w:gridCol w:w="1215"/>
        <w:gridCol w:w="855"/>
        <w:tblGridChange w:id="0">
          <w:tblGrid>
            <w:gridCol w:w="5295"/>
            <w:gridCol w:w="2280"/>
            <w:gridCol w:w="1215"/>
            <w:gridCol w:w="85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Strain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Annotated OriStart Position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Minimum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jc w:val="center"/>
              <w:rPr>
                <w:b w:val="1"/>
              </w:rPr>
            </w:pPr>
            <w:r w:rsidDel="00000000" w:rsidR="00000000" w:rsidRPr="00000000">
              <w:rPr>
                <w:b w:val="1"/>
                <w:sz w:val="20"/>
                <w:szCs w:val="20"/>
                <w:rtl w:val="0"/>
              </w:rPr>
              <w:t xml:space="preserve">𝞓</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Escherichia coli str. K-12 substr. MG1655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3925744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left"/>
              <w:rPr/>
            </w:pPr>
            <w:r w:rsidDel="00000000" w:rsidR="00000000" w:rsidRPr="00000000">
              <w:rPr>
                <w:rtl w:val="0"/>
              </w:rPr>
              <w:t xml:space="preserve">3925500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Sinorhizobium meliloti 1021 chromosome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jc w:val="left"/>
              <w:rPr/>
            </w:pPr>
            <w:r w:rsidDel="00000000" w:rsidR="00000000" w:rsidRPr="00000000">
              <w:rPr>
                <w:rtl w:val="0"/>
              </w:rPr>
              <w:t xml:space="preserve">3628500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25634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Chlamydia trachomatis D/UW-3/CX chromosome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jc w:val="left"/>
              <w:rPr/>
            </w:pPr>
            <w:r w:rsidDel="00000000" w:rsidR="00000000" w:rsidRPr="00000000">
              <w:rPr>
                <w:rtl w:val="0"/>
              </w:rPr>
              <w:t xml:space="preserve">719988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jc w:val="left"/>
              <w:rPr/>
            </w:pPr>
            <w:r w:rsidDel="00000000" w:rsidR="00000000" w:rsidRPr="00000000">
              <w:rPr>
                <w:rtl w:val="0"/>
              </w:rPr>
              <w:t xml:space="preserve">720300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312</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Table 3:</w:t>
      </w:r>
      <w:r w:rsidDel="00000000" w:rsidR="00000000" w:rsidRPr="00000000">
        <w:rPr>
          <w:rtl w:val="0"/>
        </w:rPr>
        <w:t xml:space="preserve"> </w:t>
      </w:r>
      <w:r w:rsidDel="00000000" w:rsidR="00000000" w:rsidRPr="00000000">
        <w:rPr>
          <w:rtl w:val="0"/>
        </w:rPr>
        <w:t xml:space="preserve">Average distances of determined minima to minima (𝞓 Minimum) and oriC start position (𝞓 oriStart) in DoriC as well as observed number of (reverse complement) motifs with scores &gt;= 10 and their average distance to the number of DnaA boxes (𝞓 Number of Motifs) in the oriC region as given by DoriC.</w:t>
      </w:r>
    </w:p>
    <w:tbl>
      <w:tblPr>
        <w:tblStyle w:val="Table3"/>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395"/>
        <w:gridCol w:w="1530"/>
        <w:gridCol w:w="1350"/>
        <w:gridCol w:w="1470"/>
        <w:gridCol w:w="1590"/>
        <w:tblGridChange w:id="0">
          <w:tblGrid>
            <w:gridCol w:w="2325"/>
            <w:gridCol w:w="1395"/>
            <w:gridCol w:w="1530"/>
            <w:gridCol w:w="1350"/>
            <w:gridCol w:w="1470"/>
            <w:gridCol w:w="159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Strain/Family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center"/>
              <w:rPr>
                <w:b w:val="1"/>
                <w:sz w:val="20"/>
                <w:szCs w:val="20"/>
              </w:rPr>
            </w:pPr>
            <w:r w:rsidDel="00000000" w:rsidR="00000000" w:rsidRPr="00000000">
              <w:rPr>
                <w:rtl w:val="0"/>
              </w:rPr>
            </w:r>
          </w:p>
          <w:p w:rsidR="00000000" w:rsidDel="00000000" w:rsidP="00000000" w:rsidRDefault="00000000" w:rsidRPr="00000000" w14:paraId="00000057">
            <w:pPr>
              <w:widowControl w:val="0"/>
              <w:spacing w:after="0" w:line="240" w:lineRule="auto"/>
              <w:jc w:val="center"/>
              <w:rPr>
                <w:b w:val="1"/>
                <w:sz w:val="20"/>
                <w:szCs w:val="20"/>
              </w:rPr>
            </w:pPr>
            <w:r w:rsidDel="00000000" w:rsidR="00000000" w:rsidRPr="00000000">
              <w:rPr>
                <w:b w:val="1"/>
                <w:sz w:val="20"/>
                <w:szCs w:val="20"/>
                <w:rtl w:val="0"/>
              </w:rPr>
              <w:t xml:space="preserve">𝞓 Minimum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𝞓 oriStart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Number of Motifs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Number of Rev. Comp. Motifs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𝞓 Number of Motifs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Enterobacteriaceae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186 ± 207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600 ± 645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Vibrionaceae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126 ± 176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103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Escherichia coli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191 ± 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177 ± 227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Salmonella enterica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152 ± 117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534 ± 165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Vibrio cholerae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115 ± 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3073 ± 3336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Thermotoga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70 ± 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237 ± 185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Wigglesworthia glossinidia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106176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heading=h.9wrws46124t0" w:id="9"/>
      <w:bookmarkEnd w:id="9"/>
      <w:r w:rsidDel="00000000" w:rsidR="00000000" w:rsidRPr="00000000">
        <w:rPr>
          <w:rtl w:val="0"/>
        </w:rPr>
        <w:t xml:space="preserve">Discussion</w:t>
      </w:r>
    </w:p>
    <w:p w:rsidR="00000000" w:rsidDel="00000000" w:rsidP="00000000" w:rsidRDefault="00000000" w:rsidRPr="00000000" w14:paraId="0000008A">
      <w:pPr>
        <w:rPr/>
      </w:pPr>
      <w:r w:rsidDel="00000000" w:rsidR="00000000" w:rsidRPr="00000000">
        <w:rPr>
          <w:rtl w:val="0"/>
        </w:rPr>
        <w:t xml:space="preserve">The detected GC minima in the control strains</w:t>
      </w:r>
      <w:r w:rsidDel="00000000" w:rsidR="00000000" w:rsidRPr="00000000">
        <w:rPr>
          <w:i w:val="1"/>
          <w:rtl w:val="0"/>
        </w:rPr>
        <w:t xml:space="preserve"> Escherichia coli str. K-12</w:t>
      </w:r>
      <w:r w:rsidDel="00000000" w:rsidR="00000000" w:rsidRPr="00000000">
        <w:rPr>
          <w:rtl w:val="0"/>
        </w:rPr>
        <w:t xml:space="preserve"> and </w:t>
      </w:r>
      <w:r w:rsidDel="00000000" w:rsidR="00000000" w:rsidRPr="00000000">
        <w:rPr>
          <w:i w:val="1"/>
          <w:rtl w:val="0"/>
        </w:rPr>
        <w:t xml:space="preserve">Chlamydia trachomatis </w:t>
      </w:r>
      <w:r w:rsidDel="00000000" w:rsidR="00000000" w:rsidRPr="00000000">
        <w:rPr>
          <w:rtl w:val="0"/>
        </w:rPr>
        <w:t xml:space="preserve">only show relatively small deviations to the actual origin of replication. For </w:t>
      </w:r>
      <w:r w:rsidDel="00000000" w:rsidR="00000000" w:rsidRPr="00000000">
        <w:rPr>
          <w:i w:val="1"/>
          <w:rtl w:val="0"/>
        </w:rPr>
        <w:t xml:space="preserve">Sinorhizobium meliloti</w:t>
      </w:r>
      <w:r w:rsidDel="00000000" w:rsidR="00000000" w:rsidRPr="00000000">
        <w:rPr>
          <w:rtl w:val="0"/>
        </w:rPr>
        <w:t xml:space="preserve"> a larger deviation was observed, however this can be explained by the three control strains belonging to different bacterial families. Similar </w:t>
      </w:r>
      <w:r w:rsidDel="00000000" w:rsidR="00000000" w:rsidRPr="00000000">
        <w:rPr>
          <w:rtl w:val="0"/>
        </w:rPr>
        <w:t xml:space="preserve">variations can also be observed in the different analysed families </w:t>
      </w:r>
      <w:r w:rsidDel="00000000" w:rsidR="00000000" w:rsidRPr="00000000">
        <w:rPr>
          <w:i w:val="1"/>
          <w:rtl w:val="0"/>
        </w:rPr>
        <w:t xml:space="preserve">Vibrionaceae</w:t>
      </w:r>
      <w:r w:rsidDel="00000000" w:rsidR="00000000" w:rsidRPr="00000000">
        <w:rPr>
          <w:rtl w:val="0"/>
        </w:rPr>
        <w:t xml:space="preserve"> and </w:t>
      </w:r>
      <w:r w:rsidDel="00000000" w:rsidR="00000000" w:rsidRPr="00000000">
        <w:rPr>
          <w:i w:val="1"/>
          <w:rtl w:val="0"/>
        </w:rPr>
        <w:t xml:space="preserve">Enterobacteriaceae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In general, the obtained minimum positions of the bacterial families match with the respective test genomes. Furthermore, the minima detected in this project only show relatively small deviations to the ones given in DoriC as well as to the actual oriC start positions. This can be explained by the use of the GC skew, which is not as sensitive as other methods and highly depends on the chosen window size (Touchon and Rocha, 2008). Furthermore, DoriC uses the Z-curve method to determine the oriCs, which considers various nucleotide disparity curves for the detection of the oriC (Gao and Zhang, 2007) and hence also might lead to different results. Applying the Z-curve method could hence improve the results of this project.</w:t>
      </w:r>
    </w:p>
    <w:p w:rsidR="00000000" w:rsidDel="00000000" w:rsidP="00000000" w:rsidRDefault="00000000" w:rsidRPr="00000000" w14:paraId="0000008C">
      <w:pPr>
        <w:rPr/>
      </w:pPr>
      <w:r w:rsidDel="00000000" w:rsidR="00000000" w:rsidRPr="00000000">
        <w:rPr>
          <w:rtl w:val="0"/>
        </w:rPr>
        <w:t xml:space="preserve">Two potential minima were found for </w:t>
      </w:r>
      <w:r w:rsidDel="00000000" w:rsidR="00000000" w:rsidRPr="00000000">
        <w:rPr>
          <w:i w:val="1"/>
          <w:rtl w:val="0"/>
        </w:rPr>
        <w:t xml:space="preserve">W. glossinidia</w:t>
      </w:r>
      <w:r w:rsidDel="00000000" w:rsidR="00000000" w:rsidRPr="00000000">
        <w:rPr>
          <w:rtl w:val="0"/>
        </w:rPr>
        <w:t xml:space="preserve"> which suggests multiple origins of replication. Similar observations were made by Xia (2012) who also detected two minima. Furthermore,, no DnaA motifs were detected in </w:t>
      </w:r>
      <w:r w:rsidDel="00000000" w:rsidR="00000000" w:rsidRPr="00000000">
        <w:rPr>
          <w:i w:val="1"/>
          <w:rtl w:val="0"/>
        </w:rPr>
        <w:t xml:space="preserve">W. glossinidia</w:t>
      </w:r>
      <w:r w:rsidDel="00000000" w:rsidR="00000000" w:rsidRPr="00000000">
        <w:rPr>
          <w:rtl w:val="0"/>
        </w:rPr>
        <w:t xml:space="preserve">. This was also observed in a study by Akman </w:t>
      </w:r>
      <w:r w:rsidDel="00000000" w:rsidR="00000000" w:rsidRPr="00000000">
        <w:rPr>
          <w:i w:val="1"/>
          <w:rtl w:val="0"/>
        </w:rPr>
        <w:t xml:space="preserve">et al</w:t>
      </w:r>
      <w:r w:rsidDel="00000000" w:rsidR="00000000" w:rsidRPr="00000000">
        <w:rPr>
          <w:rtl w:val="0"/>
        </w:rPr>
        <w:t xml:space="preserve">. (2002). Replication independent of the oriC can be observed in challenging physiological or genetic conditions, which applies to </w:t>
      </w:r>
      <w:r w:rsidDel="00000000" w:rsidR="00000000" w:rsidRPr="00000000">
        <w:rPr>
          <w:i w:val="1"/>
          <w:rtl w:val="0"/>
        </w:rPr>
        <w:t xml:space="preserve">W. glossinidia</w:t>
      </w:r>
      <w:r w:rsidDel="00000000" w:rsidR="00000000" w:rsidRPr="00000000">
        <w:rPr>
          <w:rtl w:val="0"/>
        </w:rPr>
        <w:t xml:space="preserve"> as an intracellular symbiotic microorganism (Akman </w:t>
      </w:r>
      <w:r w:rsidDel="00000000" w:rsidR="00000000" w:rsidRPr="00000000">
        <w:rPr>
          <w:i w:val="1"/>
          <w:rtl w:val="0"/>
        </w:rPr>
        <w:t xml:space="preserve">et al</w:t>
      </w:r>
      <w:r w:rsidDel="00000000" w:rsidR="00000000" w:rsidRPr="00000000">
        <w:rPr>
          <w:rtl w:val="0"/>
        </w:rPr>
        <w:t xml:space="preserve">., 2002). Multiple origins of replication are often found in archeal genomes (Xia, 2002). This can be supported by the findings of Robinson </w:t>
      </w:r>
      <w:r w:rsidDel="00000000" w:rsidR="00000000" w:rsidRPr="00000000">
        <w:rPr>
          <w:i w:val="1"/>
          <w:rtl w:val="0"/>
        </w:rPr>
        <w:t xml:space="preserve">et al</w:t>
      </w:r>
      <w:r w:rsidDel="00000000" w:rsidR="00000000" w:rsidRPr="00000000">
        <w:rPr>
          <w:rtl w:val="0"/>
        </w:rPr>
        <w:t xml:space="preserve">. (2004) who detected two replications origins in the archaeon </w:t>
      </w:r>
      <w:r w:rsidDel="00000000" w:rsidR="00000000" w:rsidRPr="00000000">
        <w:rPr>
          <w:i w:val="1"/>
          <w:rtl w:val="0"/>
        </w:rPr>
        <w:t xml:space="preserve">Sulfolobus solfataricus</w:t>
      </w: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spacing w:line="276" w:lineRule="auto"/>
        <w:rPr/>
      </w:pPr>
      <w:bookmarkStart w:colFirst="0" w:colLast="0" w:name="_heading=h.cmc680wryunr" w:id="10"/>
      <w:bookmarkEnd w:id="10"/>
      <w:r w:rsidDel="00000000" w:rsidR="00000000" w:rsidRPr="00000000">
        <w:rPr>
          <w:rtl w:val="0"/>
        </w:rPr>
        <w:t xml:space="preserve">Literature</w:t>
      </w:r>
    </w:p>
    <w:p w:rsidR="00000000" w:rsidDel="00000000" w:rsidP="00000000" w:rsidRDefault="00000000" w:rsidRPr="00000000" w14:paraId="00000091">
      <w:pPr>
        <w:spacing w:after="0" w:lineRule="auto"/>
        <w:ind w:left="0" w:firstLine="0"/>
        <w:rPr/>
      </w:pPr>
      <w:r w:rsidDel="00000000" w:rsidR="00000000" w:rsidRPr="00000000">
        <w:rPr>
          <w:rtl w:val="0"/>
        </w:rPr>
        <w:t xml:space="preserve">Akman, L., Yamashita, A., Watanabe, H., Oshima, K., Shiba, T., Hattori, M., and Aksoy, S.</w:t>
      </w:r>
    </w:p>
    <w:p w:rsidR="00000000" w:rsidDel="00000000" w:rsidP="00000000" w:rsidRDefault="00000000" w:rsidRPr="00000000" w14:paraId="00000092">
      <w:pPr>
        <w:spacing w:after="0" w:lineRule="auto"/>
        <w:ind w:left="720" w:firstLine="0"/>
        <w:rPr/>
      </w:pPr>
      <w:r w:rsidDel="00000000" w:rsidR="00000000" w:rsidRPr="00000000">
        <w:rPr>
          <w:rtl w:val="0"/>
        </w:rPr>
        <w:t xml:space="preserve">(2002) Genome sequence of the endocellular obligate symbiont of tsetse flies, Wigglesworthia glossinidia. </w:t>
      </w:r>
      <w:r w:rsidDel="00000000" w:rsidR="00000000" w:rsidRPr="00000000">
        <w:rPr>
          <w:i w:val="1"/>
          <w:rtl w:val="0"/>
        </w:rPr>
        <w:t xml:space="preserve">Nature genetics</w:t>
      </w:r>
      <w:r w:rsidDel="00000000" w:rsidR="00000000" w:rsidRPr="00000000">
        <w:rPr>
          <w:rtl w:val="0"/>
        </w:rPr>
        <w:t xml:space="preserve">, </w:t>
      </w:r>
      <w:r w:rsidDel="00000000" w:rsidR="00000000" w:rsidRPr="00000000">
        <w:rPr>
          <w:b w:val="1"/>
          <w:rtl w:val="0"/>
        </w:rPr>
        <w:t xml:space="preserve">32</w:t>
      </w:r>
      <w:r w:rsidDel="00000000" w:rsidR="00000000" w:rsidRPr="00000000">
        <w:rPr>
          <w:rtl w:val="0"/>
        </w:rPr>
        <w:t xml:space="preserve">(3), 402.</w:t>
      </w:r>
    </w:p>
    <w:p w:rsidR="00000000" w:rsidDel="00000000" w:rsidP="00000000" w:rsidRDefault="00000000" w:rsidRPr="00000000" w14:paraId="00000093">
      <w:pPr>
        <w:spacing w:after="0" w:lineRule="auto"/>
        <w:ind w:left="720" w:firstLine="0"/>
        <w:rPr/>
      </w:pPr>
      <w:r w:rsidDel="00000000" w:rsidR="00000000" w:rsidRPr="00000000">
        <w:rPr>
          <w:rtl w:val="0"/>
        </w:rPr>
      </w:r>
    </w:p>
    <w:p w:rsidR="00000000" w:rsidDel="00000000" w:rsidP="00000000" w:rsidRDefault="00000000" w:rsidRPr="00000000" w14:paraId="00000094">
      <w:pPr>
        <w:spacing w:after="0" w:line="276" w:lineRule="auto"/>
        <w:jc w:val="both"/>
        <w:rPr>
          <w:rFonts w:ascii="Arial" w:cs="Arial" w:eastAsia="Arial" w:hAnsi="Arial"/>
        </w:rPr>
      </w:pPr>
      <w:r w:rsidDel="00000000" w:rsidR="00000000" w:rsidRPr="00000000">
        <w:rPr>
          <w:rFonts w:ascii="Arial" w:cs="Arial" w:eastAsia="Arial" w:hAnsi="Arial"/>
          <w:rtl w:val="0"/>
        </w:rPr>
        <w:t xml:space="preserve">Blaesing, F., Weigel, C., Welzeck, M. and Messer, W. (2017) Analysis of the DNA</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binding</w:t>
      </w:r>
    </w:p>
    <w:p w:rsidR="00000000" w:rsidDel="00000000" w:rsidP="00000000" w:rsidRDefault="00000000" w:rsidRPr="00000000" w14:paraId="00000095">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domain of Escherichia coli DnaA protein. </w:t>
      </w:r>
      <w:r w:rsidDel="00000000" w:rsidR="00000000" w:rsidRPr="00000000">
        <w:rPr>
          <w:rFonts w:ascii="Arial" w:cs="Arial" w:eastAsia="Arial" w:hAnsi="Arial"/>
          <w:i w:val="1"/>
          <w:rtl w:val="0"/>
        </w:rPr>
        <w:t xml:space="preserve">Molecular microbiology</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36</w:t>
      </w:r>
      <w:r w:rsidDel="00000000" w:rsidR="00000000" w:rsidRPr="00000000">
        <w:rPr>
          <w:rFonts w:ascii="Arial" w:cs="Arial" w:eastAsia="Arial" w:hAnsi="Arial"/>
          <w:rtl w:val="0"/>
        </w:rPr>
        <w:t xml:space="preserve">(3), 557-569.</w:t>
      </w:r>
    </w:p>
    <w:p w:rsidR="00000000" w:rsidDel="00000000" w:rsidP="00000000" w:rsidRDefault="00000000" w:rsidRPr="00000000" w14:paraId="00000096">
      <w:pPr>
        <w:spacing w:after="0" w:line="276" w:lineRule="auto"/>
        <w:ind w:left="0" w:firstLine="0"/>
        <w:jc w:val="both"/>
        <w:rPr/>
      </w:pPr>
      <w:r w:rsidDel="00000000" w:rsidR="00000000" w:rsidRPr="00000000">
        <w:rPr>
          <w:rtl w:val="0"/>
        </w:rPr>
      </w:r>
    </w:p>
    <w:p w:rsidR="00000000" w:rsidDel="00000000" w:rsidP="00000000" w:rsidRDefault="00000000" w:rsidRPr="00000000" w14:paraId="00000097">
      <w:pPr>
        <w:spacing w:after="0" w:line="276" w:lineRule="auto"/>
        <w:ind w:left="0" w:firstLine="0"/>
        <w:jc w:val="both"/>
        <w:rPr/>
      </w:pPr>
      <w:r w:rsidDel="00000000" w:rsidR="00000000" w:rsidRPr="00000000">
        <w:rPr>
          <w:rtl w:val="0"/>
        </w:rPr>
        <w:t xml:space="preserve">Gao, F. and Zhang, C. T. (2007) DoriC: a database of oriC regions in bacterial genomes.</w:t>
      </w:r>
    </w:p>
    <w:p w:rsidR="00000000" w:rsidDel="00000000" w:rsidP="00000000" w:rsidRDefault="00000000" w:rsidRPr="00000000" w14:paraId="00000098">
      <w:pPr>
        <w:spacing w:after="0" w:line="276" w:lineRule="auto"/>
        <w:ind w:left="0" w:firstLine="720"/>
        <w:jc w:val="both"/>
        <w:rPr/>
      </w:pPr>
      <w:r w:rsidDel="00000000" w:rsidR="00000000" w:rsidRPr="00000000">
        <w:rPr>
          <w:i w:val="1"/>
          <w:rtl w:val="0"/>
        </w:rPr>
        <w:t xml:space="preserve">Bioinformatics</w:t>
      </w:r>
      <w:r w:rsidDel="00000000" w:rsidR="00000000" w:rsidRPr="00000000">
        <w:rPr>
          <w:rtl w:val="0"/>
        </w:rPr>
        <w:t xml:space="preserve">, </w:t>
      </w:r>
      <w:r w:rsidDel="00000000" w:rsidR="00000000" w:rsidRPr="00000000">
        <w:rPr>
          <w:b w:val="1"/>
          <w:rtl w:val="0"/>
        </w:rPr>
        <w:t xml:space="preserve">23</w:t>
      </w:r>
      <w:r w:rsidDel="00000000" w:rsidR="00000000" w:rsidRPr="00000000">
        <w:rPr>
          <w:rtl w:val="0"/>
        </w:rPr>
        <w:t xml:space="preserve">(14), 1866-1867.</w:t>
      </w:r>
    </w:p>
    <w:p w:rsidR="00000000" w:rsidDel="00000000" w:rsidP="00000000" w:rsidRDefault="00000000" w:rsidRPr="00000000" w14:paraId="00000099">
      <w:pPr>
        <w:spacing w:after="0" w:line="276" w:lineRule="auto"/>
        <w:ind w:firstLine="426"/>
        <w:jc w:val="both"/>
        <w:rPr>
          <w:rFonts w:ascii="Arial" w:cs="Arial" w:eastAsia="Arial" w:hAnsi="Arial"/>
        </w:rPr>
      </w:pPr>
      <w:r w:rsidDel="00000000" w:rsidR="00000000" w:rsidRPr="00000000">
        <w:rPr>
          <w:rtl w:val="0"/>
        </w:rPr>
      </w:r>
    </w:p>
    <w:p w:rsidR="00000000" w:rsidDel="00000000" w:rsidP="00000000" w:rsidRDefault="00000000" w:rsidRPr="00000000" w14:paraId="0000009A">
      <w:pPr>
        <w:spacing w:after="0" w:line="276" w:lineRule="auto"/>
        <w:jc w:val="both"/>
        <w:rPr>
          <w:rFonts w:ascii="Arial" w:cs="Arial" w:eastAsia="Arial" w:hAnsi="Arial"/>
          <w:i w:val="1"/>
        </w:rPr>
      </w:pPr>
      <w:bookmarkStart w:colFirst="0" w:colLast="0" w:name="_heading=h.gjdgxs" w:id="11"/>
      <w:bookmarkEnd w:id="11"/>
      <w:r w:rsidDel="00000000" w:rsidR="00000000" w:rsidRPr="00000000">
        <w:rPr>
          <w:rFonts w:ascii="Arial" w:cs="Arial" w:eastAsia="Arial" w:hAnsi="Arial"/>
          <w:rtl w:val="0"/>
        </w:rPr>
        <w:t xml:space="preserve">Grigoriev, A. (1998) Analyzing genomes with cumulative skew diagrams. </w:t>
      </w:r>
      <w:r w:rsidDel="00000000" w:rsidR="00000000" w:rsidRPr="00000000">
        <w:rPr>
          <w:rFonts w:ascii="Arial" w:cs="Arial" w:eastAsia="Arial" w:hAnsi="Arial"/>
          <w:i w:val="1"/>
          <w:rtl w:val="0"/>
        </w:rPr>
        <w:t xml:space="preserve">Nucleic acids</w:t>
      </w:r>
    </w:p>
    <w:p w:rsidR="00000000" w:rsidDel="00000000" w:rsidP="00000000" w:rsidRDefault="00000000" w:rsidRPr="00000000" w14:paraId="0000009B">
      <w:pPr>
        <w:spacing w:after="0" w:line="276" w:lineRule="auto"/>
        <w:ind w:left="720" w:firstLine="0"/>
        <w:jc w:val="both"/>
        <w:rPr>
          <w:rFonts w:ascii="Arial" w:cs="Arial" w:eastAsia="Arial" w:hAnsi="Arial"/>
        </w:rPr>
      </w:pPr>
      <w:r w:rsidDel="00000000" w:rsidR="00000000" w:rsidRPr="00000000">
        <w:rPr>
          <w:rFonts w:ascii="Arial" w:cs="Arial" w:eastAsia="Arial" w:hAnsi="Arial"/>
          <w:i w:val="1"/>
          <w:rtl w:val="0"/>
        </w:rPr>
        <w:t xml:space="preserve">research</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26</w:t>
      </w:r>
      <w:r w:rsidDel="00000000" w:rsidR="00000000" w:rsidRPr="00000000">
        <w:rPr>
          <w:rFonts w:ascii="Arial" w:cs="Arial" w:eastAsia="Arial" w:hAnsi="Arial"/>
          <w:rtl w:val="0"/>
        </w:rPr>
        <w:t xml:space="preserve">(10), 2286-2290.</w:t>
      </w:r>
    </w:p>
    <w:p w:rsidR="00000000" w:rsidDel="00000000" w:rsidP="00000000" w:rsidRDefault="00000000" w:rsidRPr="00000000" w14:paraId="0000009C">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D">
      <w:pPr>
        <w:spacing w:after="0" w:line="276" w:lineRule="auto"/>
        <w:jc w:val="both"/>
        <w:rPr>
          <w:rFonts w:ascii="Arial" w:cs="Arial" w:eastAsia="Arial" w:hAnsi="Arial"/>
        </w:rPr>
      </w:pPr>
      <w:r w:rsidDel="00000000" w:rsidR="00000000" w:rsidRPr="00000000">
        <w:rPr>
          <w:rFonts w:ascii="Arial" w:cs="Arial" w:eastAsia="Arial" w:hAnsi="Arial"/>
          <w:rtl w:val="0"/>
        </w:rPr>
        <w:t xml:space="preserve">Korem, T., Zeevi, D., Suez, J., Weinberger, A., Avnit-Sagi, T., Pompan-Lotan, M., Matot, E.,</w:t>
      </w:r>
    </w:p>
    <w:p w:rsidR="00000000" w:rsidDel="00000000" w:rsidP="00000000" w:rsidRDefault="00000000" w:rsidRPr="00000000" w14:paraId="0000009E">
      <w:pPr>
        <w:spacing w:after="0" w:line="276" w:lineRule="auto"/>
        <w:ind w:left="0" w:firstLine="720"/>
        <w:jc w:val="both"/>
        <w:rPr/>
      </w:pPr>
      <w:r w:rsidDel="00000000" w:rsidR="00000000" w:rsidRPr="00000000">
        <w:rPr>
          <w:rFonts w:ascii="Arial" w:cs="Arial" w:eastAsia="Arial" w:hAnsi="Arial"/>
          <w:rtl w:val="0"/>
        </w:rPr>
        <w:t xml:space="preserve">Jona, G., Harmelin, A., Cohen, N., Sirota-Madi, A., Pevsner-Fischer, M., Sorek, R.,</w:t>
      </w:r>
      <w:r w:rsidDel="00000000" w:rsidR="00000000" w:rsidRPr="00000000">
        <w:rPr>
          <w:rtl w:val="0"/>
        </w:rPr>
      </w:r>
    </w:p>
    <w:p w:rsidR="00000000" w:rsidDel="00000000" w:rsidP="00000000" w:rsidRDefault="00000000" w:rsidRPr="00000000" w14:paraId="0000009F">
      <w:pPr>
        <w:spacing w:after="0" w:line="276" w:lineRule="auto"/>
        <w:ind w:left="0" w:firstLine="720"/>
        <w:jc w:val="both"/>
        <w:rPr/>
      </w:pPr>
      <w:r w:rsidDel="00000000" w:rsidR="00000000" w:rsidRPr="00000000">
        <w:rPr>
          <w:rFonts w:ascii="Arial" w:cs="Arial" w:eastAsia="Arial" w:hAnsi="Arial"/>
          <w:rtl w:val="0"/>
        </w:rPr>
        <w:t xml:space="preserve">Xavier,</w:t>
      </w:r>
      <w:r w:rsidDel="00000000" w:rsidR="00000000" w:rsidRPr="00000000">
        <w:rPr>
          <w:rtl w:val="0"/>
        </w:rPr>
        <w:t xml:space="preserve"> </w:t>
      </w:r>
      <w:r w:rsidDel="00000000" w:rsidR="00000000" w:rsidRPr="00000000">
        <w:rPr>
          <w:rFonts w:ascii="Arial" w:cs="Arial" w:eastAsia="Arial" w:hAnsi="Arial"/>
          <w:rtl w:val="0"/>
        </w:rPr>
        <w:t xml:space="preserve">R., Elinav, E. and Segal, E. (2015) Growth dynamics of gut microbiota in</w:t>
      </w:r>
      <w:r w:rsidDel="00000000" w:rsidR="00000000" w:rsidRPr="00000000">
        <w:rPr>
          <w:rtl w:val="0"/>
        </w:rPr>
      </w:r>
    </w:p>
    <w:p w:rsidR="00000000" w:rsidDel="00000000" w:rsidP="00000000" w:rsidRDefault="00000000" w:rsidRPr="00000000" w14:paraId="000000A0">
      <w:pPr>
        <w:spacing w:after="0" w:line="276" w:lineRule="auto"/>
        <w:ind w:left="720" w:firstLine="0"/>
        <w:jc w:val="both"/>
        <w:rPr>
          <w:rFonts w:ascii="Arial" w:cs="Arial" w:eastAsia="Arial" w:hAnsi="Arial"/>
        </w:rPr>
      </w:pPr>
      <w:r w:rsidDel="00000000" w:rsidR="00000000" w:rsidRPr="00000000">
        <w:rPr>
          <w:rtl w:val="0"/>
        </w:rPr>
        <w:t xml:space="preserve">H</w:t>
      </w:r>
      <w:r w:rsidDel="00000000" w:rsidR="00000000" w:rsidRPr="00000000">
        <w:rPr>
          <w:rFonts w:ascii="Arial" w:cs="Arial" w:eastAsia="Arial" w:hAnsi="Arial"/>
          <w:rtl w:val="0"/>
        </w:rPr>
        <w:t xml:space="preserve">ealth</w:t>
      </w:r>
      <w:r w:rsidDel="00000000" w:rsidR="00000000" w:rsidRPr="00000000">
        <w:rPr>
          <w:rtl w:val="0"/>
        </w:rPr>
        <w:t xml:space="preserve"> a</w:t>
      </w:r>
      <w:r w:rsidDel="00000000" w:rsidR="00000000" w:rsidRPr="00000000">
        <w:rPr>
          <w:rFonts w:ascii="Arial" w:cs="Arial" w:eastAsia="Arial" w:hAnsi="Arial"/>
          <w:rtl w:val="0"/>
        </w:rPr>
        <w:t xml:space="preserve">nd</w:t>
      </w:r>
      <w:r w:rsidDel="00000000" w:rsidR="00000000" w:rsidRPr="00000000">
        <w:rPr>
          <w:rtl w:val="0"/>
        </w:rPr>
        <w:t xml:space="preserve"> </w:t>
      </w:r>
      <w:r w:rsidDel="00000000" w:rsidR="00000000" w:rsidRPr="00000000">
        <w:rPr>
          <w:rFonts w:ascii="Arial" w:cs="Arial" w:eastAsia="Arial" w:hAnsi="Arial"/>
          <w:rtl w:val="0"/>
        </w:rPr>
        <w:t xml:space="preserve">disease inferred from single metagenomic samples. </w:t>
      </w:r>
      <w:r w:rsidDel="00000000" w:rsidR="00000000" w:rsidRPr="00000000">
        <w:rPr>
          <w:rFonts w:ascii="Arial" w:cs="Arial" w:eastAsia="Arial" w:hAnsi="Arial"/>
          <w:i w:val="1"/>
          <w:rtl w:val="0"/>
        </w:rPr>
        <w:t xml:space="preserve">Science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349</w:t>
      </w:r>
      <w:r w:rsidDel="00000000" w:rsidR="00000000" w:rsidRPr="00000000">
        <w:rPr>
          <w:rFonts w:ascii="Arial" w:cs="Arial" w:eastAsia="Arial" w:hAnsi="Arial"/>
          <w:rtl w:val="0"/>
        </w:rPr>
        <w:t xml:space="preserve">(6252),</w:t>
      </w:r>
      <w:r w:rsidDel="00000000" w:rsidR="00000000" w:rsidRPr="00000000">
        <w:rPr>
          <w:rtl w:val="0"/>
        </w:rPr>
        <w:t xml:space="preserve">  </w:t>
      </w:r>
      <w:r w:rsidDel="00000000" w:rsidR="00000000" w:rsidRPr="00000000">
        <w:rPr>
          <w:rFonts w:ascii="Arial" w:cs="Arial" w:eastAsia="Arial" w:hAnsi="Arial"/>
          <w:rtl w:val="0"/>
        </w:rPr>
        <w:t xml:space="preserve">1101-1106.</w:t>
      </w:r>
    </w:p>
    <w:p w:rsidR="00000000" w:rsidDel="00000000" w:rsidP="00000000" w:rsidRDefault="00000000" w:rsidRPr="00000000" w14:paraId="000000A1">
      <w:pPr>
        <w:spacing w:after="0" w:line="276" w:lineRule="auto"/>
        <w:ind w:left="0" w:firstLine="0"/>
        <w:jc w:val="both"/>
        <w:rPr/>
      </w:pPr>
      <w:r w:rsidDel="00000000" w:rsidR="00000000" w:rsidRPr="00000000">
        <w:rPr>
          <w:rtl w:val="0"/>
        </w:rPr>
        <w:t xml:space="preserve">Mackiewicz, P., Zakrzewska-Czerwińska, J., Zawilak, A., Dudek, M. R., and Cebrat, S. (2004)</w:t>
      </w:r>
    </w:p>
    <w:p w:rsidR="00000000" w:rsidDel="00000000" w:rsidP="00000000" w:rsidRDefault="00000000" w:rsidRPr="00000000" w14:paraId="000000A2">
      <w:pPr>
        <w:spacing w:after="0" w:line="276" w:lineRule="auto"/>
        <w:ind w:left="0" w:firstLine="720"/>
        <w:jc w:val="both"/>
        <w:rPr>
          <w:i w:val="1"/>
        </w:rPr>
      </w:pPr>
      <w:r w:rsidDel="00000000" w:rsidR="00000000" w:rsidRPr="00000000">
        <w:rPr>
          <w:rtl w:val="0"/>
        </w:rPr>
        <w:t xml:space="preserve">Where does bacterial replication start? Rules for predicting the oriC region. </w:t>
      </w:r>
      <w:r w:rsidDel="00000000" w:rsidR="00000000" w:rsidRPr="00000000">
        <w:rPr>
          <w:i w:val="1"/>
          <w:rtl w:val="0"/>
        </w:rPr>
        <w:t xml:space="preserve">Nucleic</w:t>
      </w:r>
    </w:p>
    <w:p w:rsidR="00000000" w:rsidDel="00000000" w:rsidP="00000000" w:rsidRDefault="00000000" w:rsidRPr="00000000" w14:paraId="000000A3">
      <w:pPr>
        <w:spacing w:after="0" w:line="276" w:lineRule="auto"/>
        <w:ind w:left="0" w:firstLine="720"/>
        <w:jc w:val="both"/>
        <w:rPr/>
      </w:pPr>
      <w:r w:rsidDel="00000000" w:rsidR="00000000" w:rsidRPr="00000000">
        <w:rPr>
          <w:i w:val="1"/>
          <w:rtl w:val="0"/>
        </w:rPr>
        <w:t xml:space="preserve">acids research</w:t>
      </w:r>
      <w:r w:rsidDel="00000000" w:rsidR="00000000" w:rsidRPr="00000000">
        <w:rPr>
          <w:rtl w:val="0"/>
        </w:rPr>
        <w:t xml:space="preserve">, </w:t>
      </w:r>
      <w:r w:rsidDel="00000000" w:rsidR="00000000" w:rsidRPr="00000000">
        <w:rPr>
          <w:b w:val="1"/>
          <w:rtl w:val="0"/>
        </w:rPr>
        <w:t xml:space="preserve">32</w:t>
      </w:r>
      <w:r w:rsidDel="00000000" w:rsidR="00000000" w:rsidRPr="00000000">
        <w:rPr>
          <w:rtl w:val="0"/>
        </w:rPr>
        <w:t xml:space="preserve">(13), 3781-3791.</w:t>
      </w:r>
    </w:p>
    <w:p w:rsidR="00000000" w:rsidDel="00000000" w:rsidP="00000000" w:rsidRDefault="00000000" w:rsidRPr="00000000" w14:paraId="000000A4">
      <w:pPr>
        <w:spacing w:after="0" w:line="276" w:lineRule="auto"/>
        <w:ind w:left="720" w:firstLine="0"/>
        <w:jc w:val="both"/>
        <w:rPr/>
      </w:pPr>
      <w:r w:rsidDel="00000000" w:rsidR="00000000" w:rsidRPr="00000000">
        <w:rPr>
          <w:rtl w:val="0"/>
        </w:rPr>
      </w:r>
    </w:p>
    <w:p w:rsidR="00000000" w:rsidDel="00000000" w:rsidP="00000000" w:rsidRDefault="00000000" w:rsidRPr="00000000" w14:paraId="000000A5">
      <w:pPr>
        <w:spacing w:after="0" w:line="276" w:lineRule="auto"/>
        <w:ind w:left="0" w:firstLine="0"/>
        <w:jc w:val="both"/>
        <w:rPr/>
      </w:pPr>
      <w:r w:rsidDel="00000000" w:rsidR="00000000" w:rsidRPr="00000000">
        <w:rPr>
          <w:rtl w:val="0"/>
        </w:rPr>
        <w:t xml:space="preserve">Robinson, N. P., Dionne, I., Lundgren, M., Marsh, V. L., Bernander, R., and Bell, S. D. (2004)</w:t>
      </w:r>
    </w:p>
    <w:p w:rsidR="00000000" w:rsidDel="00000000" w:rsidP="00000000" w:rsidRDefault="00000000" w:rsidRPr="00000000" w14:paraId="000000A6">
      <w:pPr>
        <w:spacing w:after="0" w:line="276" w:lineRule="auto"/>
        <w:ind w:left="720" w:firstLine="0"/>
        <w:jc w:val="both"/>
        <w:rPr/>
      </w:pPr>
      <w:r w:rsidDel="00000000" w:rsidR="00000000" w:rsidRPr="00000000">
        <w:rPr>
          <w:rtl w:val="0"/>
        </w:rPr>
        <w:t xml:space="preserve">Identification of two origins of replication in the single chromosome of the archaeon Sulfolobus solfataricus. </w:t>
      </w:r>
      <w:r w:rsidDel="00000000" w:rsidR="00000000" w:rsidRPr="00000000">
        <w:rPr>
          <w:i w:val="1"/>
          <w:rtl w:val="0"/>
        </w:rPr>
        <w:t xml:space="preserve">Cell</w:t>
      </w:r>
      <w:r w:rsidDel="00000000" w:rsidR="00000000" w:rsidRPr="00000000">
        <w:rPr>
          <w:rtl w:val="0"/>
        </w:rPr>
        <w:t xml:space="preserve">, </w:t>
      </w:r>
      <w:r w:rsidDel="00000000" w:rsidR="00000000" w:rsidRPr="00000000">
        <w:rPr>
          <w:b w:val="1"/>
          <w:rtl w:val="0"/>
        </w:rPr>
        <w:t xml:space="preserve">116</w:t>
      </w:r>
      <w:r w:rsidDel="00000000" w:rsidR="00000000" w:rsidRPr="00000000">
        <w:rPr>
          <w:rtl w:val="0"/>
        </w:rPr>
        <w:t xml:space="preserve">(1), 25-38.</w:t>
      </w:r>
    </w:p>
    <w:p w:rsidR="00000000" w:rsidDel="00000000" w:rsidP="00000000" w:rsidRDefault="00000000" w:rsidRPr="00000000" w14:paraId="000000A7">
      <w:pPr>
        <w:spacing w:after="0" w:line="276" w:lineRule="auto"/>
        <w:ind w:left="720" w:firstLine="0"/>
        <w:jc w:val="both"/>
        <w:rPr/>
      </w:pPr>
      <w:r w:rsidDel="00000000" w:rsidR="00000000" w:rsidRPr="00000000">
        <w:rPr>
          <w:rtl w:val="0"/>
        </w:rPr>
      </w:r>
    </w:p>
    <w:p w:rsidR="00000000" w:rsidDel="00000000" w:rsidP="00000000" w:rsidRDefault="00000000" w:rsidRPr="00000000" w14:paraId="000000A8">
      <w:pPr>
        <w:spacing w:after="0" w:line="276" w:lineRule="auto"/>
        <w:ind w:left="0" w:firstLine="0"/>
        <w:jc w:val="both"/>
        <w:rPr/>
      </w:pPr>
      <w:r w:rsidDel="00000000" w:rsidR="00000000" w:rsidRPr="00000000">
        <w:rPr>
          <w:rtl w:val="0"/>
        </w:rPr>
        <w:t xml:space="preserve">Rogan, P. K., Faux, B. M., and Schneider, T. D. (1998) Information analysis of human splice</w:t>
      </w:r>
    </w:p>
    <w:p w:rsidR="00000000" w:rsidDel="00000000" w:rsidP="00000000" w:rsidRDefault="00000000" w:rsidRPr="00000000" w14:paraId="000000A9">
      <w:pPr>
        <w:spacing w:after="0" w:line="276" w:lineRule="auto"/>
        <w:ind w:left="0" w:firstLine="720"/>
        <w:jc w:val="both"/>
        <w:rPr/>
      </w:pPr>
      <w:r w:rsidDel="00000000" w:rsidR="00000000" w:rsidRPr="00000000">
        <w:rPr>
          <w:rtl w:val="0"/>
        </w:rPr>
        <w:t xml:space="preserve">site mutations. </w:t>
      </w:r>
      <w:r w:rsidDel="00000000" w:rsidR="00000000" w:rsidRPr="00000000">
        <w:rPr>
          <w:i w:val="1"/>
          <w:rtl w:val="0"/>
        </w:rPr>
        <w:t xml:space="preserve">Human mutation</w:t>
      </w:r>
      <w:r w:rsidDel="00000000" w:rsidR="00000000" w:rsidRPr="00000000">
        <w:rPr>
          <w:rtl w:val="0"/>
        </w:rPr>
        <w:t xml:space="preserve">, </w:t>
      </w:r>
      <w:r w:rsidDel="00000000" w:rsidR="00000000" w:rsidRPr="00000000">
        <w:rPr>
          <w:b w:val="1"/>
          <w:rtl w:val="0"/>
        </w:rPr>
        <w:t xml:space="preserve">12</w:t>
      </w:r>
      <w:r w:rsidDel="00000000" w:rsidR="00000000" w:rsidRPr="00000000">
        <w:rPr>
          <w:rtl w:val="0"/>
        </w:rPr>
        <w:t xml:space="preserve">(3), 153-171.</w:t>
      </w:r>
    </w:p>
    <w:p w:rsidR="00000000" w:rsidDel="00000000" w:rsidP="00000000" w:rsidRDefault="00000000" w:rsidRPr="00000000" w14:paraId="000000AA">
      <w:pPr>
        <w:spacing w:after="0" w:line="276" w:lineRule="auto"/>
        <w:ind w:left="720" w:hanging="294"/>
        <w:jc w:val="both"/>
        <w:rPr>
          <w:rFonts w:ascii="Arial" w:cs="Arial" w:eastAsia="Arial" w:hAnsi="Arial"/>
        </w:rPr>
      </w:pPr>
      <w:r w:rsidDel="00000000" w:rsidR="00000000" w:rsidRPr="00000000">
        <w:rPr>
          <w:rtl w:val="0"/>
        </w:rPr>
      </w:r>
    </w:p>
    <w:p w:rsidR="00000000" w:rsidDel="00000000" w:rsidP="00000000" w:rsidRDefault="00000000" w:rsidRPr="00000000" w14:paraId="000000AB">
      <w:pPr>
        <w:spacing w:after="0" w:line="276" w:lineRule="auto"/>
        <w:rPr>
          <w:rFonts w:ascii="Arial" w:cs="Arial" w:eastAsia="Arial" w:hAnsi="Arial"/>
        </w:rPr>
      </w:pPr>
      <w:r w:rsidDel="00000000" w:rsidR="00000000" w:rsidRPr="00000000">
        <w:rPr>
          <w:rFonts w:ascii="Arial" w:cs="Arial" w:eastAsia="Arial" w:hAnsi="Arial"/>
          <w:rtl w:val="0"/>
        </w:rPr>
        <w:t xml:space="preserve">Touchon, M., and Rocha, E. P. (2008) From GC skews to wavelets: a gentle guide to the</w:t>
      </w:r>
    </w:p>
    <w:p w:rsidR="00000000" w:rsidDel="00000000" w:rsidP="00000000" w:rsidRDefault="00000000" w:rsidRPr="00000000" w14:paraId="000000AC">
      <w:pPr>
        <w:spacing w:after="0" w:line="276" w:lineRule="auto"/>
        <w:ind w:left="0" w:firstLine="720"/>
        <w:rPr/>
      </w:pPr>
      <w:r w:rsidDel="00000000" w:rsidR="00000000" w:rsidRPr="00000000">
        <w:rPr>
          <w:rFonts w:ascii="Arial" w:cs="Arial" w:eastAsia="Arial" w:hAnsi="Arial"/>
          <w:rtl w:val="0"/>
        </w:rPr>
        <w:t xml:space="preserve">analysis of compositional asymmetries in genomic data. ​</w:t>
      </w:r>
      <w:r w:rsidDel="00000000" w:rsidR="00000000" w:rsidRPr="00000000">
        <w:rPr>
          <w:rFonts w:ascii="Arial" w:cs="Arial" w:eastAsia="Arial" w:hAnsi="Arial"/>
          <w:i w:val="1"/>
          <w:rtl w:val="0"/>
        </w:rPr>
        <w:t xml:space="preserve">Biochimie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90</w:t>
      </w:r>
      <w:r w:rsidDel="00000000" w:rsidR="00000000" w:rsidRPr="00000000">
        <w:rPr>
          <w:rFonts w:ascii="Arial" w:cs="Arial" w:eastAsia="Arial" w:hAnsi="Arial"/>
          <w:rtl w:val="0"/>
        </w:rPr>
        <w:t xml:space="preserve">(4), 648-659.</w:t>
      </w:r>
      <w:r w:rsidDel="00000000" w:rsidR="00000000" w:rsidRPr="00000000">
        <w:rPr>
          <w:rtl w:val="0"/>
        </w:rPr>
      </w:r>
    </w:p>
    <w:p w:rsidR="00000000" w:rsidDel="00000000" w:rsidP="00000000" w:rsidRDefault="00000000" w:rsidRPr="00000000" w14:paraId="000000AD">
      <w:pPr>
        <w:spacing w:after="0" w:line="276" w:lineRule="auto"/>
        <w:ind w:left="0" w:firstLine="0"/>
        <w:rPr/>
      </w:pPr>
      <w:r w:rsidDel="00000000" w:rsidR="00000000" w:rsidRPr="00000000">
        <w:rPr>
          <w:rtl w:val="0"/>
        </w:rPr>
      </w:r>
    </w:p>
    <w:p w:rsidR="00000000" w:rsidDel="00000000" w:rsidP="00000000" w:rsidRDefault="00000000" w:rsidRPr="00000000" w14:paraId="000000AE">
      <w:pPr>
        <w:spacing w:after="0" w:line="276" w:lineRule="auto"/>
        <w:ind w:left="0" w:firstLine="0"/>
        <w:rPr/>
      </w:pPr>
      <w:r w:rsidDel="00000000" w:rsidR="00000000" w:rsidRPr="00000000">
        <w:rPr>
          <w:rtl w:val="0"/>
        </w:rPr>
        <w:t xml:space="preserve">Xia, X. (2012) DNA replication and strand asymmetry in prokaryotic and mitochondrial</w:t>
      </w:r>
    </w:p>
    <w:p w:rsidR="00000000" w:rsidDel="00000000" w:rsidP="00000000" w:rsidRDefault="00000000" w:rsidRPr="00000000" w14:paraId="000000AF">
      <w:pPr>
        <w:spacing w:after="0" w:line="276" w:lineRule="auto"/>
        <w:ind w:left="0" w:firstLine="720"/>
        <w:rPr/>
      </w:pPr>
      <w:r w:rsidDel="00000000" w:rsidR="00000000" w:rsidRPr="00000000">
        <w:rPr>
          <w:rtl w:val="0"/>
        </w:rPr>
        <w:t xml:space="preserve">genomes. </w:t>
      </w:r>
      <w:r w:rsidDel="00000000" w:rsidR="00000000" w:rsidRPr="00000000">
        <w:rPr>
          <w:i w:val="1"/>
          <w:rtl w:val="0"/>
        </w:rPr>
        <w:t xml:space="preserve">Current Genomics</w:t>
      </w:r>
      <w:r w:rsidDel="00000000" w:rsidR="00000000" w:rsidRPr="00000000">
        <w:rPr>
          <w:rtl w:val="0"/>
        </w:rPr>
        <w:t xml:space="preserve">, </w:t>
      </w:r>
      <w:r w:rsidDel="00000000" w:rsidR="00000000" w:rsidRPr="00000000">
        <w:rPr>
          <w:b w:val="1"/>
          <w:rtl w:val="0"/>
        </w:rPr>
        <w:t xml:space="preserve">13</w:t>
      </w:r>
      <w:r w:rsidDel="00000000" w:rsidR="00000000" w:rsidRPr="00000000">
        <w:rPr>
          <w:rtl w:val="0"/>
        </w:rPr>
        <w:t xml:space="preserve">(1), 16-27.</w:t>
      </w:r>
    </w:p>
    <w:p w:rsidR="00000000" w:rsidDel="00000000" w:rsidP="00000000" w:rsidRDefault="00000000" w:rsidRPr="00000000" w14:paraId="000000B0">
      <w:pPr>
        <w:spacing w:after="0" w:line="276" w:lineRule="auto"/>
        <w:ind w:left="0" w:firstLine="720"/>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Bailey, T. L., Boden, M., Buske, F. A., Frith, M., Grant, C. E., Clementi, L., ... &amp; Noble, W. S. (2009). MEME SUITE: tools for motif discovery and searching. Nucleic acids research, 37(suppl_2), W202-W208.</w:t>
      </w:r>
    </w:p>
    <w:p w:rsidR="00000000" w:rsidDel="00000000" w:rsidP="00000000" w:rsidRDefault="00000000" w:rsidRPr="00000000" w14:paraId="000000B2">
      <w:pPr>
        <w:rPr/>
      </w:pPr>
      <w:r w:rsidDel="00000000" w:rsidR="00000000" w:rsidRPr="00000000">
        <w:rPr>
          <w:rtl w:val="0"/>
        </w:rPr>
        <w:t xml:space="preserve">Crooks, G. E., Hon, G., Chandonia, J. M., &amp; Brenner, S. E. (2004). WebLogo: a sequence logo generator. Genome research, 14(6), 1188-1190.</w:t>
      </w:r>
    </w:p>
    <w:p w:rsidR="00000000" w:rsidDel="00000000" w:rsidP="00000000" w:rsidRDefault="00000000" w:rsidRPr="00000000" w14:paraId="000000B3">
      <w:pPr>
        <w:spacing w:after="0" w:line="276" w:lineRule="auto"/>
        <w:ind w:left="0" w:firstLine="0"/>
        <w:rPr/>
      </w:pPr>
      <w:r w:rsidDel="00000000" w:rsidR="00000000" w:rsidRPr="00000000">
        <w:rPr>
          <w:rtl w:val="0"/>
        </w:rPr>
      </w:r>
    </w:p>
    <w:p w:rsidR="00000000" w:rsidDel="00000000" w:rsidP="00000000" w:rsidRDefault="00000000" w:rsidRPr="00000000" w14:paraId="000000B4">
      <w:pPr>
        <w:spacing w:after="0" w:line="276" w:lineRule="auto"/>
        <w:ind w:left="0" w:firstLine="0"/>
        <w:rPr/>
      </w:pPr>
      <w:r w:rsidDel="00000000" w:rsidR="00000000" w:rsidRPr="00000000">
        <w:rPr>
          <w:rtl w:val="0"/>
        </w:rPr>
      </w:r>
    </w:p>
    <w:p w:rsidR="00000000" w:rsidDel="00000000" w:rsidP="00000000" w:rsidRDefault="00000000" w:rsidRPr="00000000" w14:paraId="000000B5">
      <w:pPr>
        <w:spacing w:after="0" w:line="276" w:lineRule="auto"/>
        <w:ind w:left="0" w:firstLine="0"/>
        <w:rPr/>
      </w:pPr>
      <w:r w:rsidDel="00000000" w:rsidR="00000000" w:rsidRPr="00000000">
        <w:rPr>
          <w:rtl w:val="0"/>
        </w:rPr>
      </w:r>
    </w:p>
    <w:p w:rsidR="00000000" w:rsidDel="00000000" w:rsidP="00000000" w:rsidRDefault="00000000" w:rsidRPr="00000000" w14:paraId="000000B6">
      <w:pPr>
        <w:spacing w:after="0" w:line="276" w:lineRule="auto"/>
        <w:ind w:left="0" w:firstLine="0"/>
        <w:rPr/>
      </w:pPr>
      <w:r w:rsidDel="00000000" w:rsidR="00000000" w:rsidRPr="00000000">
        <w:rPr>
          <w:rtl w:val="0"/>
        </w:rPr>
      </w:r>
    </w:p>
    <w:p w:rsidR="00000000" w:rsidDel="00000000" w:rsidP="00000000" w:rsidRDefault="00000000" w:rsidRPr="00000000" w14:paraId="000000B7">
      <w:pPr>
        <w:spacing w:after="0" w:line="276" w:lineRule="auto"/>
        <w:ind w:left="0" w:firstLine="0"/>
        <w:rPr/>
      </w:pPr>
      <w:r w:rsidDel="00000000" w:rsidR="00000000" w:rsidRPr="00000000">
        <w:rPr>
          <w:rtl w:val="0"/>
        </w:rPr>
      </w:r>
    </w:p>
    <w:p w:rsidR="00000000" w:rsidDel="00000000" w:rsidP="00000000" w:rsidRDefault="00000000" w:rsidRPr="00000000" w14:paraId="000000B8">
      <w:pPr>
        <w:spacing w:after="0" w:line="276" w:lineRule="auto"/>
        <w:ind w:left="0" w:firstLine="0"/>
        <w:rPr/>
      </w:pPr>
      <w:r w:rsidDel="00000000" w:rsidR="00000000" w:rsidRPr="00000000">
        <w:rPr>
          <w:rtl w:val="0"/>
        </w:rPr>
      </w:r>
    </w:p>
    <w:p w:rsidR="00000000" w:rsidDel="00000000" w:rsidP="00000000" w:rsidRDefault="00000000" w:rsidRPr="00000000" w14:paraId="000000B9">
      <w:pPr>
        <w:spacing w:after="0" w:line="276" w:lineRule="auto"/>
        <w:ind w:left="0" w:firstLine="0"/>
        <w:rPr/>
      </w:pPr>
      <w:r w:rsidDel="00000000" w:rsidR="00000000" w:rsidRPr="00000000">
        <w:rPr>
          <w:rtl w:val="0"/>
        </w:rPr>
      </w:r>
    </w:p>
    <w:p w:rsidR="00000000" w:rsidDel="00000000" w:rsidP="00000000" w:rsidRDefault="00000000" w:rsidRPr="00000000" w14:paraId="000000BA">
      <w:pPr>
        <w:spacing w:after="0" w:line="276" w:lineRule="auto"/>
        <w:ind w:left="0" w:firstLine="0"/>
        <w:rPr/>
      </w:pPr>
      <w:r w:rsidDel="00000000" w:rsidR="00000000" w:rsidRPr="00000000">
        <w:rPr>
          <w:rtl w:val="0"/>
        </w:rPr>
      </w:r>
    </w:p>
    <w:p w:rsidR="00000000" w:rsidDel="00000000" w:rsidP="00000000" w:rsidRDefault="00000000" w:rsidRPr="00000000" w14:paraId="000000BB">
      <w:pPr>
        <w:spacing w:after="0" w:line="276" w:lineRule="auto"/>
        <w:ind w:left="0" w:firstLine="0"/>
        <w:rPr/>
      </w:pPr>
      <w:r w:rsidDel="00000000" w:rsidR="00000000" w:rsidRPr="00000000">
        <w:rPr>
          <w:rtl w:val="0"/>
        </w:rPr>
      </w:r>
    </w:p>
    <w:p w:rsidR="00000000" w:rsidDel="00000000" w:rsidP="00000000" w:rsidRDefault="00000000" w:rsidRPr="00000000" w14:paraId="000000BC">
      <w:pPr>
        <w:spacing w:after="0" w:line="276" w:lineRule="auto"/>
        <w:ind w:left="0" w:firstLine="0"/>
        <w:rPr/>
      </w:pPr>
      <w:r w:rsidDel="00000000" w:rsidR="00000000" w:rsidRPr="00000000">
        <w:rPr>
          <w:rtl w:val="0"/>
        </w:rPr>
      </w:r>
    </w:p>
    <w:p w:rsidR="00000000" w:rsidDel="00000000" w:rsidP="00000000" w:rsidRDefault="00000000" w:rsidRPr="00000000" w14:paraId="000000BD">
      <w:pPr>
        <w:spacing w:after="0" w:line="276" w:lineRule="auto"/>
        <w:ind w:left="0" w:firstLine="0"/>
        <w:rPr/>
      </w:pPr>
      <w:r w:rsidDel="00000000" w:rsidR="00000000" w:rsidRPr="00000000">
        <w:rPr>
          <w:rtl w:val="0"/>
        </w:rPr>
      </w:r>
    </w:p>
    <w:p w:rsidR="00000000" w:rsidDel="00000000" w:rsidP="00000000" w:rsidRDefault="00000000" w:rsidRPr="00000000" w14:paraId="000000BE">
      <w:pPr>
        <w:spacing w:after="0" w:line="276" w:lineRule="auto"/>
        <w:ind w:left="0" w:firstLine="0"/>
        <w:rPr/>
      </w:pPr>
      <w:r w:rsidDel="00000000" w:rsidR="00000000" w:rsidRPr="00000000">
        <w:rPr>
          <w:rtl w:val="0"/>
        </w:rPr>
      </w:r>
    </w:p>
    <w:p w:rsidR="00000000" w:rsidDel="00000000" w:rsidP="00000000" w:rsidRDefault="00000000" w:rsidRPr="00000000" w14:paraId="000000BF">
      <w:pPr>
        <w:spacing w:after="0" w:line="276" w:lineRule="auto"/>
        <w:ind w:left="0" w:firstLine="0"/>
        <w:rPr/>
      </w:pPr>
      <w:r w:rsidDel="00000000" w:rsidR="00000000" w:rsidRPr="00000000">
        <w:rPr>
          <w:rtl w:val="0"/>
        </w:rPr>
      </w:r>
    </w:p>
    <w:p w:rsidR="00000000" w:rsidDel="00000000" w:rsidP="00000000" w:rsidRDefault="00000000" w:rsidRPr="00000000" w14:paraId="000000C0">
      <w:pPr>
        <w:spacing w:after="0" w:line="276" w:lineRule="auto"/>
        <w:ind w:left="0" w:firstLine="0"/>
        <w:rPr/>
      </w:pPr>
      <w:r w:rsidDel="00000000" w:rsidR="00000000" w:rsidRPr="00000000">
        <w:rPr>
          <w:rtl w:val="0"/>
        </w:rPr>
      </w:r>
    </w:p>
    <w:p w:rsidR="00000000" w:rsidDel="00000000" w:rsidP="00000000" w:rsidRDefault="00000000" w:rsidRPr="00000000" w14:paraId="000000C1">
      <w:pPr>
        <w:spacing w:after="0" w:line="276" w:lineRule="auto"/>
        <w:ind w:left="0" w:firstLine="0"/>
        <w:rPr/>
      </w:pPr>
      <w:r w:rsidDel="00000000" w:rsidR="00000000" w:rsidRPr="00000000">
        <w:rPr>
          <w:rtl w:val="0"/>
        </w:rPr>
      </w:r>
    </w:p>
    <w:p w:rsidR="00000000" w:rsidDel="00000000" w:rsidP="00000000" w:rsidRDefault="00000000" w:rsidRPr="00000000" w14:paraId="000000C2">
      <w:pPr>
        <w:spacing w:after="0" w:line="276" w:lineRule="auto"/>
        <w:ind w:left="0" w:firstLine="0"/>
        <w:rPr/>
      </w:pPr>
      <w:r w:rsidDel="00000000" w:rsidR="00000000" w:rsidRPr="00000000">
        <w:rPr>
          <w:rtl w:val="0"/>
        </w:rPr>
      </w:r>
    </w:p>
    <w:p w:rsidR="00000000" w:rsidDel="00000000" w:rsidP="00000000" w:rsidRDefault="00000000" w:rsidRPr="00000000" w14:paraId="000000C3">
      <w:pPr>
        <w:spacing w:after="0" w:line="276" w:lineRule="auto"/>
        <w:ind w:left="0" w:firstLine="0"/>
        <w:rPr/>
      </w:pPr>
      <w:r w:rsidDel="00000000" w:rsidR="00000000" w:rsidRPr="00000000">
        <w:rPr>
          <w:rtl w:val="0"/>
        </w:rPr>
      </w:r>
    </w:p>
    <w:p w:rsidR="00000000" w:rsidDel="00000000" w:rsidP="00000000" w:rsidRDefault="00000000" w:rsidRPr="00000000" w14:paraId="000000C4">
      <w:pPr>
        <w:spacing w:after="0" w:line="276" w:lineRule="auto"/>
        <w:ind w:left="0" w:firstLine="0"/>
        <w:rPr/>
      </w:pPr>
      <w:r w:rsidDel="00000000" w:rsidR="00000000" w:rsidRPr="00000000">
        <w:rPr>
          <w:rtl w:val="0"/>
        </w:rPr>
      </w:r>
    </w:p>
    <w:p w:rsidR="00000000" w:rsidDel="00000000" w:rsidP="00000000" w:rsidRDefault="00000000" w:rsidRPr="00000000" w14:paraId="000000C5">
      <w:pPr>
        <w:spacing w:after="0" w:line="276" w:lineRule="auto"/>
        <w:ind w:left="0" w:firstLine="0"/>
        <w:rPr/>
      </w:pPr>
      <w:r w:rsidDel="00000000" w:rsidR="00000000" w:rsidRPr="00000000">
        <w:rPr>
          <w:rtl w:val="0"/>
        </w:rPr>
      </w:r>
    </w:p>
    <w:p w:rsidR="00000000" w:rsidDel="00000000" w:rsidP="00000000" w:rsidRDefault="00000000" w:rsidRPr="00000000" w14:paraId="000000C6">
      <w:pPr>
        <w:spacing w:after="0" w:line="276" w:lineRule="auto"/>
        <w:ind w:left="0" w:firstLine="0"/>
        <w:rPr/>
      </w:pPr>
      <w:r w:rsidDel="00000000" w:rsidR="00000000" w:rsidRPr="00000000">
        <w:rPr>
          <w:rtl w:val="0"/>
        </w:rPr>
      </w:r>
    </w:p>
    <w:p w:rsidR="00000000" w:rsidDel="00000000" w:rsidP="00000000" w:rsidRDefault="00000000" w:rsidRPr="00000000" w14:paraId="000000C7">
      <w:pPr>
        <w:spacing w:after="0" w:line="276" w:lineRule="auto"/>
        <w:ind w:left="0" w:firstLine="0"/>
        <w:rPr/>
      </w:pPr>
      <w:r w:rsidDel="00000000" w:rsidR="00000000" w:rsidRPr="00000000">
        <w:rPr>
          <w:rtl w:val="0"/>
        </w:rPr>
      </w:r>
    </w:p>
    <w:p w:rsidR="00000000" w:rsidDel="00000000" w:rsidP="00000000" w:rsidRDefault="00000000" w:rsidRPr="00000000" w14:paraId="000000C8">
      <w:pPr>
        <w:spacing w:after="0" w:line="276" w:lineRule="auto"/>
        <w:ind w:left="0" w:firstLine="0"/>
        <w:rPr/>
      </w:pPr>
      <w:r w:rsidDel="00000000" w:rsidR="00000000" w:rsidRPr="00000000">
        <w:rPr>
          <w:rtl w:val="0"/>
        </w:rPr>
      </w:r>
    </w:p>
    <w:p w:rsidR="00000000" w:rsidDel="00000000" w:rsidP="00000000" w:rsidRDefault="00000000" w:rsidRPr="00000000" w14:paraId="000000C9">
      <w:pPr>
        <w:spacing w:after="0" w:line="276" w:lineRule="auto"/>
        <w:ind w:left="0" w:firstLine="0"/>
        <w:rPr/>
      </w:pPr>
      <w:r w:rsidDel="00000000" w:rsidR="00000000" w:rsidRPr="00000000">
        <w:rPr>
          <w:rtl w:val="0"/>
        </w:rPr>
      </w:r>
    </w:p>
    <w:p w:rsidR="00000000" w:rsidDel="00000000" w:rsidP="00000000" w:rsidRDefault="00000000" w:rsidRPr="00000000" w14:paraId="000000CA">
      <w:pPr>
        <w:spacing w:after="0" w:line="276" w:lineRule="auto"/>
        <w:ind w:left="0" w:firstLine="0"/>
        <w:rPr/>
      </w:pPr>
      <w:r w:rsidDel="00000000" w:rsidR="00000000" w:rsidRPr="00000000">
        <w:rPr>
          <w:rtl w:val="0"/>
        </w:rPr>
      </w:r>
    </w:p>
    <w:p w:rsidR="00000000" w:rsidDel="00000000" w:rsidP="00000000" w:rsidRDefault="00000000" w:rsidRPr="00000000" w14:paraId="000000CB">
      <w:pPr>
        <w:spacing w:after="0" w:line="276" w:lineRule="auto"/>
        <w:ind w:left="0" w:firstLine="0"/>
        <w:rPr/>
      </w:pPr>
      <w:r w:rsidDel="00000000" w:rsidR="00000000" w:rsidRPr="00000000">
        <w:rPr>
          <w:rtl w:val="0"/>
        </w:rPr>
      </w:r>
    </w:p>
    <w:p w:rsidR="00000000" w:rsidDel="00000000" w:rsidP="00000000" w:rsidRDefault="00000000" w:rsidRPr="00000000" w14:paraId="000000CC">
      <w:pPr>
        <w:spacing w:after="0" w:line="276" w:lineRule="auto"/>
        <w:ind w:left="0" w:firstLine="0"/>
        <w:rPr/>
      </w:pPr>
      <w:r w:rsidDel="00000000" w:rsidR="00000000" w:rsidRPr="00000000">
        <w:rPr>
          <w:rtl w:val="0"/>
        </w:rPr>
      </w:r>
    </w:p>
    <w:p w:rsidR="00000000" w:rsidDel="00000000" w:rsidP="00000000" w:rsidRDefault="00000000" w:rsidRPr="00000000" w14:paraId="000000CD">
      <w:pPr>
        <w:spacing w:after="0" w:line="276" w:lineRule="auto"/>
        <w:ind w:left="0" w:firstLine="0"/>
        <w:rPr/>
      </w:pPr>
      <w:r w:rsidDel="00000000" w:rsidR="00000000" w:rsidRPr="00000000">
        <w:rPr>
          <w:rtl w:val="0"/>
        </w:rPr>
      </w:r>
    </w:p>
    <w:p w:rsidR="00000000" w:rsidDel="00000000" w:rsidP="00000000" w:rsidRDefault="00000000" w:rsidRPr="00000000" w14:paraId="000000CE">
      <w:pPr>
        <w:spacing w:after="0" w:line="276" w:lineRule="auto"/>
        <w:ind w:left="0" w:firstLine="0"/>
        <w:rPr/>
      </w:pPr>
      <w:r w:rsidDel="00000000" w:rsidR="00000000" w:rsidRPr="00000000">
        <w:rPr>
          <w:rtl w:val="0"/>
        </w:rPr>
      </w:r>
    </w:p>
    <w:p w:rsidR="00000000" w:rsidDel="00000000" w:rsidP="00000000" w:rsidRDefault="00000000" w:rsidRPr="00000000" w14:paraId="000000CF">
      <w:pPr>
        <w:spacing w:after="0" w:line="276" w:lineRule="auto"/>
        <w:ind w:left="0" w:firstLine="0"/>
        <w:rPr/>
      </w:pPr>
      <w:r w:rsidDel="00000000" w:rsidR="00000000" w:rsidRPr="00000000">
        <w:rPr>
          <w:b w:val="1"/>
          <w:sz w:val="48"/>
          <w:szCs w:val="48"/>
          <w:rtl w:val="0"/>
        </w:rPr>
        <w:t xml:space="preserve">Appendix</w:t>
      </w:r>
      <w:r w:rsidDel="00000000" w:rsidR="00000000" w:rsidRPr="00000000">
        <w:rPr>
          <w:rtl w:val="0"/>
        </w:rPr>
      </w:r>
    </w:p>
    <w:p w:rsidR="00000000" w:rsidDel="00000000" w:rsidP="00000000" w:rsidRDefault="00000000" w:rsidRPr="00000000" w14:paraId="000000D0">
      <w:pPr>
        <w:spacing w:after="0" w:line="276" w:lineRule="auto"/>
        <w:ind w:left="0" w:firstLine="0"/>
        <w:rPr>
          <w:b w:val="1"/>
        </w:rPr>
      </w:pPr>
      <w:r w:rsidDel="00000000" w:rsidR="00000000" w:rsidRPr="00000000">
        <w:rPr>
          <w:b w:val="1"/>
          <w:rtl w:val="0"/>
        </w:rPr>
        <w:t xml:space="preserve">KNOWN ORICS</w:t>
      </w:r>
    </w:p>
    <w:p w:rsidR="00000000" w:rsidDel="00000000" w:rsidP="00000000" w:rsidRDefault="00000000" w:rsidRPr="00000000" w14:paraId="000000D1">
      <w:pPr>
        <w:spacing w:after="0" w:line="276" w:lineRule="auto"/>
        <w:ind w:left="0" w:firstLine="0"/>
        <w:rPr/>
      </w:pPr>
      <w:r w:rsidDel="00000000" w:rsidR="00000000" w:rsidRPr="00000000">
        <w:rPr>
          <w:rtl w:val="0"/>
        </w:rPr>
        <w:t xml:space="preserve">NC_000913.3, Escherichia coli str. K-12 substr. MG1655 </w:t>
      </w:r>
    </w:p>
    <w:p w:rsidR="00000000" w:rsidDel="00000000" w:rsidP="00000000" w:rsidRDefault="00000000" w:rsidRPr="00000000" w14:paraId="000000D2">
      <w:pPr>
        <w:spacing w:after="0" w:line="276" w:lineRule="auto"/>
        <w:ind w:left="0" w:firstLine="0"/>
        <w:rPr/>
      </w:pPr>
      <w:r w:rsidDel="00000000" w:rsidR="00000000" w:rsidRPr="00000000">
        <w:rPr>
          <w:rtl w:val="0"/>
        </w:rPr>
        <w:t xml:space="preserve">NC_003047.1, Sinorhizobium meliloti 1021 chromosome </w:t>
      </w:r>
    </w:p>
    <w:p w:rsidR="00000000" w:rsidDel="00000000" w:rsidP="00000000" w:rsidRDefault="00000000" w:rsidRPr="00000000" w14:paraId="000000D3">
      <w:pPr>
        <w:spacing w:after="0" w:line="276" w:lineRule="auto"/>
        <w:ind w:left="0" w:firstLine="0"/>
        <w:rPr/>
      </w:pPr>
      <w:r w:rsidDel="00000000" w:rsidR="00000000" w:rsidRPr="00000000">
        <w:rPr>
          <w:rtl w:val="0"/>
        </w:rPr>
        <w:t xml:space="preserve">NC_000117.1, Chlamydia trachomatis D/UW-3/CX chromosome</w:t>
      </w:r>
    </w:p>
    <w:p w:rsidR="00000000" w:rsidDel="00000000" w:rsidP="00000000" w:rsidRDefault="00000000" w:rsidRPr="00000000" w14:paraId="000000D4">
      <w:pPr>
        <w:spacing w:after="0" w:line="276" w:lineRule="auto"/>
        <w:ind w:left="0" w:firstLine="0"/>
        <w:rPr/>
      </w:pPr>
      <w:r w:rsidDel="00000000" w:rsidR="00000000" w:rsidRPr="00000000">
        <w:rPr>
          <w:rtl w:val="0"/>
        </w:rPr>
      </w:r>
    </w:p>
    <w:p w:rsidR="00000000" w:rsidDel="00000000" w:rsidP="00000000" w:rsidRDefault="00000000" w:rsidRPr="00000000" w14:paraId="000000D5">
      <w:pPr>
        <w:spacing w:after="0" w:line="276" w:lineRule="auto"/>
        <w:ind w:left="0" w:firstLine="0"/>
        <w:rPr>
          <w:b w:val="1"/>
        </w:rPr>
      </w:pPr>
      <w:r w:rsidDel="00000000" w:rsidR="00000000" w:rsidRPr="00000000">
        <w:rPr>
          <w:b w:val="1"/>
          <w:rtl w:val="0"/>
        </w:rPr>
        <w:t xml:space="preserve">FAMILIES</w:t>
      </w:r>
    </w:p>
    <w:p w:rsidR="00000000" w:rsidDel="00000000" w:rsidP="00000000" w:rsidRDefault="00000000" w:rsidRPr="00000000" w14:paraId="000000D6">
      <w:pPr>
        <w:spacing w:after="0" w:line="276" w:lineRule="auto"/>
        <w:ind w:left="0" w:firstLine="0"/>
        <w:rPr/>
      </w:pPr>
      <w:r w:rsidDel="00000000" w:rsidR="00000000" w:rsidRPr="00000000">
        <w:rPr>
          <w:rtl w:val="0"/>
        </w:rPr>
        <w:t xml:space="preserve">Enterobacteriaceae:</w:t>
      </w:r>
    </w:p>
    <w:p w:rsidR="00000000" w:rsidDel="00000000" w:rsidP="00000000" w:rsidRDefault="00000000" w:rsidRPr="00000000" w14:paraId="000000D7">
      <w:pPr>
        <w:spacing w:after="0" w:line="276" w:lineRule="auto"/>
        <w:ind w:left="0" w:firstLine="0"/>
        <w:rPr/>
      </w:pPr>
      <w:r w:rsidDel="00000000" w:rsidR="00000000" w:rsidRPr="00000000">
        <w:rPr>
          <w:rtl w:val="0"/>
        </w:rPr>
        <w:t xml:space="preserve">NC_000913.3 Escherichia coli str. K-12 substr. MG1655 </w:t>
      </w:r>
    </w:p>
    <w:p w:rsidR="00000000" w:rsidDel="00000000" w:rsidP="00000000" w:rsidRDefault="00000000" w:rsidRPr="00000000" w14:paraId="000000D8">
      <w:pPr>
        <w:spacing w:after="0" w:line="276" w:lineRule="auto"/>
        <w:ind w:left="0" w:firstLine="0"/>
        <w:rPr/>
      </w:pPr>
      <w:r w:rsidDel="00000000" w:rsidR="00000000" w:rsidRPr="00000000">
        <w:rPr>
          <w:rtl w:val="0"/>
        </w:rPr>
        <w:t xml:space="preserve">NC_002695.2 Escherichia coli O157:H7 str. Sakai DNA </w:t>
      </w:r>
    </w:p>
    <w:p w:rsidR="00000000" w:rsidDel="00000000" w:rsidP="00000000" w:rsidRDefault="00000000" w:rsidRPr="00000000" w14:paraId="000000D9">
      <w:pPr>
        <w:spacing w:after="0" w:line="276" w:lineRule="auto"/>
        <w:ind w:left="0" w:firstLine="0"/>
        <w:rPr/>
      </w:pPr>
      <w:r w:rsidDel="00000000" w:rsidR="00000000" w:rsidRPr="00000000">
        <w:rPr>
          <w:rtl w:val="0"/>
        </w:rPr>
        <w:t xml:space="preserve">NC_011750.1 Escherichia coli IAI39 chromosome </w:t>
      </w:r>
    </w:p>
    <w:p w:rsidR="00000000" w:rsidDel="00000000" w:rsidP="00000000" w:rsidRDefault="00000000" w:rsidRPr="00000000" w14:paraId="000000DA">
      <w:pPr>
        <w:spacing w:after="0" w:line="276" w:lineRule="auto"/>
        <w:ind w:left="0" w:firstLine="0"/>
        <w:rPr/>
      </w:pPr>
      <w:r w:rsidDel="00000000" w:rsidR="00000000" w:rsidRPr="00000000">
        <w:rPr>
          <w:rtl w:val="0"/>
        </w:rPr>
        <w:t xml:space="preserve">NC_017634.1 Escherichia coli O83:H1 str. NRG 857C chromosome </w:t>
      </w:r>
    </w:p>
    <w:p w:rsidR="00000000" w:rsidDel="00000000" w:rsidP="00000000" w:rsidRDefault="00000000" w:rsidRPr="00000000" w14:paraId="000000DB">
      <w:pPr>
        <w:spacing w:after="0" w:line="276" w:lineRule="auto"/>
        <w:ind w:left="0" w:firstLine="0"/>
        <w:rPr/>
      </w:pPr>
      <w:r w:rsidDel="00000000" w:rsidR="00000000" w:rsidRPr="00000000">
        <w:rPr>
          <w:rtl w:val="0"/>
        </w:rPr>
        <w:t xml:space="preserve">NC_018658.1 Escherichia coli O104:H4 str. 2011C-3493 chromosome </w:t>
      </w:r>
    </w:p>
    <w:p w:rsidR="00000000" w:rsidDel="00000000" w:rsidP="00000000" w:rsidRDefault="00000000" w:rsidRPr="00000000" w14:paraId="000000DC">
      <w:pPr>
        <w:spacing w:after="0" w:line="276" w:lineRule="auto"/>
        <w:ind w:left="0" w:firstLine="0"/>
        <w:rPr/>
      </w:pPr>
      <w:r w:rsidDel="00000000" w:rsidR="00000000" w:rsidRPr="00000000">
        <w:rPr>
          <w:rtl w:val="0"/>
        </w:rPr>
        <w:t xml:space="preserve">NC_004337.2 Shigella flexneri 2a str. 301 chromosome </w:t>
      </w:r>
    </w:p>
    <w:p w:rsidR="00000000" w:rsidDel="00000000" w:rsidP="00000000" w:rsidRDefault="00000000" w:rsidRPr="00000000" w14:paraId="000000DD">
      <w:pPr>
        <w:spacing w:after="0" w:line="276" w:lineRule="auto"/>
        <w:ind w:left="0" w:firstLine="0"/>
        <w:rPr/>
      </w:pPr>
      <w:r w:rsidDel="00000000" w:rsidR="00000000" w:rsidRPr="00000000">
        <w:rPr>
          <w:rtl w:val="0"/>
        </w:rPr>
        <w:t xml:space="preserve">NC_007606.1 Shigella dysenteriae Sd197 chromosome </w:t>
      </w:r>
    </w:p>
    <w:p w:rsidR="00000000" w:rsidDel="00000000" w:rsidP="00000000" w:rsidRDefault="00000000" w:rsidRPr="00000000" w14:paraId="000000DE">
      <w:pPr>
        <w:spacing w:after="0" w:line="276" w:lineRule="auto"/>
        <w:ind w:left="0" w:firstLine="0"/>
        <w:rPr/>
      </w:pPr>
      <w:r w:rsidDel="00000000" w:rsidR="00000000" w:rsidRPr="00000000">
        <w:rPr>
          <w:rtl w:val="0"/>
        </w:rPr>
        <w:t xml:space="preserve">NC_003197.2 Salmonella enterica subsp. enterica serovar Typhimurium str. LT2 NC_003198.1 Salmonella enterica subsp. enterica serovar Typhi str. CT18 </w:t>
      </w:r>
    </w:p>
    <w:p w:rsidR="00000000" w:rsidDel="00000000" w:rsidP="00000000" w:rsidRDefault="00000000" w:rsidRPr="00000000" w14:paraId="000000DF">
      <w:pPr>
        <w:spacing w:after="0" w:line="276" w:lineRule="auto"/>
        <w:ind w:left="0" w:firstLine="0"/>
        <w:rPr/>
      </w:pPr>
      <w:r w:rsidDel="00000000" w:rsidR="00000000" w:rsidRPr="00000000">
        <w:rPr>
          <w:rtl w:val="0"/>
        </w:rPr>
        <w:t xml:space="preserve">NC_014121.1 Enterobacter cloacae subsp. cloacae ATCC 13047 chromosome NC_015663.1 Enterobacter aerogenes KCTC 2190 chromosome </w:t>
      </w:r>
    </w:p>
    <w:p w:rsidR="00000000" w:rsidDel="00000000" w:rsidP="00000000" w:rsidRDefault="00000000" w:rsidRPr="00000000" w14:paraId="000000E0">
      <w:pPr>
        <w:spacing w:after="0" w:line="276" w:lineRule="auto"/>
        <w:ind w:left="0" w:firstLine="0"/>
        <w:rPr/>
      </w:pPr>
      <w:r w:rsidDel="00000000" w:rsidR="00000000" w:rsidRPr="00000000">
        <w:rPr>
          <w:rtl w:val="0"/>
        </w:rPr>
        <w:t xml:space="preserve">NC_016845.1 Klebsiella pneumoniae subsp. pneumoniae HS11286 chromosome</w:t>
      </w:r>
    </w:p>
    <w:p w:rsidR="00000000" w:rsidDel="00000000" w:rsidP="00000000" w:rsidRDefault="00000000" w:rsidRPr="00000000" w14:paraId="000000E1">
      <w:pPr>
        <w:spacing w:after="0" w:line="276" w:lineRule="auto"/>
        <w:ind w:left="0" w:firstLine="0"/>
        <w:rPr/>
      </w:pPr>
      <w:r w:rsidDel="00000000" w:rsidR="00000000" w:rsidRPr="00000000">
        <w:rPr>
          <w:rtl w:val="0"/>
        </w:rPr>
      </w:r>
    </w:p>
    <w:p w:rsidR="00000000" w:rsidDel="00000000" w:rsidP="00000000" w:rsidRDefault="00000000" w:rsidRPr="00000000" w14:paraId="000000E2">
      <w:pPr>
        <w:spacing w:after="0" w:line="276" w:lineRule="auto"/>
        <w:ind w:left="0" w:firstLine="0"/>
        <w:rPr/>
      </w:pPr>
      <w:r w:rsidDel="00000000" w:rsidR="00000000" w:rsidRPr="00000000">
        <w:rPr>
          <w:rtl w:val="0"/>
        </w:rPr>
        <w:t xml:space="preserve">Vibrionaceae:</w:t>
      </w:r>
    </w:p>
    <w:p w:rsidR="00000000" w:rsidDel="00000000" w:rsidP="00000000" w:rsidRDefault="00000000" w:rsidRPr="00000000" w14:paraId="000000E3">
      <w:pPr>
        <w:spacing w:after="0" w:line="276" w:lineRule="auto"/>
        <w:ind w:left="0" w:firstLine="0"/>
        <w:rPr>
          <w:strike w:val="1"/>
        </w:rPr>
      </w:pPr>
      <w:r w:rsidDel="00000000" w:rsidR="00000000" w:rsidRPr="00000000">
        <w:rPr>
          <w:rtl w:val="0"/>
        </w:rPr>
        <w:t xml:space="preserve">NC_002505.1 Vibrio cholerae O1 biovar El Tor str. N16961 chromosome I </w:t>
      </w:r>
      <w:r w:rsidDel="00000000" w:rsidR="00000000" w:rsidRPr="00000000">
        <w:rPr>
          <w:rtl w:val="0"/>
        </w:rPr>
      </w:r>
    </w:p>
    <w:p w:rsidR="00000000" w:rsidDel="00000000" w:rsidP="00000000" w:rsidRDefault="00000000" w:rsidRPr="00000000" w14:paraId="000000E4">
      <w:pPr>
        <w:spacing w:after="0" w:line="276" w:lineRule="auto"/>
        <w:ind w:left="0" w:firstLine="0"/>
        <w:rPr/>
      </w:pPr>
      <w:r w:rsidDel="00000000" w:rsidR="00000000" w:rsidRPr="00000000">
        <w:rPr>
          <w:rtl w:val="0"/>
        </w:rPr>
        <w:t xml:space="preserve">NC_004603.1 Vibrio parahaemolyticus RIMD 2210633 chromosome 1</w:t>
      </w:r>
    </w:p>
    <w:p w:rsidR="00000000" w:rsidDel="00000000" w:rsidP="00000000" w:rsidRDefault="00000000" w:rsidRPr="00000000" w14:paraId="000000E5">
      <w:pPr>
        <w:spacing w:after="0" w:line="276" w:lineRule="auto"/>
        <w:ind w:left="0" w:firstLine="0"/>
        <w:rPr/>
      </w:pPr>
      <w:r w:rsidDel="00000000" w:rsidR="00000000" w:rsidRPr="00000000">
        <w:rPr>
          <w:rtl w:val="0"/>
        </w:rPr>
      </w:r>
    </w:p>
    <w:p w:rsidR="00000000" w:rsidDel="00000000" w:rsidP="00000000" w:rsidRDefault="00000000" w:rsidRPr="00000000" w14:paraId="000000E6">
      <w:pPr>
        <w:spacing w:after="0" w:line="276" w:lineRule="auto"/>
        <w:ind w:left="0" w:firstLine="0"/>
        <w:rPr/>
      </w:pPr>
      <w:r w:rsidDel="00000000" w:rsidR="00000000" w:rsidRPr="00000000">
        <w:rPr>
          <w:rtl w:val="0"/>
        </w:rPr>
      </w:r>
    </w:p>
    <w:p w:rsidR="00000000" w:rsidDel="00000000" w:rsidP="00000000" w:rsidRDefault="00000000" w:rsidRPr="00000000" w14:paraId="000000E7">
      <w:pPr>
        <w:spacing w:after="0" w:line="276" w:lineRule="auto"/>
        <w:ind w:left="0" w:firstLine="0"/>
        <w:rPr>
          <w:b w:val="1"/>
        </w:rPr>
      </w:pPr>
      <w:r w:rsidDel="00000000" w:rsidR="00000000" w:rsidRPr="00000000">
        <w:rPr>
          <w:b w:val="1"/>
          <w:rtl w:val="0"/>
        </w:rPr>
        <w:t xml:space="preserve">TEST GENOMES</w:t>
      </w:r>
    </w:p>
    <w:p w:rsidR="00000000" w:rsidDel="00000000" w:rsidP="00000000" w:rsidRDefault="00000000" w:rsidRPr="00000000" w14:paraId="000000E8">
      <w:pPr>
        <w:spacing w:after="0" w:line="276" w:lineRule="auto"/>
        <w:ind w:left="0" w:firstLine="0"/>
        <w:rPr/>
      </w:pPr>
      <w:r w:rsidDel="00000000" w:rsidR="00000000" w:rsidRPr="00000000">
        <w:rPr>
          <w:rtl w:val="0"/>
        </w:rPr>
        <w:t xml:space="preserve">Escherichia coli:</w:t>
      </w:r>
    </w:p>
    <w:p w:rsidR="00000000" w:rsidDel="00000000" w:rsidP="00000000" w:rsidRDefault="00000000" w:rsidRPr="00000000" w14:paraId="000000E9">
      <w:pPr>
        <w:spacing w:after="0" w:line="276" w:lineRule="auto"/>
        <w:ind w:left="0" w:firstLine="0"/>
        <w:rPr/>
      </w:pPr>
      <w:r w:rsidDel="00000000" w:rsidR="00000000" w:rsidRPr="00000000">
        <w:rPr>
          <w:rtl w:val="0"/>
        </w:rPr>
        <w:t xml:space="preserve">NC_000913.3 Escherichia coli str. K-12 substr. MG1655, complete genome </w:t>
      </w:r>
    </w:p>
    <w:p w:rsidR="00000000" w:rsidDel="00000000" w:rsidP="00000000" w:rsidRDefault="00000000" w:rsidRPr="00000000" w14:paraId="000000EA">
      <w:pPr>
        <w:spacing w:after="0" w:line="276" w:lineRule="auto"/>
        <w:ind w:left="0" w:firstLine="0"/>
        <w:rPr/>
      </w:pPr>
      <w:r w:rsidDel="00000000" w:rsidR="00000000" w:rsidRPr="00000000">
        <w:rPr>
          <w:rtl w:val="0"/>
        </w:rPr>
        <w:t xml:space="preserve">NC_011750.1 Escherichia coli IAI39 chromosome, complete genome </w:t>
      </w:r>
    </w:p>
    <w:p w:rsidR="00000000" w:rsidDel="00000000" w:rsidP="00000000" w:rsidRDefault="00000000" w:rsidRPr="00000000" w14:paraId="000000EB">
      <w:pPr>
        <w:spacing w:after="0" w:line="276" w:lineRule="auto"/>
        <w:ind w:left="0" w:firstLine="0"/>
        <w:rPr/>
      </w:pPr>
      <w:r w:rsidDel="00000000" w:rsidR="00000000" w:rsidRPr="00000000">
        <w:rPr>
          <w:rtl w:val="0"/>
        </w:rPr>
        <w:t xml:space="preserve">NC_017634.1 Escherichia coli O83:H1 str. NRG 857C chromosome, complete genome NC_018658.1 Escherichia coli O104:H4 str. 2011C-3493 chromosome, complete genome NC_002695.2 Escherichia coli O157:H7 str. Sakai DNA, complete genome </w:t>
      </w:r>
    </w:p>
    <w:p w:rsidR="00000000" w:rsidDel="00000000" w:rsidP="00000000" w:rsidRDefault="00000000" w:rsidRPr="00000000" w14:paraId="000000EC">
      <w:pPr>
        <w:spacing w:after="0" w:line="276" w:lineRule="auto"/>
        <w:ind w:left="0" w:firstLine="0"/>
        <w:rPr/>
      </w:pPr>
      <w:r w:rsidDel="00000000" w:rsidR="00000000" w:rsidRPr="00000000">
        <w:rPr>
          <w:rtl w:val="0"/>
        </w:rPr>
        <w:t xml:space="preserve">NC_004431.1 Escherichia coli CFT073, complete genome </w:t>
      </w:r>
    </w:p>
    <w:p w:rsidR="00000000" w:rsidDel="00000000" w:rsidP="00000000" w:rsidRDefault="00000000" w:rsidRPr="00000000" w14:paraId="000000ED">
      <w:pPr>
        <w:spacing w:after="0" w:line="276" w:lineRule="auto"/>
        <w:ind w:left="0" w:firstLine="0"/>
        <w:rPr/>
      </w:pPr>
      <w:r w:rsidDel="00000000" w:rsidR="00000000" w:rsidRPr="00000000">
        <w:rPr>
          <w:rtl w:val="0"/>
        </w:rPr>
        <w:t xml:space="preserve">NC_007946.1 Escherichia coli UTI89, complete genome </w:t>
      </w:r>
    </w:p>
    <w:p w:rsidR="00000000" w:rsidDel="00000000" w:rsidP="00000000" w:rsidRDefault="00000000" w:rsidRPr="00000000" w14:paraId="000000EE">
      <w:pPr>
        <w:spacing w:after="0" w:line="276" w:lineRule="auto"/>
        <w:ind w:left="0" w:firstLine="0"/>
        <w:rPr/>
      </w:pPr>
      <w:r w:rsidDel="00000000" w:rsidR="00000000" w:rsidRPr="00000000">
        <w:rPr>
          <w:rtl w:val="0"/>
        </w:rPr>
        <w:t xml:space="preserve">NC_008253.1 Escherichia coli 536, complete genome </w:t>
      </w:r>
    </w:p>
    <w:p w:rsidR="00000000" w:rsidDel="00000000" w:rsidP="00000000" w:rsidRDefault="00000000" w:rsidRPr="00000000" w14:paraId="000000EF">
      <w:pPr>
        <w:spacing w:after="0" w:line="276" w:lineRule="auto"/>
        <w:ind w:left="0" w:firstLine="0"/>
        <w:rPr/>
      </w:pPr>
      <w:r w:rsidDel="00000000" w:rsidR="00000000" w:rsidRPr="00000000">
        <w:rPr>
          <w:rtl w:val="0"/>
        </w:rPr>
        <w:t xml:space="preserve">NC_008563.1 Escherichia coli APEC O1, complete genome </w:t>
      </w:r>
    </w:p>
    <w:p w:rsidR="00000000" w:rsidDel="00000000" w:rsidP="00000000" w:rsidRDefault="00000000" w:rsidRPr="00000000" w14:paraId="000000F0">
      <w:pPr>
        <w:spacing w:after="0" w:line="276" w:lineRule="auto"/>
        <w:ind w:left="0" w:firstLine="0"/>
        <w:rPr/>
      </w:pPr>
      <w:r w:rsidDel="00000000" w:rsidR="00000000" w:rsidRPr="00000000">
        <w:rPr>
          <w:rtl w:val="0"/>
        </w:rPr>
        <w:t xml:space="preserve">NC_009800.1 Escherichia coli HS, complete genome</w:t>
      </w:r>
    </w:p>
    <w:p w:rsidR="00000000" w:rsidDel="00000000" w:rsidP="00000000" w:rsidRDefault="00000000" w:rsidRPr="00000000" w14:paraId="000000F1">
      <w:pPr>
        <w:spacing w:after="0" w:line="276" w:lineRule="auto"/>
        <w:ind w:left="0" w:firstLine="0"/>
        <w:rPr/>
      </w:pPr>
      <w:r w:rsidDel="00000000" w:rsidR="00000000" w:rsidRPr="00000000">
        <w:rPr>
          <w:rtl w:val="0"/>
        </w:rPr>
      </w:r>
    </w:p>
    <w:p w:rsidR="00000000" w:rsidDel="00000000" w:rsidP="00000000" w:rsidRDefault="00000000" w:rsidRPr="00000000" w14:paraId="000000F2">
      <w:pPr>
        <w:spacing w:after="0" w:line="276" w:lineRule="auto"/>
        <w:ind w:left="0" w:firstLine="0"/>
        <w:rPr/>
      </w:pPr>
      <w:r w:rsidDel="00000000" w:rsidR="00000000" w:rsidRPr="00000000">
        <w:rPr>
          <w:rtl w:val="0"/>
        </w:rPr>
      </w:r>
    </w:p>
    <w:p w:rsidR="00000000" w:rsidDel="00000000" w:rsidP="00000000" w:rsidRDefault="00000000" w:rsidRPr="00000000" w14:paraId="000000F3">
      <w:pPr>
        <w:spacing w:after="0" w:line="276" w:lineRule="auto"/>
        <w:ind w:left="0" w:firstLine="0"/>
        <w:rPr/>
      </w:pPr>
      <w:r w:rsidDel="00000000" w:rsidR="00000000" w:rsidRPr="00000000">
        <w:rPr>
          <w:rtl w:val="0"/>
        </w:rPr>
        <w:t xml:space="preserve">Vibrio cholerae:</w:t>
      </w:r>
    </w:p>
    <w:p w:rsidR="00000000" w:rsidDel="00000000" w:rsidP="00000000" w:rsidRDefault="00000000" w:rsidRPr="00000000" w14:paraId="000000F4">
      <w:pPr>
        <w:spacing w:after="0" w:line="276" w:lineRule="auto"/>
        <w:ind w:left="0" w:firstLine="0"/>
        <w:rPr/>
      </w:pPr>
      <w:r w:rsidDel="00000000" w:rsidR="00000000" w:rsidRPr="00000000">
        <w:rPr>
          <w:rtl w:val="0"/>
        </w:rPr>
        <w:t xml:space="preserve">NZ_CP010811 Vibrio cholerae strain 1154-74, complete genome </w:t>
      </w:r>
    </w:p>
    <w:p w:rsidR="00000000" w:rsidDel="00000000" w:rsidP="00000000" w:rsidRDefault="00000000" w:rsidRPr="00000000" w14:paraId="000000F5">
      <w:pPr>
        <w:spacing w:after="0" w:line="276" w:lineRule="auto"/>
        <w:ind w:left="0" w:firstLine="0"/>
        <w:rPr/>
      </w:pPr>
      <w:r w:rsidDel="00000000" w:rsidR="00000000" w:rsidRPr="00000000">
        <w:rPr>
          <w:rtl w:val="0"/>
        </w:rPr>
        <w:t xml:space="preserve">NZ_CP010812 Vibrio cholerae strain 10432-62, complete genome </w:t>
      </w:r>
    </w:p>
    <w:p w:rsidR="00000000" w:rsidDel="00000000" w:rsidP="00000000" w:rsidRDefault="00000000" w:rsidRPr="00000000" w14:paraId="000000F6">
      <w:pPr>
        <w:spacing w:after="0" w:line="276" w:lineRule="auto"/>
        <w:ind w:left="0" w:firstLine="0"/>
        <w:rPr/>
      </w:pPr>
      <w:r w:rsidDel="00000000" w:rsidR="00000000" w:rsidRPr="00000000">
        <w:rPr>
          <w:rtl w:val="0"/>
        </w:rPr>
        <w:t xml:space="preserve">NC_009456.1 Vibrio cholerae O395 chromosome 1 </w:t>
      </w:r>
    </w:p>
    <w:p w:rsidR="00000000" w:rsidDel="00000000" w:rsidP="00000000" w:rsidRDefault="00000000" w:rsidRPr="00000000" w14:paraId="000000F7">
      <w:pPr>
        <w:spacing w:after="0" w:line="276" w:lineRule="auto"/>
        <w:ind w:left="0" w:firstLine="0"/>
        <w:rPr/>
      </w:pPr>
      <w:r w:rsidDel="00000000" w:rsidR="00000000" w:rsidRPr="00000000">
        <w:rPr>
          <w:rtl w:val="0"/>
        </w:rPr>
        <w:t xml:space="preserve">NC_009457.1 Vibrio cholerae O395 chromosome 2 </w:t>
      </w:r>
    </w:p>
    <w:p w:rsidR="00000000" w:rsidDel="00000000" w:rsidP="00000000" w:rsidRDefault="00000000" w:rsidRPr="00000000" w14:paraId="000000F8">
      <w:pPr>
        <w:spacing w:after="0" w:line="276" w:lineRule="auto"/>
        <w:ind w:left="0" w:firstLine="0"/>
        <w:rPr/>
      </w:pPr>
      <w:r w:rsidDel="00000000" w:rsidR="00000000" w:rsidRPr="00000000">
        <w:rPr>
          <w:rtl w:val="0"/>
        </w:rPr>
        <w:t xml:space="preserve">NC_012578.1 Vibrio cholerae M66-2 chromosome 1 </w:t>
      </w:r>
    </w:p>
    <w:p w:rsidR="00000000" w:rsidDel="00000000" w:rsidP="00000000" w:rsidRDefault="00000000" w:rsidRPr="00000000" w14:paraId="000000F9">
      <w:pPr>
        <w:spacing w:after="0" w:line="276" w:lineRule="auto"/>
        <w:ind w:left="0" w:firstLine="0"/>
        <w:rPr/>
      </w:pPr>
      <w:r w:rsidDel="00000000" w:rsidR="00000000" w:rsidRPr="00000000">
        <w:rPr>
          <w:rtl w:val="0"/>
        </w:rPr>
        <w:t xml:space="preserve">NC_012580.1 Vibrio cholerae M66-2 chromosome 2 </w:t>
      </w:r>
    </w:p>
    <w:p w:rsidR="00000000" w:rsidDel="00000000" w:rsidP="00000000" w:rsidRDefault="00000000" w:rsidRPr="00000000" w14:paraId="000000FA">
      <w:pPr>
        <w:spacing w:after="0" w:line="276" w:lineRule="auto"/>
        <w:ind w:left="0" w:firstLine="0"/>
        <w:rPr/>
      </w:pPr>
      <w:r w:rsidDel="00000000" w:rsidR="00000000" w:rsidRPr="00000000">
        <w:rPr>
          <w:rtl w:val="0"/>
        </w:rPr>
        <w:t xml:space="preserve">NC_012668.1 Vibrio cholerae MJ-1236 chromosome 1 </w:t>
      </w:r>
    </w:p>
    <w:p w:rsidR="00000000" w:rsidDel="00000000" w:rsidP="00000000" w:rsidRDefault="00000000" w:rsidRPr="00000000" w14:paraId="000000FB">
      <w:pPr>
        <w:spacing w:after="0" w:line="276" w:lineRule="auto"/>
        <w:ind w:left="0" w:firstLine="0"/>
        <w:rPr/>
      </w:pPr>
      <w:r w:rsidDel="00000000" w:rsidR="00000000" w:rsidRPr="00000000">
        <w:rPr>
          <w:rtl w:val="0"/>
        </w:rPr>
        <w:t xml:space="preserve">NC_012667.1 Vibrio cholerae MJ-1236 chromosome 2 </w:t>
      </w:r>
    </w:p>
    <w:p w:rsidR="00000000" w:rsidDel="00000000" w:rsidP="00000000" w:rsidRDefault="00000000" w:rsidRPr="00000000" w14:paraId="000000FC">
      <w:pPr>
        <w:spacing w:after="0" w:line="276" w:lineRule="auto"/>
        <w:ind w:left="0" w:firstLine="0"/>
        <w:rPr/>
      </w:pPr>
      <w:r w:rsidDel="00000000" w:rsidR="00000000" w:rsidRPr="00000000">
        <w:rPr>
          <w:rtl w:val="0"/>
        </w:rPr>
        <w:t xml:space="preserve">NC_016445.1 Vibrio cholerae O1 str. 2010EL-1786 chromosome chromosome 1 NC_016446.1 Vibrio cholerae O1 str. 2010EL-1786 chromosome chromosome 2</w:t>
      </w:r>
    </w:p>
    <w:p w:rsidR="00000000" w:rsidDel="00000000" w:rsidP="00000000" w:rsidRDefault="00000000" w:rsidRPr="00000000" w14:paraId="000000FD">
      <w:pPr>
        <w:spacing w:after="0" w:line="276" w:lineRule="auto"/>
        <w:ind w:left="0" w:firstLine="0"/>
        <w:rPr/>
      </w:pPr>
      <w:r w:rsidDel="00000000" w:rsidR="00000000" w:rsidRPr="00000000">
        <w:rPr>
          <w:rtl w:val="0"/>
        </w:rPr>
      </w:r>
    </w:p>
    <w:p w:rsidR="00000000" w:rsidDel="00000000" w:rsidP="00000000" w:rsidRDefault="00000000" w:rsidRPr="00000000" w14:paraId="000000FE">
      <w:pPr>
        <w:spacing w:after="0" w:line="276" w:lineRule="auto"/>
        <w:ind w:left="0" w:firstLine="0"/>
        <w:rPr/>
      </w:pPr>
      <w:r w:rsidDel="00000000" w:rsidR="00000000" w:rsidRPr="00000000">
        <w:rPr>
          <w:rtl w:val="0"/>
        </w:rPr>
        <w:t xml:space="preserve">Salmonella enterica:</w:t>
      </w:r>
    </w:p>
    <w:p w:rsidR="00000000" w:rsidDel="00000000" w:rsidP="00000000" w:rsidRDefault="00000000" w:rsidRPr="00000000" w14:paraId="000000FF">
      <w:pPr>
        <w:spacing w:after="0" w:line="276" w:lineRule="auto"/>
        <w:ind w:left="0" w:firstLine="0"/>
        <w:rPr/>
      </w:pPr>
      <w:r w:rsidDel="00000000" w:rsidR="00000000" w:rsidRPr="00000000">
        <w:rPr>
          <w:rtl w:val="0"/>
        </w:rPr>
        <w:t xml:space="preserve">NC_003198.1 Salmonella enterica subsp. enterica serovar Typhi str. CT18 </w:t>
      </w:r>
    </w:p>
    <w:p w:rsidR="00000000" w:rsidDel="00000000" w:rsidP="00000000" w:rsidRDefault="00000000" w:rsidRPr="00000000" w14:paraId="00000100">
      <w:pPr>
        <w:spacing w:after="0" w:line="276" w:lineRule="auto"/>
        <w:ind w:left="0" w:firstLine="0"/>
        <w:rPr/>
      </w:pPr>
      <w:r w:rsidDel="00000000" w:rsidR="00000000" w:rsidRPr="00000000">
        <w:rPr>
          <w:rtl w:val="0"/>
        </w:rPr>
        <w:t xml:space="preserve">NC_006511.1 Salmonella enterica subsp. enterica serovar Paratyphi A str. ATCC 9150 NC_010102.1 Salmonella enterica subsp. enterica serovar Paratyphi B str. SPB7 NC_016854.1 Salmonella enterica subsp. enterica serovar Typhimurium str. D23580 NC_016810.1 Salmonella enterica subsp. enterica serovar Typhimurium str. SL1344 NC_011080.1 Salmonella enterica subsp. enterica serovar Newport str. SL254 </w:t>
      </w:r>
    </w:p>
    <w:p w:rsidR="00000000" w:rsidDel="00000000" w:rsidP="00000000" w:rsidRDefault="00000000" w:rsidRPr="00000000" w14:paraId="00000101">
      <w:pPr>
        <w:spacing w:after="0" w:line="276" w:lineRule="auto"/>
        <w:ind w:left="0" w:firstLine="0"/>
        <w:rPr/>
      </w:pPr>
      <w:r w:rsidDel="00000000" w:rsidR="00000000" w:rsidRPr="00000000">
        <w:rPr>
          <w:rtl w:val="0"/>
        </w:rPr>
        <w:t xml:space="preserve">NC_011083.1 Salmonella enterica subsp. enterica serovar Heidelberg str. SL476 NC_011294.1 Salmonella enterica subsp. enterica serovar Enteritidis str. P125109 NZ_CP007245 Salmonella enterica subsp. enterica serovar Enteritidis str. EC20120008 NZ_CP015574 Salmonella enterica strain FORC_038</w:t>
      </w:r>
    </w:p>
    <w:p w:rsidR="00000000" w:rsidDel="00000000" w:rsidP="00000000" w:rsidRDefault="00000000" w:rsidRPr="00000000" w14:paraId="00000102">
      <w:pPr>
        <w:spacing w:after="0" w:line="276" w:lineRule="auto"/>
        <w:ind w:left="0" w:firstLine="0"/>
        <w:rPr/>
      </w:pPr>
      <w:r w:rsidDel="00000000" w:rsidR="00000000" w:rsidRPr="00000000">
        <w:rPr>
          <w:rtl w:val="0"/>
        </w:rPr>
      </w:r>
    </w:p>
    <w:p w:rsidR="00000000" w:rsidDel="00000000" w:rsidP="00000000" w:rsidRDefault="00000000" w:rsidRPr="00000000" w14:paraId="00000103">
      <w:pPr>
        <w:spacing w:after="0" w:line="276" w:lineRule="auto"/>
        <w:ind w:left="0" w:firstLine="0"/>
        <w:rPr/>
      </w:pPr>
      <w:r w:rsidDel="00000000" w:rsidR="00000000" w:rsidRPr="00000000">
        <w:rPr>
          <w:rtl w:val="0"/>
        </w:rPr>
      </w:r>
    </w:p>
    <w:p w:rsidR="00000000" w:rsidDel="00000000" w:rsidP="00000000" w:rsidRDefault="00000000" w:rsidRPr="00000000" w14:paraId="00000104">
      <w:pPr>
        <w:spacing w:after="0" w:line="276" w:lineRule="auto"/>
        <w:ind w:left="0" w:firstLine="0"/>
        <w:rPr/>
      </w:pPr>
      <w:r w:rsidDel="00000000" w:rsidR="00000000" w:rsidRPr="00000000">
        <w:rPr>
          <w:rtl w:val="0"/>
        </w:rPr>
      </w:r>
    </w:p>
    <w:p w:rsidR="00000000" w:rsidDel="00000000" w:rsidP="00000000" w:rsidRDefault="00000000" w:rsidRPr="00000000" w14:paraId="00000105">
      <w:pPr>
        <w:spacing w:after="0" w:line="276" w:lineRule="auto"/>
        <w:ind w:left="0" w:firstLine="0"/>
        <w:rPr/>
      </w:pPr>
      <w:r w:rsidDel="00000000" w:rsidR="00000000" w:rsidRPr="00000000">
        <w:rPr>
          <w:rtl w:val="0"/>
        </w:rPr>
        <w:t xml:space="preserve">Thermotoga family:</w:t>
      </w:r>
    </w:p>
    <w:p w:rsidR="00000000" w:rsidDel="00000000" w:rsidP="00000000" w:rsidRDefault="00000000" w:rsidRPr="00000000" w14:paraId="00000106">
      <w:pPr>
        <w:spacing w:after="0" w:line="276" w:lineRule="auto"/>
        <w:ind w:left="0" w:firstLine="0"/>
        <w:rPr/>
      </w:pPr>
      <w:r w:rsidDel="00000000" w:rsidR="00000000" w:rsidRPr="00000000">
        <w:rPr>
          <w:rtl w:val="0"/>
        </w:rPr>
        <w:t xml:space="preserve">NC_009486.1 Thermotoga petrophila RKU-1 </w:t>
      </w:r>
    </w:p>
    <w:p w:rsidR="00000000" w:rsidDel="00000000" w:rsidP="00000000" w:rsidRDefault="00000000" w:rsidRPr="00000000" w14:paraId="00000107">
      <w:pPr>
        <w:spacing w:after="0" w:line="276" w:lineRule="auto"/>
        <w:ind w:left="0" w:firstLine="0"/>
        <w:rPr/>
      </w:pPr>
      <w:r w:rsidDel="00000000" w:rsidR="00000000" w:rsidRPr="00000000">
        <w:rPr>
          <w:rtl w:val="0"/>
        </w:rPr>
        <w:t xml:space="preserve">NC_000853.1 Thermotoga maritima MSB8 NC_009828.1 Pseudothermotoga lettingae TMO NC_010483.1 Thermotoga sp. RQ2 </w:t>
      </w:r>
    </w:p>
    <w:p w:rsidR="00000000" w:rsidDel="00000000" w:rsidP="00000000" w:rsidRDefault="00000000" w:rsidRPr="00000000" w14:paraId="00000108">
      <w:pPr>
        <w:spacing w:after="0" w:line="276" w:lineRule="auto"/>
        <w:ind w:left="0" w:firstLine="0"/>
        <w:rPr/>
      </w:pPr>
      <w:r w:rsidDel="00000000" w:rsidR="00000000" w:rsidRPr="00000000">
        <w:rPr>
          <w:rtl w:val="0"/>
        </w:rPr>
        <w:t xml:space="preserve">NC_011978.1 Thermotoga neapolitana DSM 4359 </w:t>
      </w:r>
    </w:p>
    <w:p w:rsidR="00000000" w:rsidDel="00000000" w:rsidP="00000000" w:rsidRDefault="00000000" w:rsidRPr="00000000" w14:paraId="00000109">
      <w:pPr>
        <w:spacing w:after="0" w:line="276" w:lineRule="auto"/>
        <w:ind w:left="0" w:firstLine="0"/>
        <w:rPr/>
      </w:pPr>
      <w:r w:rsidDel="00000000" w:rsidR="00000000" w:rsidRPr="00000000">
        <w:rPr>
          <w:rtl w:val="0"/>
        </w:rPr>
        <w:t xml:space="preserve">NC_013642.1 Thermotoga naphthophila RKU-10 </w:t>
      </w:r>
    </w:p>
    <w:p w:rsidR="00000000" w:rsidDel="00000000" w:rsidP="00000000" w:rsidRDefault="00000000" w:rsidRPr="00000000" w14:paraId="0000010A">
      <w:pPr>
        <w:spacing w:after="0" w:line="276" w:lineRule="auto"/>
        <w:ind w:left="0" w:firstLine="0"/>
        <w:rPr/>
      </w:pPr>
      <w:r w:rsidDel="00000000" w:rsidR="00000000" w:rsidRPr="00000000">
        <w:rPr>
          <w:rtl w:val="0"/>
        </w:rPr>
        <w:t xml:space="preserve">NZ_CP003408 Thermotoga sp. 2812B </w:t>
      </w:r>
    </w:p>
    <w:p w:rsidR="00000000" w:rsidDel="00000000" w:rsidP="00000000" w:rsidRDefault="00000000" w:rsidRPr="00000000" w14:paraId="0000010B">
      <w:pPr>
        <w:spacing w:after="0" w:line="276" w:lineRule="auto"/>
        <w:ind w:left="0" w:firstLine="0"/>
        <w:rPr/>
      </w:pPr>
      <w:r w:rsidDel="00000000" w:rsidR="00000000" w:rsidRPr="00000000">
        <w:rPr>
          <w:rtl w:val="0"/>
        </w:rPr>
        <w:t xml:space="preserve">NZ_CP007633 Thermotoga sp. RQ7 </w:t>
      </w:r>
    </w:p>
    <w:p w:rsidR="00000000" w:rsidDel="00000000" w:rsidP="00000000" w:rsidRDefault="00000000" w:rsidRPr="00000000" w14:paraId="0000010C">
      <w:pPr>
        <w:spacing w:after="0" w:line="276" w:lineRule="auto"/>
        <w:ind w:left="0" w:firstLine="0"/>
        <w:rPr/>
      </w:pPr>
      <w:r w:rsidDel="00000000" w:rsidR="00000000" w:rsidRPr="00000000">
        <w:rPr>
          <w:rtl w:val="0"/>
        </w:rPr>
        <w:t xml:space="preserve">NZ_CP010967 Thermotoga maritima strain Tma200 NZ_CP011108 Thermotoga maritima strain Tma100</w:t>
      </w:r>
    </w:p>
    <w:p w:rsidR="00000000" w:rsidDel="00000000" w:rsidP="00000000" w:rsidRDefault="00000000" w:rsidRPr="00000000" w14:paraId="0000010D">
      <w:pPr>
        <w:spacing w:after="0" w:line="276" w:lineRule="auto"/>
        <w:ind w:left="0" w:firstLine="0"/>
        <w:rPr/>
      </w:pPr>
      <w:r w:rsidDel="00000000" w:rsidR="00000000" w:rsidRPr="00000000">
        <w:rPr>
          <w:rtl w:val="0"/>
        </w:rPr>
      </w:r>
    </w:p>
    <w:p w:rsidR="00000000" w:rsidDel="00000000" w:rsidP="00000000" w:rsidRDefault="00000000" w:rsidRPr="00000000" w14:paraId="0000010E">
      <w:pPr>
        <w:spacing w:after="0" w:line="276" w:lineRule="auto"/>
        <w:ind w:left="0" w:firstLine="0"/>
        <w:rPr/>
      </w:pPr>
      <w:r w:rsidDel="00000000" w:rsidR="00000000" w:rsidRPr="00000000">
        <w:rPr>
          <w:rtl w:val="0"/>
        </w:rPr>
        <w:t xml:space="preserve">Wigglesworthia glossinidia:</w:t>
      </w:r>
    </w:p>
    <w:p w:rsidR="00000000" w:rsidDel="00000000" w:rsidP="00000000" w:rsidRDefault="00000000" w:rsidRPr="00000000" w14:paraId="0000010F">
      <w:pPr>
        <w:spacing w:after="0" w:line="276" w:lineRule="auto"/>
        <w:ind w:left="0" w:firstLine="0"/>
        <w:rPr/>
      </w:pPr>
      <w:r w:rsidDel="00000000" w:rsidR="00000000" w:rsidRPr="00000000">
        <w:rPr>
          <w:rtl w:val="0"/>
        </w:rPr>
        <w:t xml:space="preserve">NC_004344.2 Wigglesworthia glossinidia endosymbiont of Glossina brevipalpis </w:t>
      </w:r>
    </w:p>
    <w:p w:rsidR="00000000" w:rsidDel="00000000" w:rsidP="00000000" w:rsidRDefault="00000000" w:rsidRPr="00000000" w14:paraId="00000110">
      <w:pPr>
        <w:spacing w:after="0" w:line="276" w:lineRule="auto"/>
        <w:ind w:firstLine="426"/>
        <w:rPr/>
      </w:pPr>
      <w:r w:rsidDel="00000000" w:rsidR="00000000" w:rsidRPr="00000000">
        <w:rPr>
          <w:rtl w:val="0"/>
        </w:rPr>
      </w:r>
    </w:p>
    <w:sectPr>
      <w:headerReference r:id="rId11" w:type="default"/>
      <w:footerReference r:id="rId12" w:type="default"/>
      <w:pgSz w:h="16838" w:w="11906"/>
      <w:pgMar w:bottom="1134" w:top="1417" w:left="1417.3228346456694" w:right="1417" w:header="708.6614173228347"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alibri"/>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14: Detection of the Replication Origin in Bacterial Genomes (WS19/20)</w:t>
      <w:br w:type="textWrapping"/>
      <w:t xml:space="preserve">A. Reuß, A. Schuster, K. Maidhof, T. Gresser</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after="1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Listenabsatz">
    <w:name w:val="List Paragraph"/>
    <w:basedOn w:val="Standard"/>
    <w:uiPriority w:val="34"/>
    <w:qFormat w:val="1"/>
    <w:rsid w:val="00D43E5A"/>
    <w:pPr>
      <w:ind w:left="720"/>
      <w:contextualSpacing w:val="1"/>
    </w:pPr>
  </w:style>
  <w:style w:type="character" w:styleId="Platzhaltertext">
    <w:name w:val="Placeholder Text"/>
    <w:basedOn w:val="Absatz-Standardschriftart"/>
    <w:uiPriority w:val="99"/>
    <w:semiHidden w:val="1"/>
    <w:rsid w:val="00250EF2"/>
    <w:rPr>
      <w:color w:val="808080"/>
    </w:rPr>
  </w:style>
  <w:style w:type="paragraph" w:styleId="Kopfzeile">
    <w:name w:val="header"/>
    <w:basedOn w:val="Standard"/>
    <w:link w:val="KopfzeileZchn"/>
    <w:uiPriority w:val="99"/>
    <w:unhideWhenUsed w:val="1"/>
    <w:rsid w:val="003924A3"/>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3924A3"/>
  </w:style>
  <w:style w:type="paragraph" w:styleId="Fuzeile">
    <w:name w:val="footer"/>
    <w:basedOn w:val="Standard"/>
    <w:link w:val="FuzeileZchn"/>
    <w:uiPriority w:val="99"/>
    <w:unhideWhenUsed w:val="1"/>
    <w:rsid w:val="003924A3"/>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3924A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yHKb7bnRCw5chNC0mYfNmSFSsQ==">AMUW2mUBu0enzRPMk73yCOBDX/PIhkPJkQbkRnQ8u1yyNHlJuV34g0XKsN5V5EN/FiwWX4GVowgqgjsDcKkRlPaKtHX8C5AtLT9gcd8VACs0Yl2VErSWQUemEGF6+OUK3xtgzJVyrUHMH8W5rnPL81bxsmtz8R7HlffJGnd94yCoV6n+8Pd4EwT6Zij4fO+NLOw2S6KmyoJlQJVRFo4DyrOc3U56cWGhk5xtow/IPfFnPjl59EER9UI0naPDA3lT8bTleWpgJEoRD8jCMhgqpspdy0rtpVBf4ARji25uJDLvnEvk8R/VgKA6Usbw2+5S7CZm86ICp0PQWVyTTVZvK4DeuwIsuJWDGBwzxO/khFhpvxoUyvqEOKwajHcW151tuPdPs+LvrGrfzfd1fLWfwTi+Xl5m6E2b8hILktzO9jZDunXRZetdrM9Tyz+OaadCvbHT2+cso+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2019-12-12T12:58:00Z</dcterms:created>
  <dc:creator>Annalena Reuss</dc:creator>
</cp:coreProperties>
</file>