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1500"/>
        <w:jc w:val="center"/>
      </w:pPr>
      <w:r>
        <w:rPr>
          <w:rFonts w:ascii="Arial" w:cs="Arial" w:eastAsia="Arial" w:hAnsi="Arial"/>
          <w:b/>
          <w:bCs/>
          <w:color w:val="1F3864"/>
          <w:sz w:val="44"/>
          <w:szCs w:val="44"/>
          <w:rtl/>
        </w:rPr>
        <w:t xml:space="preserve">قواعد الترحيل المحاسبي</w:t>
      </w:r>
    </w:p>
    <w:p>
      <w:pPr>
        <w:bidi/>
        <w:spacing w:after="300" w:before="0"/>
        <w:jc w:val="center"/>
      </w:pPr>
      <w:r>
        <w:rPr>
          <w:rFonts w:ascii="Arial" w:cs="Arial" w:eastAsia="Arial" w:hAnsi="Arial"/>
          <w:color w:val="595959"/>
          <w:sz w:val="24"/>
          <w:szCs w:val="24"/>
          <w:rtl/>
        </w:rPr>
        <w:t xml:space="preserve">Accounting Posting Rules</w:t>
      </w:r>
    </w:p>
    <w:p>
      <w:pPr>
        <w:bidi/>
        <w:spacing w:after="120" w:before="0"/>
        <w:jc w:val="center"/>
      </w:pPr>
      <w:r>
        <w:rPr>
          <w:rFonts w:ascii="Arial" w:cs="Arial" w:eastAsia="Arial" w:hAnsi="Arial"/>
          <w:b/>
          <w:bCs/>
          <w:color w:val="2E5597"/>
          <w:sz w:val="24"/>
          <w:szCs w:val="24"/>
          <w:rtl/>
        </w:rPr>
        <w:t xml:space="preserve">المرجع المحاسبي لبناء دليل الحسابات في النظام</w:t>
      </w:r>
    </w:p>
    <w:p>
      <w:pPr>
        <w:bidi/>
        <w:spacing w:after="500" w:before="0"/>
        <w:jc w:val="center"/>
      </w:pPr>
      <w:r>
        <w:rPr>
          <w:rFonts w:ascii="Arial" w:cs="Arial" w:eastAsia="Arial" w:hAnsi="Arial"/>
          <w:color w:val="595959"/>
          <w:sz w:val="22"/>
          <w:szCs w:val="22"/>
          <w:rtl/>
        </w:rPr>
        <w:t xml:space="preserve">سنتر Imed · X Studio · مكتبات 2Be Doctor · تطبيق BA+</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البند</w:t>
            </w:r>
          </w:p>
        </w:tc>
        <w:tc>
          <w:tcPr>
            <w:tcW w:type="dxa" w:w="69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البيان</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المشروع</w:t>
            </w:r>
          </w:p>
        </w:tc>
        <w:tc>
          <w:tcPr>
            <w:tcW w:type="dxa" w:w="69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Integrated Business Platform</w:t>
            </w:r>
          </w:p>
        </w:tc>
      </w:tr>
      <w:tr>
        <w:tc>
          <w:tcPr>
            <w:tcW w:type="dxa" w:w="3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العميل</w:t>
            </w:r>
          </w:p>
        </w:tc>
        <w:tc>
          <w:tcPr>
            <w:tcW w:type="dxa" w:w="69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محمد ممدوح</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رقم الإصدار</w:t>
            </w:r>
          </w:p>
        </w:tc>
        <w:tc>
          <w:tcPr>
            <w:tcW w:type="dxa" w:w="69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v2.0</w:t>
            </w:r>
          </w:p>
        </w:tc>
      </w:tr>
      <w:tr>
        <w:tc>
          <w:tcPr>
            <w:tcW w:type="dxa" w:w="3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تاريخ الإصدار</w:t>
            </w:r>
          </w:p>
        </w:tc>
        <w:tc>
          <w:tcPr>
            <w:tcW w:type="dxa" w:w="69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 / ……… / 2026</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إعداد</w:t>
            </w:r>
          </w:p>
        </w:tc>
        <w:tc>
          <w:tcPr>
            <w:tcW w:type="dxa" w:w="69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مهندسة تقى / مهندسة إيمان</w:t>
            </w:r>
          </w:p>
        </w:tc>
      </w:tr>
      <w:tr>
        <w:tc>
          <w:tcPr>
            <w:tcW w:type="dxa" w:w="3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المرجع</w:t>
            </w:r>
          </w:p>
        </w:tc>
        <w:tc>
          <w:tcPr>
            <w:tcW w:type="dxa" w:w="69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وثيقة المتطلبات v1.2</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حالة المستند</w:t>
            </w:r>
          </w:p>
        </w:tc>
        <w:tc>
          <w:tcPr>
            <w:tcW w:type="dxa" w:w="69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بانتظار مراجعة المحاسب واعتماده</w:t>
            </w:r>
          </w:p>
        </w:tc>
      </w:tr>
    </w:tbl>
    <w:p>
      <w:pPr>
        <w:pBdr>
          <w:right w:val="single" w:color="1E7B34" w:sz="18" w:space="6"/>
        </w:pBdr>
        <w:shd w:fill="E7F3EA" w:color="auto" w:val="clear"/>
        <w:bidi/>
        <w:spacing w:after="160" w:before="60"/>
      </w:pPr>
      <w:r>
        <w:rPr>
          <w:rFonts w:ascii="Arial" w:cs="Arial" w:eastAsia="Arial" w:hAnsi="Arial"/>
          <w:i/>
          <w:iCs/>
          <w:sz w:val="20"/>
          <w:szCs w:val="20"/>
          <w:rtl/>
        </w:rPr>
        <w:t xml:space="preserve">تحديث في v2.0: تصحيح قسم التطبيق (رسوم المنصة) بالكامل. كان مسجلاً أن المجموعة تحصّل قيمة الكورس من الطالب وترحّلها للطبيب، والصحيح أن الطالب يدفع للطبيب مباشرة، وأن المجموعة تستحق رسوم منصة على الطبيب تُحصَّل منه آخر الترم. القيود في القسم السادس مبنية على ذلك.</w:t>
      </w:r>
    </w:p>
    <w:p>
      <w:pPr>
        <w:pStyle w:val="Heading1"/>
        <w:pageBreakBefore/>
        <w:bidi/>
      </w:pPr>
      <w:r>
        <w:rPr>
          <w:rFonts w:ascii="Arial" w:cs="Arial" w:eastAsia="Arial" w:hAnsi="Arial"/>
          <w:b/>
          <w:bCs/>
          <w:rtl/>
        </w:rPr>
        <w:t xml:space="preserve">1. الغرض وطريقة القراءة</w:t>
      </w:r>
    </w:p>
    <w:p>
      <w:pPr>
        <w:pStyle w:val="Heading2"/>
        <w:keepNext/>
        <w:bidi/>
      </w:pPr>
      <w:r>
        <w:rPr>
          <w:rFonts w:ascii="Arial" w:cs="Arial" w:eastAsia="Arial" w:hAnsi="Arial"/>
          <w:b/>
          <w:bCs/>
          <w:rtl/>
        </w:rPr>
        <w:t xml:space="preserve">1.1 الغرض</w:t>
      </w:r>
    </w:p>
    <w:p>
      <w:pPr>
        <w:bidi/>
        <w:spacing w:after="120" w:before="0"/>
      </w:pPr>
      <w:r>
        <w:rPr>
          <w:rFonts w:ascii="Arial" w:cs="Arial" w:eastAsia="Arial" w:hAnsi="Arial"/>
          <w:rtl/>
        </w:rPr>
        <w:t xml:space="preserve">هذا المستند يحدد القيد المحاسبي لكل عملية تحدث في أنشطة المجموعة. وهو المرجع الذي يُبنى عليه دليل الحسابات داخل النظام، وأي عملية لا يوجد لها قيد هنا لا تُسجَّل في النظام قبل الرجوع إلى المحاسب.</w:t>
      </w:r>
    </w:p>
    <w:p>
      <w:pPr>
        <w:bidi/>
        <w:spacing w:after="120" w:before="0"/>
      </w:pPr>
      <w:r>
        <w:rPr>
          <w:rFonts w:ascii="Arial" w:cs="Arial" w:eastAsia="Arial" w:hAnsi="Arial"/>
          <w:rtl/>
        </w:rPr>
        <w:t xml:space="preserve">الهدف العملي: أن يعرف النظام تلقائياً أين تذهب كل جنيه، بحيث تظهر ربحية كل نشاط على حدة، وتظل أموال الأطباء مفصولة عن أرباح المجموعة.</w:t>
      </w:r>
    </w:p>
    <w:p>
      <w:pPr>
        <w:pStyle w:val="Heading2"/>
        <w:keepNext/>
        <w:bidi/>
      </w:pPr>
      <w:r>
        <w:rPr>
          <w:rFonts w:ascii="Arial" w:cs="Arial" w:eastAsia="Arial" w:hAnsi="Arial"/>
          <w:b/>
          <w:bCs/>
          <w:rtl/>
        </w:rPr>
        <w:t xml:space="preserve">1.2 المدين والدائن ببساطة</w:t>
      </w:r>
    </w:p>
    <w:p>
      <w:pPr>
        <w:keepNext/>
        <w:bidi/>
        <w:spacing w:after="120" w:before="0"/>
      </w:pPr>
      <w:r>
        <w:rPr>
          <w:rFonts w:ascii="Arial" w:cs="Arial" w:eastAsia="Arial" w:hAnsi="Arial"/>
          <w:rtl/>
        </w:rPr>
        <w:t xml:space="preserve">كل عملية مالية لها طرفان متساويان في القيمة: من أين جاء المبلغ، وإلى أين ذهب. الطرف الأول يُسمى مديناً والثاني دائناً، ومجموعهما دائماً متساوٍ.</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406"/>
        <w:gridCol w:w="2150"/>
        <w:gridCol w:w="215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نوع الحساب</w:t>
            </w:r>
          </w:p>
        </w:tc>
        <w:tc>
          <w:tcPr>
            <w:tcW w:type="dxa" w:w="34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مثال</w:t>
            </w:r>
          </w:p>
        </w:tc>
        <w:tc>
          <w:tcPr>
            <w:tcW w:type="dxa" w:w="21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يزيد في خانة</w:t>
            </w:r>
          </w:p>
        </w:tc>
        <w:tc>
          <w:tcPr>
            <w:tcW w:type="dxa" w:w="21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ينقص في خانة</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الأصول (ما نملكه)</w:t>
            </w:r>
          </w:p>
        </w:tc>
        <w:tc>
          <w:tcPr>
            <w:tcW w:type="dxa" w:w="34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الخزينة، المخزون، المستحق لنا عند الغير</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مدين</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دائن</w:t>
            </w:r>
          </w:p>
        </w:tc>
      </w:tr>
      <w:t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الالتزامات (ما علينا)</w:t>
            </w:r>
          </w:p>
        </w:tc>
        <w:tc>
          <w:tcPr>
            <w:tcW w:type="dxa" w:w="34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مستحقات الأطباء، مستحقات الموردين</w:t>
            </w:r>
          </w:p>
        </w:tc>
        <w:tc>
          <w:tcPr>
            <w:tcW w:type="dxa" w:w="215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دائن</w:t>
            </w:r>
          </w:p>
        </w:tc>
        <w:tc>
          <w:tcPr>
            <w:tcW w:type="dxa" w:w="215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مدين</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حقوق الملكية</w:t>
            </w:r>
          </w:p>
        </w:tc>
        <w:tc>
          <w:tcPr>
            <w:tcW w:type="dxa" w:w="34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رأس المال، الأرباح المحتجزة</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دائن</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مدين</w:t>
            </w:r>
          </w:p>
        </w:tc>
      </w:tr>
      <w:t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الإيرادات</w:t>
            </w:r>
          </w:p>
        </w:tc>
        <w:tc>
          <w:tcPr>
            <w:tcW w:type="dxa" w:w="34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إيراد المكتبة، إيراد القاعات</w:t>
            </w:r>
          </w:p>
        </w:tc>
        <w:tc>
          <w:tcPr>
            <w:tcW w:type="dxa" w:w="215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دائن</w:t>
            </w:r>
          </w:p>
        </w:tc>
        <w:tc>
          <w:tcPr>
            <w:tcW w:type="dxa" w:w="215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مدين</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المصروفات والتكاليف</w:t>
            </w:r>
          </w:p>
        </w:tc>
        <w:tc>
          <w:tcPr>
            <w:tcW w:type="dxa" w:w="34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الإيجار، الرواتب، تكلفة البضاعة</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مدين</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دائن</w:t>
            </w:r>
          </w:p>
        </w:tc>
      </w:tr>
    </w:tbl>
    <w:p>
      <w:pPr>
        <w:pBdr>
          <w:right w:val="single" w:color="E08A00" w:sz="18" w:space="6"/>
        </w:pBdr>
        <w:shd w:fill="FFF4E0" w:color="auto" w:val="clear"/>
        <w:bidi/>
        <w:spacing w:after="160" w:before="60"/>
      </w:pPr>
      <w:r>
        <w:rPr>
          <w:rFonts w:ascii="Arial" w:cs="Arial" w:eastAsia="Arial" w:hAnsi="Arial"/>
          <w:i/>
          <w:iCs/>
          <w:sz w:val="20"/>
          <w:szCs w:val="20"/>
          <w:rtl/>
        </w:rPr>
        <w:t xml:space="preserve">قاعدة سريعة للمراجعة: لو زادت فلوسك في الخزينة ← الخزينة مدينة. ولو طلعت فلوس من الخزينة ← الخزينة دائنة. وبعدها اسأل: الفلوس دي جات من إيه أو راحت على إيه؟ الإجابة هي الطرف التاني.</w:t>
      </w:r>
    </w:p>
    <w:p>
      <w:pPr>
        <w:pStyle w:val="Heading2"/>
        <w:keepNext/>
        <w:bidi/>
      </w:pPr>
      <w:r>
        <w:rPr>
          <w:rFonts w:ascii="Arial" w:cs="Arial" w:eastAsia="Arial" w:hAnsi="Arial"/>
          <w:b/>
          <w:bCs/>
          <w:rtl/>
        </w:rPr>
        <w:t xml:space="preserve">1.3 طريقة قراءة الجداول</w:t>
      </w:r>
    </w:p>
    <w:p>
      <w:pPr>
        <w:pStyle w:val="ListParagraph"/>
        <w:numPr>
          <w:ilvl w:val="0"/>
          <w:numId w:val="2"/>
        </w:numPr>
        <w:bidi/>
        <w:spacing w:after="60"/>
      </w:pPr>
      <w:r>
        <w:rPr>
          <w:rFonts w:ascii="Arial" w:cs="Arial" w:eastAsia="Arial" w:hAnsi="Arial"/>
          <w:rtl/>
        </w:rPr>
        <w:t xml:space="preserve">كل سطر في الجداول التالية = قيد واحد كامل.</w:t>
      </w:r>
    </w:p>
    <w:p>
      <w:pPr>
        <w:pStyle w:val="ListParagraph"/>
        <w:numPr>
          <w:ilvl w:val="0"/>
          <w:numId w:val="2"/>
        </w:numPr>
        <w:bidi/>
        <w:spacing w:after="60"/>
      </w:pPr>
      <w:r>
        <w:rPr>
          <w:rFonts w:ascii="Arial" w:cs="Arial" w:eastAsia="Arial" w:hAnsi="Arial"/>
          <w:rtl/>
        </w:rPr>
        <w:t xml:space="preserve">عمود «الطرف المدين» وعمود «الطرف الدائن» بنفس المبلغ دائماً، ما لم يُذكر خلاف ذلك.</w:t>
      </w:r>
    </w:p>
    <w:p>
      <w:pPr>
        <w:pStyle w:val="ListParagraph"/>
        <w:numPr>
          <w:ilvl w:val="0"/>
          <w:numId w:val="2"/>
        </w:numPr>
        <w:bidi/>
        <w:spacing w:after="60"/>
      </w:pPr>
      <w:r>
        <w:rPr>
          <w:rFonts w:ascii="Arial" w:cs="Arial" w:eastAsia="Arial" w:hAnsi="Arial"/>
          <w:rtl/>
        </w:rPr>
        <w:t xml:space="preserve">كل قيد يُسجَّل عليه مركز التكلفة الخاص بالنشاط (الأزاريطة، المواساة، الاستوديو، القاعات، التطبيق) — بدونه لن يظهر في تقرير ربحية النشاط.</w:t>
      </w:r>
    </w:p>
    <w:p>
      <w:pPr>
        <w:pStyle w:val="ListParagraph"/>
        <w:numPr>
          <w:ilvl w:val="0"/>
          <w:numId w:val="2"/>
        </w:numPr>
        <w:bidi/>
        <w:spacing w:after="60"/>
      </w:pPr>
      <w:r>
        <w:rPr>
          <w:rFonts w:ascii="Arial" w:cs="Arial" w:eastAsia="Arial" w:hAnsi="Arial"/>
          <w:rtl/>
        </w:rPr>
        <w:t xml:space="preserve">الرموز بين قوسين (ACC-02، DOC-11، APP-05) ترجع إلى وثيقة المتطلبات v1.2.</w:t>
      </w:r>
    </w:p>
    <w:p>
      <w:pPr>
        <w:pStyle w:val="Heading1"/>
        <w:pageBreakBefore/>
        <w:bidi/>
      </w:pPr>
      <w:r>
        <w:rPr>
          <w:rFonts w:ascii="Arial" w:cs="Arial" w:eastAsia="Arial" w:hAnsi="Arial"/>
          <w:b/>
          <w:bCs/>
          <w:rtl/>
        </w:rPr>
        <w:t xml:space="preserve">2. دليل الحسابات المقترح</w:t>
      </w:r>
    </w:p>
    <w:p>
      <w:pPr>
        <w:keepNext/>
        <w:bidi/>
        <w:spacing w:after="120" w:before="0"/>
      </w:pPr>
      <w:r>
        <w:rPr>
          <w:rFonts w:ascii="Arial" w:cs="Arial" w:eastAsia="Arial" w:hAnsi="Arial"/>
          <w:rtl/>
        </w:rPr>
        <w:t xml:space="preserve">هذه هي الحسابات التي يلزم إنشاؤها في النظام. وهي الترجمة المباشرة لكل الحسابات المذكورة في قيود هذا المستند.</w:t>
      </w:r>
    </w:p>
    <w:p>
      <w:pPr>
        <w:keepNext/>
        <w:bidi/>
        <w:spacing w:after="100" w:before="240"/>
      </w:pPr>
      <w:r>
        <w:rPr>
          <w:rFonts w:ascii="Arial" w:cs="Arial" w:eastAsia="Arial" w:hAnsi="Arial"/>
          <w:b/>
          <w:bCs/>
          <w:color w:val="2E5597"/>
          <w:sz w:val="24"/>
          <w:szCs w:val="24"/>
          <w:rtl/>
        </w:rPr>
        <w:t xml:space="preserve">2.1 الأصول (Assets)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4806"/>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الحساب</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النوع</w:t>
            </w:r>
          </w:p>
        </w:tc>
        <w:tc>
          <w:tcPr>
            <w:tcW w:type="dxa" w:w="48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الغرض</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سنتر Imed</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نقدية</w:t>
            </w:r>
          </w:p>
        </w:tc>
        <w:tc>
          <w:tcPr>
            <w:tcW w:type="dxa" w:w="48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الحساب النقدي لمقر السنتر</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خزينة X Studio</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نقدية</w:t>
            </w:r>
          </w:p>
        </w:tc>
        <w:tc>
          <w:tcPr>
            <w:tcW w:type="dxa" w:w="48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الحساب النقدي للاستوديو</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مكتبة الأزاريطة</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نقدية</w:t>
            </w:r>
          </w:p>
        </w:tc>
        <w:tc>
          <w:tcPr>
            <w:tcW w:type="dxa" w:w="48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الحساب النقدي لفرع الأزاريطة</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خزينة مكتبة المواساة</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نقدية</w:t>
            </w:r>
          </w:p>
        </w:tc>
        <w:tc>
          <w:tcPr>
            <w:tcW w:type="dxa" w:w="48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الحساب النقدي لفرع المواساة</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InstaPay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بنكي</w:t>
            </w:r>
          </w:p>
        </w:tc>
        <w:tc>
          <w:tcPr>
            <w:tcW w:type="dxa" w:w="48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المحصّل عبر InstaPay قبل تحويله</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Vodafone Cash</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بنكي</w:t>
            </w:r>
          </w:p>
        </w:tc>
        <w:tc>
          <w:tcPr>
            <w:tcW w:type="dxa" w:w="48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المحصّل عبر المحفظة قبل تحويله</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المخزن المركزي</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مخزون</w:t>
            </w:r>
          </w:p>
        </w:tc>
        <w:tc>
          <w:tcPr>
            <w:tcW w:type="dxa" w:w="48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قيمة بضاعة مخزن المواساة</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المخزون — فرع الأزاريطة</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مخزون</w:t>
            </w:r>
          </w:p>
        </w:tc>
        <w:tc>
          <w:tcPr>
            <w:tcW w:type="dxa" w:w="48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قيمة بضاعة فرع الأزاريطة</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العملاء (ذمم مدينة)</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مدينون</w:t>
            </w:r>
          </w:p>
        </w:tc>
        <w:tc>
          <w:tcPr>
            <w:tcW w:type="dxa" w:w="48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مبيعات وحجوزات لم تُحصَّل بعد</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مستحقات على الأطباء — رسوم المنصة</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مدينون</w:t>
            </w:r>
          </w:p>
        </w:tc>
        <w:tc>
          <w:tcPr>
            <w:tcW w:type="dxa" w:w="48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رسوم التطبيق المستحقة لنا على الأطباء (APP-05)</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مديونيات الأطباء — الكتب</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مدينون</w:t>
            </w:r>
          </w:p>
        </w:tc>
        <w:tc>
          <w:tcPr>
            <w:tcW w:type="dxa" w:w="48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أرصدة الأطباء السالبة من إلغاء الإصدارات (DOC-20)</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الجاري بين الأنشطة</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حساب وسيط</w:t>
            </w:r>
          </w:p>
        </w:tc>
        <w:tc>
          <w:tcPr>
            <w:tcW w:type="dxa" w:w="48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تحويلات التمويل بين الأنشطة (ACC-02)</w:t>
            </w:r>
          </w:p>
        </w:tc>
      </w:tr>
    </w:tbl>
    <w:p>
      <w:pPr>
        <w:keepNext/>
        <w:bidi/>
        <w:spacing w:after="100" w:before="240"/>
      </w:pPr>
      <w:r>
        <w:rPr>
          <w:rFonts w:ascii="Arial" w:cs="Arial" w:eastAsia="Arial" w:hAnsi="Arial"/>
          <w:b/>
          <w:bCs/>
          <w:color w:val="2E5597"/>
          <w:sz w:val="24"/>
          <w:szCs w:val="24"/>
          <w:rtl/>
        </w:rPr>
        <w:t xml:space="preserve">2.2 الالتزامات (Liabilities)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4806"/>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الحساب</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النوع</w:t>
            </w:r>
          </w:p>
        </w:tc>
        <w:tc>
          <w:tcPr>
            <w:tcW w:type="dxa" w:w="48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الغرض</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مستحقات للأطباء — الكتب</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التزام</w:t>
            </w:r>
          </w:p>
        </w:tc>
        <w:tc>
          <w:tcPr>
            <w:tcW w:type="dxa" w:w="48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أموال محتفظ بها لحساب الأطباء، ليست ربحاً (RPT-11)</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الموردون (ذمم دائنة)</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التزام</w:t>
            </w:r>
          </w:p>
        </w:tc>
        <w:tc>
          <w:tcPr>
            <w:tcW w:type="dxa" w:w="48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مشتريات آجلة لم تُسدَّد</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مستحقات الموظفين</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التزام</w:t>
            </w:r>
          </w:p>
        </w:tc>
        <w:tc>
          <w:tcPr>
            <w:tcW w:type="dxa" w:w="48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رواتب مستحقة ولم تُصرف بعد</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العرابين المقبوضة</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التزام</w:t>
            </w:r>
          </w:p>
        </w:tc>
        <w:tc>
          <w:tcPr>
            <w:tcW w:type="dxa" w:w="48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عربون حجز قبل تقديم الخدمة</w:t>
            </w:r>
          </w:p>
        </w:tc>
      </w:tr>
    </w:tbl>
    <w:p>
      <w:pPr>
        <w:keepNext/>
        <w:bidi/>
        <w:spacing w:after="100" w:before="240"/>
      </w:pPr>
      <w:r>
        <w:rPr>
          <w:rFonts w:ascii="Arial" w:cs="Arial" w:eastAsia="Arial" w:hAnsi="Arial"/>
          <w:b/>
          <w:bCs/>
          <w:color w:val="2E5597"/>
          <w:sz w:val="24"/>
          <w:szCs w:val="24"/>
          <w:rtl/>
        </w:rPr>
        <w:t xml:space="preserve">2.3 الإيرادات (Revenue)</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الحساب</w:t>
            </w:r>
          </w:p>
        </w:tc>
        <w:tc>
          <w:tcPr>
            <w:tcW w:type="dxa" w:w="6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الغرض</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إيراد مكتبة الأزاريطة</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بيع الكتب والمذكرات وخدمات التصوير والطباعة والتجليد</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إيراد مكتبة المواساة</w:t>
            </w:r>
          </w:p>
        </w:tc>
        <w:tc>
          <w:tcPr>
            <w:tcW w:type="dxa" w:w="6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الأنشطة ذاتها في فرع المواساة</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إيراد X Studio</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حجوزات الاستوديو والخدمات الإضافية</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إيراد القاعات</w:t>
            </w:r>
          </w:p>
        </w:tc>
        <w:tc>
          <w:tcPr>
            <w:tcW w:type="dxa" w:w="6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تأجير القاعات وتحصيل الدخول</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إيراد رسوم المنصة</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رسوم تطبيق BA+ المستحقة على الأطباء (APP-05)</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إيراد بيع التالف بالوزن</w:t>
            </w:r>
          </w:p>
        </w:tc>
        <w:tc>
          <w:tcPr>
            <w:tcW w:type="dxa" w:w="6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قيمة بيع الورق والنسخ التالفة (LIB-09 / PRN-07)</w:t>
            </w:r>
          </w:p>
        </w:tc>
      </w:tr>
    </w:tbl>
    <w:p>
      <w:pPr>
        <w:keepNext/>
        <w:bidi/>
        <w:spacing w:after="100" w:before="240"/>
      </w:pPr>
      <w:r>
        <w:rPr>
          <w:rFonts w:ascii="Arial" w:cs="Arial" w:eastAsia="Arial" w:hAnsi="Arial"/>
          <w:b/>
          <w:bCs/>
          <w:color w:val="2E5597"/>
          <w:sz w:val="24"/>
          <w:szCs w:val="24"/>
          <w:rtl/>
        </w:rPr>
        <w:t xml:space="preserve">2.4 التكاليف والمصروفات (Costs &amp; Expenses)</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الحساب</w:t>
            </w:r>
          </w:p>
        </w:tc>
        <w:tc>
          <w:tcPr>
            <w:tcW w:type="dxa" w:w="6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الغرض</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تكلفة البضاعة المباعة</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تكلفة ما بيع من بضاعة مشتراة جاهزة</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تكلفة التصنيع</w:t>
            </w:r>
          </w:p>
        </w:tc>
        <w:tc>
          <w:tcPr>
            <w:tcW w:type="dxa" w:w="6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الورق + الحبر + الغلاف + التجليد للإصدارات (DOC-11)</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حصة الأطباء</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نصيب الطبيب من أرباح الإصدارات المباعة</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الإيجار</w:t>
            </w:r>
          </w:p>
        </w:tc>
        <w:tc>
          <w:tcPr>
            <w:tcW w:type="dxa" w:w="6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إيجار المقر والمواقع</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المرافق</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الكهرباء، المياه، الغاز، الإنترنت</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الرواتب والأجور</w:t>
            </w:r>
          </w:p>
        </w:tc>
        <w:tc>
          <w:tcPr>
            <w:tcW w:type="dxa" w:w="6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رواتب الموظفين</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الخامات والمستهلكات</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مشتريات تشغيلية غير مخزنية</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الصيانة</w:t>
            </w:r>
          </w:p>
        </w:tc>
        <w:tc>
          <w:tcPr>
            <w:tcW w:type="dxa" w:w="6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صيانة الآلات والمعدات</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التسويق</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الإعلانات والميديا</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الهالك والتالف</w:t>
            </w:r>
          </w:p>
        </w:tc>
        <w:tc>
          <w:tcPr>
            <w:tcW w:type="dxa" w:w="6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خسائر المخزون والنسخ التالفة</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فروقات الجرد</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فروق الجرد الموجبة والسالبة</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فروقات الخزينة</w:t>
            </w:r>
          </w:p>
        </w:tc>
        <w:tc>
          <w:tcPr>
            <w:tcW w:type="dxa" w:w="6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فروق الإقفال اليومي</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مصروفات المقر المشتركة</w:t>
            </w:r>
          </w:p>
        </w:tc>
        <w:tc>
          <w:tcPr>
            <w:tcW w:type="dxa" w:w="6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حساب تجميعي يُوزَّع على الأنشطة (EXP-03)</w:t>
            </w:r>
          </w:p>
        </w:tc>
      </w:tr>
    </w:tbl>
    <w:p>
      <w:pPr>
        <w:pStyle w:val="Heading1"/>
        <w:pageBreakBefore/>
        <w:bidi/>
      </w:pPr>
      <w:r>
        <w:rPr>
          <w:rFonts w:ascii="Arial" w:cs="Arial" w:eastAsia="Arial" w:hAnsi="Arial"/>
          <w:b/>
          <w:bCs/>
          <w:rtl/>
        </w:rPr>
        <w:t xml:space="preserve">3. الإيرادات والتحصيل</w:t>
      </w:r>
    </w:p>
    <w:p>
      <w:pPr>
        <w:keepNext/>
        <w:bidi/>
        <w:spacing w:after="100" w:before="240"/>
      </w:pPr>
      <w:r>
        <w:rPr>
          <w:rFonts w:ascii="Arial" w:cs="Arial" w:eastAsia="Arial" w:hAnsi="Arial"/>
          <w:b/>
          <w:bCs/>
          <w:color w:val="2E5597"/>
          <w:sz w:val="24"/>
          <w:szCs w:val="24"/>
          <w:rtl/>
        </w:rPr>
        <w:t xml:space="preserve">3.1 البيع والتحصيل</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بيع نقدي في المكتبة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الفرع</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إيراد الفرع</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مركز التكلفة = الفرع (ACC-01)</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بيع عبر InstaPay أو Vodafone Cash</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InstaPay / Vodafone Cash</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إيراد الفرع</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يُطابَق لاحقاً مع كشف المحفظة (ACC-10)</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بيع آجل لعميل</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العملاء (ذمم مدينة)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إيراد الفرع</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يظهر في تقرير المستحقات (RPT-05)</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تحصيل مبلغ آجل لاحقاً</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خزينة الفرع</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العملاء (ذمم مدينة)</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لا يُسجَّل إيراد مرة ثانية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تسجيل تكلفة ما بيع</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تكلفة البضاعة المباعة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الفرع</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يصدر تلقائياً مع فاتورة البيع</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تسليم نقدية الفرع للمالك أو البنك</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الجاري بين الأنشطة / البنك</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خزينة الفرع</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بالمبلغ والتاريخ والمستلم (ACC-09)</w:t>
            </w:r>
          </w:p>
        </w:tc>
      </w:tr>
    </w:tbl>
    <w:p>
      <w:pPr>
        <w:pBdr>
          <w:right w:val="single" w:color="E08A00" w:sz="18" w:space="6"/>
        </w:pBdr>
        <w:shd w:fill="FFF4E0" w:color="auto" w:val="clear"/>
        <w:bidi/>
        <w:spacing w:after="160" w:before="60"/>
      </w:pPr>
      <w:r>
        <w:rPr>
          <w:rFonts w:ascii="Arial" w:cs="Arial" w:eastAsia="Arial" w:hAnsi="Arial"/>
          <w:i/>
          <w:iCs/>
          <w:sz w:val="20"/>
          <w:szCs w:val="20"/>
          <w:rtl/>
        </w:rPr>
        <w:t xml:space="preserve">الإيراد يُثبت عند التحصيل، والمبالغ غير المحصَّلة تظهر كمستحقات وليست كإيراد مقبوض (ACC-05).</w:t>
      </w:r>
    </w:p>
    <w:p>
      <w:pPr>
        <w:keepNext/>
        <w:bidi/>
        <w:spacing w:after="100" w:before="240"/>
      </w:pPr>
      <w:r>
        <w:rPr>
          <w:rFonts w:ascii="Arial" w:cs="Arial" w:eastAsia="Arial" w:hAnsi="Arial"/>
          <w:b/>
          <w:bCs/>
          <w:color w:val="2E5597"/>
          <w:sz w:val="24"/>
          <w:szCs w:val="24"/>
          <w:rtl/>
        </w:rPr>
        <w:t xml:space="preserve">3.2 الخصومات والفروقات</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خصم على عملية بيع</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الخصومات الممنوحة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إيراد الفرع (بقيمة الخصم)</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بصلاحية وبسبب مكتوب (ACC-06)</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عجز في الخزينة عند الإقفال</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فروقات الخزينة</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خزينة الفرع</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بعد اعتماد المدير (ACC-03)</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زيادة في الخزينة عند الإقفال</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الفرع</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فروقات الخزينة</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يُراجع سببها قبل الاعتماد</w:t>
            </w:r>
          </w:p>
        </w:tc>
      </w:tr>
    </w:tbl>
    <w:p>
      <w:pPr>
        <w:pStyle w:val="Heading1"/>
        <w:pageBreakBefore/>
        <w:bidi/>
      </w:pPr>
      <w:r>
        <w:rPr>
          <w:rFonts w:ascii="Arial" w:cs="Arial" w:eastAsia="Arial" w:hAnsi="Arial"/>
          <w:b/>
          <w:bCs/>
          <w:rtl/>
        </w:rPr>
        <w:t xml:space="preserve">4. المشتريات والمخزون</w:t>
      </w:r>
    </w:p>
    <w:p>
      <w:pPr>
        <w:keepNext/>
        <w:bidi/>
        <w:spacing w:after="100" w:before="240"/>
      </w:pPr>
      <w:r>
        <w:rPr>
          <w:rFonts w:ascii="Arial" w:cs="Arial" w:eastAsia="Arial" w:hAnsi="Arial"/>
          <w:b/>
          <w:bCs/>
          <w:color w:val="2E5597"/>
          <w:sz w:val="24"/>
          <w:szCs w:val="24"/>
          <w:rtl/>
        </w:rPr>
        <w:t xml:space="preserve">4.1 الشراء والاستلام</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شراء بضاعة نقداً</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المخزن المركزي</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الفرع</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بسعر التكلفة شامل الشحن</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شراء بضاعة آجل</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المخزون — المخزن المركزي</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الموردون (ذمم دائنة)</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يُتابع في تقرير أعمار الموردين (ACC-12)</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سداد مستحقات مورد</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الموردون (ذمم دائنة)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الفرع</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سداد كلي أو جزئي</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مصروفات شحن ونقل على المشتريات</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المخزون — المخزن المركزي</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خزينة الفرع</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تُحمَّل على تكلفة الصنف (Landed Cost)</w:t>
            </w:r>
          </w:p>
        </w:tc>
      </w:tr>
    </w:tbl>
    <w:p>
      <w:pPr>
        <w:keepNext/>
        <w:bidi/>
        <w:spacing w:after="100" w:before="240"/>
      </w:pPr>
      <w:r>
        <w:rPr>
          <w:rFonts w:ascii="Arial" w:cs="Arial" w:eastAsia="Arial" w:hAnsi="Arial"/>
          <w:b/>
          <w:bCs/>
          <w:color w:val="2E5597"/>
          <w:sz w:val="24"/>
          <w:szCs w:val="24"/>
          <w:rtl/>
        </w:rPr>
        <w:t xml:space="preserve">4.2 الصرف للفروع والجرد</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صرف أصناف من المركزي للأزاريطة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فرع الأزاريطة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المخزن المركزي</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تحويل مخزون، لا أثر على الأرباح (LIB-08)</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عجز في الجرد</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فروقات الجرد</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المخزون — الموقع</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بعد اعتماد الفرق (LIB-03)</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زيادة في الجرد</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الموقع</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فروقات الجرد</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يُراجع سببها</w:t>
            </w:r>
          </w:p>
        </w:tc>
      </w:tr>
    </w:tbl>
    <w:p>
      <w:pPr>
        <w:keepNext/>
        <w:bidi/>
        <w:spacing w:after="100" w:before="240"/>
      </w:pPr>
      <w:r>
        <w:rPr>
          <w:rFonts w:ascii="Arial" w:cs="Arial" w:eastAsia="Arial" w:hAnsi="Arial"/>
          <w:b/>
          <w:bCs/>
          <w:color w:val="2E5597"/>
          <w:sz w:val="24"/>
          <w:szCs w:val="24"/>
          <w:rtl/>
        </w:rPr>
        <w:t xml:space="preserve">4.3 التالف وبيع الوزن</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إعدام بضاعة أو ورق تالف</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الهالك والتالف</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الموقع</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بالكمية والسبب (LIB-09 / PRN-07)</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بيع التالف بالوزن</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خزينة الفرع</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إيراد بيع التالف بالوزن</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إيراد مستقل، لا يُخصم من الهالك</w:t>
            </w:r>
          </w:p>
        </w:tc>
      </w:tr>
    </w:tbl>
    <w:p>
      <w:pPr>
        <w:pBdr>
          <w:right w:val="single" w:color="E08A00" w:sz="18" w:space="6"/>
        </w:pBdr>
        <w:shd w:fill="FFF4E0" w:color="auto" w:val="clear"/>
        <w:bidi/>
        <w:spacing w:after="160" w:before="60"/>
      </w:pPr>
      <w:r>
        <w:rPr>
          <w:rFonts w:ascii="Arial" w:cs="Arial" w:eastAsia="Arial" w:hAnsi="Arial"/>
          <w:i/>
          <w:iCs/>
          <w:sz w:val="20"/>
          <w:szCs w:val="20"/>
          <w:rtl/>
        </w:rPr>
        <w:t xml:space="preserve">تالف النسخ المخزّنة من إصدارات الأطباء يُحمَّل على المكتبة ولا يُحمَّل على الطبيب (DOC-19).</w:t>
      </w:r>
    </w:p>
    <w:p>
      <w:pPr>
        <w:pStyle w:val="Heading1"/>
        <w:pageBreakBefore/>
        <w:bidi/>
      </w:pPr>
      <w:r>
        <w:rPr>
          <w:rFonts w:ascii="Arial" w:cs="Arial" w:eastAsia="Arial" w:hAnsi="Arial"/>
          <w:b/>
          <w:bCs/>
          <w:rtl/>
        </w:rPr>
        <w:t xml:space="preserve">5. المصروفات والتحويلات بين الأنشطة</w:t>
      </w:r>
    </w:p>
    <w:p>
      <w:pPr>
        <w:keepNext/>
        <w:bidi/>
        <w:spacing w:after="100" w:before="240"/>
      </w:pPr>
      <w:r>
        <w:rPr>
          <w:rFonts w:ascii="Arial" w:cs="Arial" w:eastAsia="Arial" w:hAnsi="Arial"/>
          <w:b/>
          <w:bCs/>
          <w:color w:val="2E5597"/>
          <w:sz w:val="24"/>
          <w:szCs w:val="24"/>
          <w:rtl/>
        </w:rPr>
        <w:t xml:space="preserve">5.1 المصروفات المباشرة</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مصروف يخص نشاطاً واحداً</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حساب المصروف</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النشاط</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مركز التكلفة = النشاط + إيصال إجباري (EXP-02)</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مصروف ثابت شهري (إيجار، كهرباء)</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حساب المصروف</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خزينة الدافع</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يُولَّد تلقائياً شهرياً (EXP-05)</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مصروف مشترك قبل التوزيع</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مصروفات المقر المشتركة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الدافع</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يتجمع هنا ثم يُوزَّع</w:t>
            </w:r>
          </w:p>
        </w:tc>
      </w:tr>
    </w:tbl>
    <w:p>
      <w:pPr>
        <w:keepNext/>
        <w:bidi/>
        <w:spacing w:after="100" w:before="240"/>
      </w:pPr>
      <w:r>
        <w:rPr>
          <w:rFonts w:ascii="Arial" w:cs="Arial" w:eastAsia="Arial" w:hAnsi="Arial"/>
          <w:b/>
          <w:bCs/>
          <w:color w:val="2E5597"/>
          <w:sz w:val="24"/>
          <w:szCs w:val="24"/>
          <w:rtl/>
        </w:rPr>
        <w:t xml:space="preserve">5.2 توزيع المصروف المشترك</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توزيع المشترك على الأنشطة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مصروف النشاط (بنصيبه)</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مصروفات المقر المشتركة</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وفق قاعدة التوزيع المعتمدة (EXP-03/04)</w:t>
            </w:r>
          </w:p>
        </w:tc>
      </w:tr>
    </w:tbl>
    <w:p>
      <w:pPr>
        <w:pBdr>
          <w:right w:val="single" w:color="E08A00" w:sz="18" w:space="6"/>
        </w:pBdr>
        <w:shd w:fill="FFF4E0" w:color="auto" w:val="clear"/>
        <w:bidi/>
        <w:spacing w:after="160" w:before="60"/>
      </w:pPr>
      <w:r>
        <w:rPr>
          <w:rFonts w:ascii="Arial" w:cs="Arial" w:eastAsia="Arial" w:hAnsi="Arial"/>
          <w:i/>
          <w:iCs/>
          <w:sz w:val="20"/>
          <w:szCs w:val="20"/>
          <w:rtl/>
        </w:rPr>
        <w:t xml:space="preserve">مثال: كهرباء المقر 10,000 والنسب 60% استوديو و40% قاعات ← 6,000 على الاستوديو و4,000 على القاعات، ويصبح رصيد حساب المصروفات المشتركة صفراً.</w:t>
      </w:r>
    </w:p>
    <w:p>
      <w:pPr>
        <w:keepNext/>
        <w:bidi/>
        <w:spacing w:after="100" w:before="240"/>
      </w:pPr>
      <w:r>
        <w:rPr>
          <w:rFonts w:ascii="Arial" w:cs="Arial" w:eastAsia="Arial" w:hAnsi="Arial"/>
          <w:b/>
          <w:bCs/>
          <w:color w:val="2E5597"/>
          <w:sz w:val="24"/>
          <w:szCs w:val="24"/>
          <w:rtl/>
        </w:rPr>
        <w:t xml:space="preserve">5.3 التحويل بين الأنشطة — أهم قاعدة في المستند</w:t>
      </w:r>
    </w:p>
    <w:p>
      <w:pPr>
        <w:keepNext/>
        <w:bidi/>
        <w:spacing w:after="120" w:before="0"/>
      </w:pPr>
      <w:r>
        <w:rPr>
          <w:rFonts w:ascii="Arial" w:cs="Arial" w:eastAsia="Arial" w:hAnsi="Arial"/>
          <w:rtl/>
        </w:rPr>
        <w:t xml:space="preserve">عندما تُستخدم أرباح المكتبة في تغطية مصروفات السنتر أو الاستوديو، فهذا تمويل داخلي وليس مصروفاً على المكتبة. تسجيله كمصروف يُظهر المكتبة أقل ربحية مما هي عليه فعلاً، ويُخفي الربحية الحقيقية لكل نشاط.</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خروج مبلغ من خزينة المكتبة لتمويل السنتر</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الجاري بين الأنشطة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المكتبة</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ليس مصروفاً على المكتبة (ACC-02)</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دخول المبلغ إلى خزينة السنتر</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خزينة السنتر</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الجاري بين الأنشطة</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يُقفل الحساب الوسيط</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صرف السنتر للمبلغ على الإيجار</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الإيجار</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السنتر</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المصروف على السنتر لا على المكتبة</w:t>
            </w:r>
          </w:p>
        </w:tc>
      </w:tr>
    </w:tbl>
    <w:p>
      <w:pPr>
        <w:pBdr>
          <w:right w:val="single" w:color="E08A00" w:sz="18" w:space="6"/>
        </w:pBdr>
        <w:shd w:fill="FFF4E0" w:color="auto" w:val="clear"/>
        <w:bidi/>
        <w:spacing w:after="160" w:before="60"/>
      </w:pPr>
      <w:r>
        <w:rPr>
          <w:rFonts w:ascii="Arial" w:cs="Arial" w:eastAsia="Arial" w:hAnsi="Arial"/>
          <w:i/>
          <w:iCs/>
          <w:sz w:val="20"/>
          <w:szCs w:val="20"/>
          <w:rtl/>
        </w:rPr>
        <w:t xml:space="preserve">النتيجة: ربح المكتبة يظل كما هو، والإيجار يظهر كمصروف على السنتر، ورصيد حساب «الجاري بين الأنشطة» يوضح حجم التمويل الداخلي في تقرير مستقل (RPT-03).</w:t>
      </w:r>
    </w:p>
    <w:p>
      <w:pPr>
        <w:pStyle w:val="Heading1"/>
        <w:pageBreakBefore/>
        <w:bidi/>
      </w:pPr>
      <w:r>
        <w:rPr>
          <w:rFonts w:ascii="Arial" w:cs="Arial" w:eastAsia="Arial" w:hAnsi="Arial"/>
          <w:b/>
          <w:bCs/>
          <w:rtl/>
        </w:rPr>
        <w:t xml:space="preserve">6. الأطباء — اتفاقية الكتب والمذكرات</w:t>
      </w:r>
    </w:p>
    <w:p>
      <w:pPr>
        <w:keepNext/>
        <w:bidi/>
        <w:spacing w:after="120" w:before="0"/>
      </w:pPr>
      <w:r>
        <w:rPr>
          <w:rFonts w:ascii="Arial" w:cs="Arial" w:eastAsia="Arial" w:hAnsi="Arial"/>
          <w:rtl/>
        </w:rPr>
        <w:t xml:space="preserve">معادلة التسعير: سعر البيع = تكلفة التصنيع + نصيب المالك (مبلغ ثابت للورقة) + نصيب الطبيب.</w:t>
      </w:r>
    </w:p>
    <w:p>
      <w:pPr>
        <w:keepNext/>
        <w:bidi/>
        <w:spacing w:after="100" w:before="240"/>
      </w:pPr>
      <w:r>
        <w:rPr>
          <w:rFonts w:ascii="Arial" w:cs="Arial" w:eastAsia="Arial" w:hAnsi="Arial"/>
          <w:b/>
          <w:bCs/>
          <w:color w:val="2E5597"/>
          <w:sz w:val="24"/>
          <w:szCs w:val="24"/>
          <w:rtl/>
        </w:rPr>
        <w:t xml:space="preserve">6.1 التصنيع والبيع</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طباعة إصدار جديد (استهلاك خامات)</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إصدارات الأطباء</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ورق وأحبار وخامات</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بتكلفة التصنيع فقط (DOC-11)</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بيع نسخة من الإصدار</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خزينة الفرع</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إيراد الفرع</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بسعر البيع المعتمد</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إثبات تكلفة النسخة المباعة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تكلفة التصنيع</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إصدارات الأطباء</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التكلفة مثبتة وقت البيع (DOC-04)</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إثبات نصيب الطبيب عن النسخة</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حصة الأطباء</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مستحقات للأطباء — الكتب</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يومياً وبشكل تلقائي (DOC-07)</w:t>
            </w:r>
          </w:p>
        </w:tc>
      </w:tr>
    </w:tbl>
    <w:p>
      <w:pPr>
        <w:pBdr>
          <w:right w:val="single" w:color="E08A00" w:sz="18" w:space="6"/>
        </w:pBdr>
        <w:shd w:fill="FFF4E0" w:color="auto" w:val="clear"/>
        <w:bidi/>
        <w:spacing w:after="160" w:before="60"/>
      </w:pPr>
      <w:r>
        <w:rPr>
          <w:rFonts w:ascii="Arial" w:cs="Arial" w:eastAsia="Arial" w:hAnsi="Arial"/>
          <w:i/>
          <w:iCs/>
          <w:sz w:val="20"/>
          <w:szCs w:val="20"/>
          <w:rtl/>
        </w:rPr>
        <w:t xml:space="preserve">نصيب المالك لا يُسجَّل بقيد مستقل؛ هو الباقي من سعر البيع بعد تكلفة التصنيع وحصة الطبيب، ويظهر كربح للمجموعة. وفرق التقريب يضاف إليه (DOC-28).</w:t>
      </w:r>
    </w:p>
    <w:p>
      <w:pPr>
        <w:keepNext/>
        <w:bidi/>
        <w:spacing w:after="100" w:before="240"/>
      </w:pPr>
      <w:r>
        <w:rPr>
          <w:rFonts w:ascii="Arial" w:cs="Arial" w:eastAsia="Arial" w:hAnsi="Arial"/>
          <w:b/>
          <w:bCs/>
          <w:color w:val="2E5597"/>
          <w:sz w:val="24"/>
          <w:szCs w:val="24"/>
          <w:rtl/>
        </w:rPr>
        <w:t xml:space="preserve">6.2 التسوية والصرف</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صرف مستحقات الطبيب</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مستحقات للأطباء — الكتب</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الفرع</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يخصم من رصيد الاتفاقية (DOC-09)</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صرف جزئي على الحساب</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مستحقات للأطباء — الكتب</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خزينة الفرع</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الرصيد المتبقي يظل مستحقاً</w:t>
            </w:r>
          </w:p>
        </w:tc>
      </w:tr>
    </w:tbl>
    <w:p>
      <w:pPr>
        <w:keepNext/>
        <w:bidi/>
        <w:spacing w:after="100" w:before="240"/>
      </w:pPr>
      <w:r>
        <w:rPr>
          <w:rFonts w:ascii="Arial" w:cs="Arial" w:eastAsia="Arial" w:hAnsi="Arial"/>
          <w:b/>
          <w:bCs/>
          <w:color w:val="2E5597"/>
          <w:sz w:val="24"/>
          <w:szCs w:val="24"/>
          <w:rtl/>
        </w:rPr>
        <w:t xml:space="preserve">6.3 إلغاء الإصدار لتغيّر المنهج</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تحميل تكلفة النسخ المتبقية من كمية الطبيب</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مستحقات للأطباء — الكتب</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إصدارات الأطباء</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بتكلفة التصنيع لا بسعر البيع (DOC-18)</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لو تجاوزت التكلفة رصيد الطبيب</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مديونيات الأطباء — الكتب</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المخزون — إصدارات الأطباء</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بالفرق؛ يصبح مديونية قائمة (DOC-20)</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تحميل تكلفة الكمية الإضافية للمكتبة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الهالك والتالف</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إصدارات الأطباء</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خسارة على المكتبة لا على الطبيب</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تلف نسخ بالتخزين</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الهالك والتالف</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المخزون — إصدارات الأطباء</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على المكتبة دائماً (DOC-19)</w:t>
            </w:r>
          </w:p>
        </w:tc>
      </w:tr>
    </w:tbl>
    <w:p>
      <w:pPr>
        <w:pBdr>
          <w:right w:val="single" w:color="E08A00" w:sz="18" w:space="6"/>
        </w:pBdr>
        <w:shd w:fill="FFF4E0" w:color="auto" w:val="clear"/>
        <w:bidi/>
        <w:spacing w:after="160" w:before="60"/>
      </w:pPr>
      <w:r>
        <w:rPr>
          <w:rFonts w:ascii="Arial" w:cs="Arial" w:eastAsia="Arial" w:hAnsi="Arial"/>
          <w:i/>
          <w:iCs/>
          <w:sz w:val="20"/>
          <w:szCs w:val="20"/>
          <w:rtl/>
        </w:rPr>
        <w:t xml:space="preserve">لا يُنفَّذ أي خصم على رصيد طبيب إلا بعد اعتماد المالك أو المحاسب (DOC-22)، ويُسجَّل في سجل التعديلات (SEC-07).</w:t>
      </w:r>
    </w:p>
    <w:p>
      <w:pPr>
        <w:keepNext/>
        <w:bidi/>
        <w:spacing w:after="100" w:before="240"/>
      </w:pPr>
      <w:r>
        <w:rPr>
          <w:rFonts w:ascii="Arial" w:cs="Arial" w:eastAsia="Arial" w:hAnsi="Arial"/>
          <w:b/>
          <w:bCs/>
          <w:color w:val="2E5597"/>
          <w:sz w:val="24"/>
          <w:szCs w:val="24"/>
          <w:rtl/>
        </w:rPr>
        <w:t xml:space="preserve">6.4 النسخ المرحّلة</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ترحيل نسخ غير مباعة لفترة جديدة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لا يوجد قيد</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لا يوجد قيد</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يظل بتكلفته الأصلية (DOC-15)</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بيع نسخة مرحّلة بسعر جديد</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خزينة الفرع</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إيراد الفرع</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بالسعر السائد وقت البيع</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إثبات تكلفتها</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تكلفة التصنيع</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إصدارات الأطباء</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بالتكلفة الأصلية لا الجديدة (DOC-16)</w:t>
            </w:r>
          </w:p>
        </w:tc>
      </w:tr>
    </w:tbl>
    <w:p>
      <w:pPr>
        <w:pStyle w:val="Heading1"/>
        <w:pageBreakBefore/>
        <w:bidi/>
      </w:pPr>
      <w:r>
        <w:rPr>
          <w:rFonts w:ascii="Arial" w:cs="Arial" w:eastAsia="Arial" w:hAnsi="Arial"/>
          <w:b/>
          <w:bCs/>
          <w:rtl/>
        </w:rPr>
        <w:t xml:space="preserve">7. الأطباء — اتفاقية التطبيق (رسوم المنصة)</w:t>
      </w:r>
    </w:p>
    <w:p>
      <w:pPr>
        <w:pBdr>
          <w:right w:val="single" w:color="1E7B34" w:sz="18" w:space="6"/>
        </w:pBdr>
        <w:shd w:fill="E7F3EA" w:color="auto" w:val="clear"/>
        <w:bidi/>
        <w:spacing w:after="160" w:before="60"/>
      </w:pPr>
      <w:r>
        <w:rPr>
          <w:rFonts w:ascii="Arial" w:cs="Arial" w:eastAsia="Arial" w:hAnsi="Arial"/>
          <w:i/>
          <w:iCs/>
          <w:sz w:val="20"/>
          <w:szCs w:val="20"/>
          <w:rtl/>
        </w:rPr>
        <w:t xml:space="preserve">هذا القسم مصحَّح بالكامل في v2.0. الطالب يدفع قيمة الكورس إلى الطبيب مباشرة، ولا تمر أموال الكورس على خزائن المجموعة إطلاقاً، فلا يوجد لها أي قيد في دفاترنا. وما تستحقه المجموعة هو رسوم منصة عن كل طالب مشترك، وهي إيراد لنا ومديونية على الطبيب.</w:t>
      </w:r>
    </w:p>
    <w:p>
      <w:pPr>
        <w:keepNext/>
        <w:bidi/>
        <w:spacing w:after="100" w:before="240"/>
      </w:pPr>
      <w:r>
        <w:rPr>
          <w:rFonts w:ascii="Arial" w:cs="Arial" w:eastAsia="Arial" w:hAnsi="Arial"/>
          <w:b/>
          <w:bCs/>
          <w:color w:val="2E5597"/>
          <w:sz w:val="24"/>
          <w:szCs w:val="24"/>
          <w:rtl/>
        </w:rPr>
        <w:t xml:space="preserve">7.1 الشرائح المعتمدة</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50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الشريحة</w:t>
            </w:r>
          </w:p>
        </w:tc>
        <w:tc>
          <w:tcPr>
            <w:tcW w:type="dxa" w:w="4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عدد الطلبة</w:t>
            </w:r>
          </w:p>
        </w:tc>
        <w:tc>
          <w:tcPr>
            <w:tcW w:type="dxa" w:w="3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الرسم للطالب في الترم</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الأولى</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من 1 إلى 100 طالب</w:t>
            </w:r>
          </w:p>
        </w:tc>
        <w:tc>
          <w:tcPr>
            <w:tcW w:type="dxa" w:w="3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250 جنيه</w:t>
            </w:r>
          </w:p>
        </w:tc>
      </w:tr>
      <w:tr>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الثانية</w:t>
            </w:r>
          </w:p>
        </w:tc>
        <w:tc>
          <w:tcPr>
            <w:tcW w:type="dxa" w:w="41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من 100 إلى 500 طالب</w:t>
            </w:r>
          </w:p>
        </w:tc>
        <w:tc>
          <w:tcPr>
            <w:tcW w:type="dxa" w:w="35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200 جنيه</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الثالثة</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أكثر من 500 طالب</w:t>
            </w:r>
          </w:p>
        </w:tc>
        <w:tc>
          <w:tcPr>
            <w:tcW w:type="dxa" w:w="3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170 جنيه</w:t>
            </w:r>
          </w:p>
        </w:tc>
      </w:tr>
    </w:tbl>
    <w:p>
      <w:pPr>
        <w:bidi/>
        <w:spacing w:after="120" w:before="0"/>
      </w:pPr>
      <w:r>
        <w:rPr>
          <w:rFonts w:ascii="Arial" w:cs="Arial" w:eastAsia="Arial" w:hAnsi="Arial"/>
          <w:rtl/>
        </w:rPr>
        <w:t xml:space="preserve">مدة الترم ثلاثة أشهر ونصف، وتُعرَّف في الفترات الأكاديمية (CORE-05).</w:t>
      </w:r>
    </w:p>
    <w:p>
      <w:pPr>
        <w:keepNext/>
        <w:bidi/>
        <w:spacing w:after="100" w:before="240"/>
      </w:pPr>
      <w:r>
        <w:rPr>
          <w:rFonts w:ascii="Arial" w:cs="Arial" w:eastAsia="Arial" w:hAnsi="Arial"/>
          <w:b/>
          <w:bCs/>
          <w:color w:val="2E5597"/>
          <w:sz w:val="24"/>
          <w:szCs w:val="24"/>
          <w:rtl/>
        </w:rPr>
        <w:t xml:space="preserve">7.2 القيود</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قيمة الكورس التي يدفعها الطالب</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لا يوجد قيد</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لا يوجد قيد</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تُدفع للطبيب مباشرة خارج دفاترنا</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إثبات رسوم المنصة على الطبيب</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مستحقات على الأطباء — رسوم المنصة</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إيراد رسوم المنصة</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عند إقفال الترم بالشريحة المطبقة (APP-05)</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تحصيل الرسوم من الطبيب نقداً</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المجموعة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مستحقات على الأطباء — رسوم المنصة</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آخر الترم (APP-06)</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تحصيل جزئي</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خزينة المجموعة</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مستحقات على الأطباء — رسوم المنصة</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الباقي يظل مديونية عليه (APP-12)</w:t>
            </w:r>
          </w:p>
        </w:tc>
      </w:tr>
    </w:tbl>
    <w:p>
      <w:pPr>
        <w:pBdr>
          <w:right w:val="single" w:color="E08A00" w:sz="18" w:space="6"/>
        </w:pBdr>
        <w:shd w:fill="FFF4E0" w:color="auto" w:val="clear"/>
        <w:bidi/>
        <w:spacing w:after="160" w:before="60"/>
      </w:pPr>
      <w:r>
        <w:rPr>
          <w:rFonts w:ascii="Arial" w:cs="Arial" w:eastAsia="Arial" w:hAnsi="Arial"/>
          <w:i/>
          <w:iCs/>
          <w:sz w:val="20"/>
          <w:szCs w:val="20"/>
          <w:rtl/>
        </w:rPr>
        <w:t xml:space="preserve">مثال: طبيب لديه 300 طالب ← الشريحة الثانية (200 جنيه) ← 60,000 جنيه. القيد: 60,000 مدين «مستحقات على الأطباء — رسوم المنصة» / 60,000 دائن «إيراد رسوم المنصة». وعند التحصيل: 60,000 مدين الخزينة / 60,000 دائن مستحقات على الأطباء.</w:t>
      </w:r>
    </w:p>
    <w:p>
      <w:pPr>
        <w:pBdr>
          <w:right w:val="single" w:color="E08A00" w:sz="18" w:space="6"/>
        </w:pBdr>
        <w:shd w:fill="FFF4E0" w:color="auto" w:val="clear"/>
        <w:bidi/>
        <w:spacing w:after="160" w:before="60"/>
      </w:pPr>
      <w:r>
        <w:rPr>
          <w:rFonts w:ascii="Arial" w:cs="Arial" w:eastAsia="Arial" w:hAnsi="Arial"/>
          <w:i/>
          <w:iCs/>
          <w:sz w:val="20"/>
          <w:szCs w:val="20"/>
          <w:rtl/>
        </w:rPr>
        <w:t xml:space="preserve">انتبه إلى اتجاه الرصيد: في اتفاقية الكتب المجموعة مدينة للطبيب، وفي اتفاقية التطبيق الطبيب مدين للمجموعة. ولا تُجرى مقاصة تلقائية بين الاتفاقيتين (DOC-29 / DOC-30).</w:t>
      </w:r>
    </w:p>
    <w:p>
      <w:pPr>
        <w:pStyle w:val="Heading1"/>
        <w:pageBreakBefore/>
        <w:bidi/>
      </w:pPr>
      <w:r>
        <w:rPr>
          <w:rFonts w:ascii="Arial" w:cs="Arial" w:eastAsia="Arial" w:hAnsi="Arial"/>
          <w:b/>
          <w:bCs/>
          <w:rtl/>
        </w:rPr>
        <w:t xml:space="preserve">8. الحجوزات والعرابين والرواتب</w:t>
      </w:r>
    </w:p>
    <w:p>
      <w:pPr>
        <w:keepNext/>
        <w:bidi/>
        <w:spacing w:after="100" w:before="240"/>
      </w:pPr>
      <w:r>
        <w:rPr>
          <w:rFonts w:ascii="Arial" w:cs="Arial" w:eastAsia="Arial" w:hAnsi="Arial"/>
          <w:b/>
          <w:bCs/>
          <w:color w:val="2E5597"/>
          <w:sz w:val="24"/>
          <w:szCs w:val="24"/>
          <w:rtl/>
        </w:rPr>
        <w:t xml:space="preserve">8.1 حجوزات القاعات والاستوديو</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تحصيل عربون قبل الخدمة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النشاط</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العرابين المقبوضة</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التزام لا إيراد (ACC-04)</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تقديم الخدمة وإقفال الحجز</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العرابين المقبوضة</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إيراد النشاط</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بقيمة العربون</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تحصيل باقي المبلغ</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النشاط</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إيراد النشاط</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بالمتبقي</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إلغاء حجز مع رد العربون</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العرابين المقبوضة</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خزينة النشاط</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حسب سياسة الإلغاء</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إلغاء حجز دون رد</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العرابين المقبوضة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إيراد النشاط</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يصبح إيراداً للنشاط</w:t>
            </w:r>
          </w:p>
        </w:tc>
      </w:tr>
    </w:tbl>
    <w:p>
      <w:pPr>
        <w:keepNext/>
        <w:bidi/>
        <w:spacing w:after="100" w:before="240"/>
      </w:pPr>
      <w:r>
        <w:rPr>
          <w:rFonts w:ascii="Arial" w:cs="Arial" w:eastAsia="Arial" w:hAnsi="Arial"/>
          <w:b/>
          <w:bCs/>
          <w:color w:val="2E5597"/>
          <w:sz w:val="24"/>
          <w:szCs w:val="24"/>
          <w:rtl/>
        </w:rPr>
        <w:t xml:space="preserve">8.2 القاعة بنموذج اقتسام الإيراد مع المحاضر</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تحصيل الدخول من الطلبة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القاعات</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إيراد القاعات</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بإجمالي المحصَّل (HAL-08)</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إثبات نصيب المحاضر</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حصة المحاضرين</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مستحقات للمحاضرين</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بالنسبة المتفق عليها (HAL-12)</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صرف نصيب المحاضر</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مستحقات للمحاضرين</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القاعات</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
            </w:r>
          </w:p>
        </w:tc>
      </w:tr>
    </w:tbl>
    <w:p>
      <w:pPr>
        <w:pBdr>
          <w:right w:val="single" w:color="E08A00" w:sz="18" w:space="6"/>
        </w:pBdr>
        <w:shd w:fill="FFF4E0" w:color="auto" w:val="clear"/>
        <w:bidi/>
        <w:spacing w:after="160" w:before="60"/>
      </w:pPr>
      <w:r>
        <w:rPr>
          <w:rFonts w:ascii="Arial" w:cs="Arial" w:eastAsia="Arial" w:hAnsi="Arial"/>
          <w:i/>
          <w:iCs/>
          <w:sz w:val="20"/>
          <w:szCs w:val="20"/>
          <w:rtl/>
        </w:rPr>
        <w:t xml:space="preserve">في نموذج الإيجار الثابت لا توجد حصة للمحاضر: يُسجَّل الإيجار كاملاً كإيراد للقاعات.</w:t>
      </w:r>
    </w:p>
    <w:p>
      <w:pPr>
        <w:keepNext/>
        <w:bidi/>
        <w:spacing w:after="100" w:before="240"/>
      </w:pPr>
      <w:r>
        <w:rPr>
          <w:rFonts w:ascii="Arial" w:cs="Arial" w:eastAsia="Arial" w:hAnsi="Arial"/>
          <w:b/>
          <w:bCs/>
          <w:color w:val="2E5597"/>
          <w:sz w:val="24"/>
          <w:szCs w:val="24"/>
          <w:rtl/>
        </w:rPr>
        <w:t xml:space="preserve">8.3 الرواتب</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إثبات كشف الرواتب الشهري</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الرواتب والأجور</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مستحقات الموظفين</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بعد اعتماد الكشف (HR-06)</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صرف الرواتب</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مستحقات الموظفين</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خزينة الدافع</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سلفة لموظف</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سلف الموظفين (أصل)</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الدافع</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تُخصم لاحقاً من راتبه</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خصم السلفة من الراتب</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مستحقات الموظفين</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سلف الموظفين</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بقيمة القسط</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خصم على موظف بسبب خطأ</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مستحقات الموظفين</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الرواتب والأجور</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مرتبط بالمعاملة (HR-05 / SEC-04)</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راتب موظف يعمل في أكثر من موقع</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الرواتب — نصيب كل موقع</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مستحقات الموظفين</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يُوزَّع كمصروف مشترك (HR-02)</w:t>
            </w:r>
          </w:p>
        </w:tc>
      </w:tr>
    </w:tbl>
    <w:p>
      <w:pPr>
        <w:pStyle w:val="Heading1"/>
        <w:pageBreakBefore/>
        <w:bidi/>
      </w:pPr>
      <w:r>
        <w:rPr>
          <w:rFonts w:ascii="Arial" w:cs="Arial" w:eastAsia="Arial" w:hAnsi="Arial"/>
          <w:b/>
          <w:bCs/>
          <w:rtl/>
        </w:rPr>
        <w:t xml:space="preserve">9. التصحيحات والإلغاءات</w:t>
      </w:r>
    </w:p>
    <w:p>
      <w:pPr>
        <w:keepNext/>
        <w:bidi/>
        <w:spacing w:after="120" w:before="0"/>
      </w:pPr>
      <w:r>
        <w:rPr>
          <w:rFonts w:ascii="Arial" w:cs="Arial" w:eastAsia="Arial" w:hAnsi="Arial"/>
          <w:rtl/>
        </w:rPr>
        <w:t xml:space="preserve">لا تُحذف أي معاملة مالية من النظام نهائياً. التصحيح يتم بقيد عكسي يُسجَّل بتاريخه، مع بقاء القيد الأصلي ظاهراً في السجل (ACC-07).</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إلغاء عملية بيع خاطئة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إيراد الفرع</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الفرع</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قيد عكسي بنفس القيمة وبسبب مكتوب</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عكس تكلفة البيعة الملغاة</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المخزون — الفرع</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تكلفة البضاعة المباعة</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ترجع الكمية للمخزون</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عكس حصة الطبيب عن البيعة الملغاة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مستحقات للأطباء — الكتب</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حصة الأطباء</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يقل رصيد الاتفاقية</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تصحيح مصروف سُجِّل على نشاط خاطئ</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مصروف النشاط الصحيح</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مصروف النشاط الخاطئ</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تغيير مركز التكلفة فقط</w:t>
            </w:r>
          </w:p>
        </w:tc>
      </w:tr>
    </w:tbl>
    <w:p>
      <w:pPr>
        <w:pBdr>
          <w:right w:val="single" w:color="E08A00" w:sz="18" w:space="6"/>
        </w:pBdr>
        <w:shd w:fill="FFF4E0" w:color="auto" w:val="clear"/>
        <w:bidi/>
        <w:spacing w:after="160" w:before="60"/>
      </w:pPr>
      <w:r>
        <w:rPr>
          <w:rFonts w:ascii="Arial" w:cs="Arial" w:eastAsia="Arial" w:hAnsi="Arial"/>
          <w:i/>
          <w:iCs/>
          <w:sz w:val="20"/>
          <w:szCs w:val="20"/>
          <w:rtl/>
        </w:rPr>
        <w:t xml:space="preserve">كل تصحيح يُسجَّل في سجل التعديلات بالمستخدم والتوقيت والقيمة قبل وبعد (SEC-01)، وصلاحية التعديل مقصورة على المالك والمحاسب (SEC-03).</w:t>
      </w:r>
    </w:p>
    <w:p>
      <w:pPr>
        <w:pStyle w:val="Heading1"/>
        <w:pageBreakBefore/>
        <w:bidi/>
      </w:pPr>
      <w:r>
        <w:rPr>
          <w:rFonts w:ascii="Arial" w:cs="Arial" w:eastAsia="Arial" w:hAnsi="Arial"/>
          <w:b/>
          <w:bCs/>
          <w:rtl/>
        </w:rPr>
        <w:t xml:space="preserve">10. مثال محلول كامل</w:t>
      </w:r>
    </w:p>
    <w:p>
      <w:pPr>
        <w:keepNext/>
        <w:bidi/>
        <w:spacing w:after="120" w:before="0"/>
      </w:pPr>
      <w:r>
        <w:rPr>
          <w:rFonts w:ascii="Arial" w:cs="Arial" w:eastAsia="Arial" w:hAnsi="Arial"/>
          <w:rtl/>
        </w:rPr>
        <w:t xml:space="preserve">دورة واحدة من الشراء حتى التسوية، بأرقام مبسّطة، لمراجعة القواعد مع المحاسب.</w:t>
      </w:r>
    </w:p>
    <w:p>
      <w:pPr>
        <w:keepNext/>
        <w:bidi/>
        <w:spacing w:after="100" w:before="240"/>
      </w:pPr>
      <w:r>
        <w:rPr>
          <w:rFonts w:ascii="Arial" w:cs="Arial" w:eastAsia="Arial" w:hAnsi="Arial"/>
          <w:b/>
          <w:bCs/>
          <w:color w:val="2E5597"/>
          <w:sz w:val="24"/>
          <w:szCs w:val="24"/>
          <w:rtl/>
        </w:rPr>
        <w:t xml:space="preserve">الخطوة 1 — شراء ورق</w:t>
      </w:r>
    </w:p>
    <w:p>
      <w:pPr>
        <w:bidi/>
        <w:spacing w:after="120" w:before="0"/>
      </w:pPr>
      <w:r>
        <w:rPr>
          <w:rFonts w:ascii="Arial" w:cs="Arial" w:eastAsia="Arial" w:hAnsi="Arial"/>
          <w:rtl/>
        </w:rPr>
        <w:t xml:space="preserve">شراء كرتونتين ورق (2 × 2,500 ورقة) بـ 600 جنيه نقداً.</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شراء الورق</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المركزي 600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المواساة 600</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تكلفة الورقة = 12 قرشاً</w:t>
            </w:r>
          </w:p>
        </w:tc>
      </w:tr>
    </w:tbl>
    <w:p>
      <w:pPr>
        <w:keepNext/>
        <w:bidi/>
        <w:spacing w:after="100" w:before="240"/>
      </w:pPr>
      <w:r>
        <w:rPr>
          <w:rFonts w:ascii="Arial" w:cs="Arial" w:eastAsia="Arial" w:hAnsi="Arial"/>
          <w:b/>
          <w:bCs/>
          <w:color w:val="2E5597"/>
          <w:sz w:val="24"/>
          <w:szCs w:val="24"/>
          <w:rtl/>
        </w:rPr>
        <w:t xml:space="preserve">الخطوة 2 — صرف للفرع</w:t>
      </w:r>
    </w:p>
    <w:p>
      <w:pPr>
        <w:bidi/>
        <w:spacing w:after="120" w:before="0"/>
      </w:pPr>
      <w:r>
        <w:rPr>
          <w:rFonts w:ascii="Arial" w:cs="Arial" w:eastAsia="Arial" w:hAnsi="Arial"/>
          <w:rtl/>
        </w:rPr>
        <w:t xml:space="preserve">صرف 2,500 ورقة لفرع الأزاريطة.</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تحويل مخزون</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الأزاريطة 300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المركزي 300</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لا أثر على الأرباح</w:t>
            </w:r>
          </w:p>
        </w:tc>
      </w:tr>
    </w:tbl>
    <w:p>
      <w:pPr>
        <w:keepNext/>
        <w:bidi/>
        <w:spacing w:after="100" w:before="240"/>
      </w:pPr>
      <w:r>
        <w:rPr>
          <w:rFonts w:ascii="Arial" w:cs="Arial" w:eastAsia="Arial" w:hAnsi="Arial"/>
          <w:b/>
          <w:bCs/>
          <w:color w:val="2E5597"/>
          <w:sz w:val="24"/>
          <w:szCs w:val="24"/>
          <w:rtl/>
        </w:rPr>
        <w:t xml:space="preserve">الخطوة 3 — طباعة إصدار لطبيب</w:t>
      </w:r>
    </w:p>
    <w:p>
      <w:pPr>
        <w:bidi/>
        <w:spacing w:after="120" w:before="0"/>
      </w:pPr>
      <w:r>
        <w:rPr>
          <w:rFonts w:ascii="Arial" w:cs="Arial" w:eastAsia="Arial" w:hAnsi="Arial"/>
          <w:rtl/>
        </w:rPr>
        <w:t xml:space="preserve">طباعة 100 نسخة، كل نسخة 50 ورقة = 5,000 ورقة. تكلفة التصنيع للنسخة 10 جنيه (ورق وحبر وغلاف وتجليد) = 1,000 جنيه.</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تصنيع الإصدار</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إصدارات الأطباء 1,000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 — الخامات 1,000</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التكلفة مثبتة</w:t>
            </w:r>
          </w:p>
        </w:tc>
      </w:tr>
    </w:tbl>
    <w:p>
      <w:pPr>
        <w:keepNext/>
        <w:bidi/>
        <w:spacing w:after="100" w:before="240"/>
      </w:pPr>
      <w:r>
        <w:rPr>
          <w:rFonts w:ascii="Arial" w:cs="Arial" w:eastAsia="Arial" w:hAnsi="Arial"/>
          <w:b/>
          <w:bCs/>
          <w:color w:val="2E5597"/>
          <w:sz w:val="24"/>
          <w:szCs w:val="24"/>
          <w:rtl/>
        </w:rPr>
        <w:t xml:space="preserve">الخطوة 4 — تسعير الإصدار</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4006"/>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المكوّن</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للنسخة</w:t>
            </w:r>
          </w:p>
        </w:tc>
        <w:tc>
          <w:tcPr>
            <w:tcW w:type="dxa" w:w="40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الإجمالي لـ 100 نسخة</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تكلفة التصنيع</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10 جنيه</w:t>
            </w:r>
          </w:p>
        </w:tc>
        <w:tc>
          <w:tcPr>
            <w:tcW w:type="dxa" w:w="4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1,000</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نصيب الطبيب</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40 جنيه</w:t>
            </w:r>
          </w:p>
        </w:tc>
        <w:tc>
          <w:tcPr>
            <w:tcW w:type="dxa" w:w="40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4,000</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نصيب المالك</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25 جنيه</w:t>
            </w:r>
          </w:p>
        </w:tc>
        <w:tc>
          <w:tcPr>
            <w:tcW w:type="dxa" w:w="4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2,500</w:t>
            </w:r>
          </w:p>
        </w:tc>
      </w:tr>
      <w:tr>
        <w:tc>
          <w:tcPr>
            <w:tcW w:type="dxa" w:w="3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سعر البيع النهائي</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75 جنيه</w:t>
            </w:r>
          </w:p>
        </w:tc>
        <w:tc>
          <w:tcPr>
            <w:tcW w:type="dxa" w:w="40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7,500</w:t>
            </w:r>
          </w:p>
        </w:tc>
      </w:tr>
    </w:tbl>
    <w:p>
      <w:pPr>
        <w:keepNext/>
        <w:bidi/>
        <w:spacing w:after="100" w:before="240"/>
      </w:pPr>
      <w:r>
        <w:rPr>
          <w:rFonts w:ascii="Arial" w:cs="Arial" w:eastAsia="Arial" w:hAnsi="Arial"/>
          <w:b/>
          <w:bCs/>
          <w:color w:val="2E5597"/>
          <w:sz w:val="24"/>
          <w:szCs w:val="24"/>
          <w:rtl/>
        </w:rPr>
        <w:t xml:space="preserve">الخطوة 5 — بيع 60 نسخة</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تحصيل البيع</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الأزاريطة 4,500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إيراد الأزاريطة 4,500</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60 × 75</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إثبات التكلفة</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تكلفة التصنيع 600</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المخزون — إصدارات الأطباء 600</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60 × 10</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إثبات حصة الطبيب</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حصة الأطباء 2,400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مستحقات للأطباء 2,400</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60 × 40</w:t>
            </w:r>
          </w:p>
        </w:tc>
      </w:tr>
    </w:tbl>
    <w:p>
      <w:pPr>
        <w:pBdr>
          <w:right w:val="single" w:color="E08A00" w:sz="18" w:space="6"/>
        </w:pBdr>
        <w:shd w:fill="FFF4E0" w:color="auto" w:val="clear"/>
        <w:bidi/>
        <w:spacing w:after="160" w:before="60"/>
      </w:pPr>
      <w:r>
        <w:rPr>
          <w:rFonts w:ascii="Arial" w:cs="Arial" w:eastAsia="Arial" w:hAnsi="Arial"/>
          <w:i/>
          <w:iCs/>
          <w:sz w:val="20"/>
          <w:szCs w:val="20"/>
          <w:rtl/>
        </w:rPr>
        <w:t xml:space="preserve">نتيجة المكتبة من هذه البيعة: إيراد 4,500 − تكلفة 600 − حصة الطبيب 2,400 = ربح 1,500 جنيه (وهو 60 × 25 نصيب المالك). والـ 2,400 ليست ربحاً للمجموعة بل التزاماً للطبيب.</w:t>
      </w:r>
    </w:p>
    <w:p>
      <w:pPr>
        <w:keepNext/>
        <w:bidi/>
        <w:spacing w:after="100" w:before="240"/>
      </w:pPr>
      <w:r>
        <w:rPr>
          <w:rFonts w:ascii="Arial" w:cs="Arial" w:eastAsia="Arial" w:hAnsi="Arial"/>
          <w:b/>
          <w:bCs/>
          <w:color w:val="2E5597"/>
          <w:sz w:val="24"/>
          <w:szCs w:val="24"/>
          <w:rtl/>
        </w:rPr>
        <w:t xml:space="preserve">الخطوة 6 — تمويل السنتر</w:t>
      </w:r>
    </w:p>
    <w:p>
      <w:pPr>
        <w:bidi/>
        <w:spacing w:after="120" w:before="0"/>
      </w:pPr>
      <w:r>
        <w:rPr>
          <w:rFonts w:ascii="Arial" w:cs="Arial" w:eastAsia="Arial" w:hAnsi="Arial"/>
          <w:rtl/>
        </w:rPr>
        <w:t xml:space="preserve">تحويل 1,000 جنيه من خزينة الأزاريطة لتغطية كهرباء المقر.</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خروج من المكتبة</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الجاري بين الأنشطة 1,000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الأزاريطة 1,000</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ليس مصروفاً على المكتبة</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دخول للسنتر</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خزينة السنتر 1,000</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الجاري بين الأنشطة 1,000</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صرف الكهرباء</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المرافق 1,000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السنتر 1,000</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مركز التكلفة = المقر المشترك</w:t>
            </w:r>
          </w:p>
        </w:tc>
      </w:tr>
    </w:tbl>
    <w:p>
      <w:pPr>
        <w:pBdr>
          <w:right w:val="single" w:color="E08A00" w:sz="18" w:space="6"/>
        </w:pBdr>
        <w:shd w:fill="FFF4E0" w:color="auto" w:val="clear"/>
        <w:bidi/>
        <w:spacing w:after="160" w:before="60"/>
      </w:pPr>
      <w:r>
        <w:rPr>
          <w:rFonts w:ascii="Arial" w:cs="Arial" w:eastAsia="Arial" w:hAnsi="Arial"/>
          <w:i/>
          <w:iCs/>
          <w:sz w:val="20"/>
          <w:szCs w:val="20"/>
          <w:rtl/>
        </w:rPr>
        <w:t xml:space="preserve">ربح المكتبة ظل 1,500 جنيه كما هو، والكهرباء ظهرت كمصروف على المقر ثم تُوزَّع على الاستوديو والقاعات.</w:t>
      </w:r>
    </w:p>
    <w:p>
      <w:pPr>
        <w:keepNext/>
        <w:bidi/>
        <w:spacing w:after="100" w:before="240"/>
      </w:pPr>
      <w:r>
        <w:rPr>
          <w:rFonts w:ascii="Arial" w:cs="Arial" w:eastAsia="Arial" w:hAnsi="Arial"/>
          <w:b/>
          <w:bCs/>
          <w:color w:val="2E5597"/>
          <w:sz w:val="24"/>
          <w:szCs w:val="24"/>
          <w:rtl/>
        </w:rPr>
        <w:t xml:space="preserve">الخطوة 7 — صرف مستحقات الطبيب</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صرف نهاية الموديول</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مستحقات للأطباء 2,400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خزينة الأزاريطة 2,400</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يُقفل رصيد الاتفاقية</w:t>
            </w:r>
          </w:p>
        </w:tc>
      </w:tr>
    </w:tbl>
    <w:p>
      <w:pPr>
        <w:keepNext/>
        <w:bidi/>
        <w:spacing w:after="100" w:before="240"/>
      </w:pPr>
      <w:r>
        <w:rPr>
          <w:rFonts w:ascii="Arial" w:cs="Arial" w:eastAsia="Arial" w:hAnsi="Arial"/>
          <w:b/>
          <w:bCs/>
          <w:color w:val="2E5597"/>
          <w:sz w:val="24"/>
          <w:szCs w:val="24"/>
          <w:rtl/>
        </w:rPr>
        <w:t xml:space="preserve">الخطوة 8 — رسوم منصة لنفس الطبيب</w:t>
      </w:r>
    </w:p>
    <w:p>
      <w:pPr>
        <w:bidi/>
        <w:spacing w:after="120" w:before="0"/>
      </w:pPr>
      <w:r>
        <w:rPr>
          <w:rFonts w:ascii="Arial" w:cs="Arial" w:eastAsia="Arial" w:hAnsi="Arial"/>
          <w:rtl/>
        </w:rPr>
        <w:t xml:space="preserve">نفس الطبيب لديه 300 طالب على التطبيق ← الشريحة الثانية (200 جنيه).</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6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العملية</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المدين (Debit)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الطرف الدائن (Credit)</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ملاحظة</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إثبات الرسوم</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مستحقات على الأطباء 60,000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إيراد رسوم المنصة 60,000</w:t>
            </w:r>
          </w:p>
        </w:tc>
        <w:tc>
          <w:tcPr>
            <w:tcW w:type="dxa" w:w="26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مديونية عليه لا لنا</w:t>
            </w:r>
          </w:p>
        </w:tc>
      </w:tr>
      <w:tr>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التحصيل منه</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خزينة المجموعة 60,000</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مستحقات على الأطباء 60,000</w:t>
            </w:r>
          </w:p>
        </w:tc>
        <w:tc>
          <w:tcPr>
            <w:tcW w:type="dxa" w:w="26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آخر الترم</w:t>
            </w:r>
          </w:p>
        </w:tc>
      </w:tr>
    </w:tbl>
    <w:p>
      <w:pPr>
        <w:pBdr>
          <w:right w:val="single" w:color="E08A00" w:sz="18" w:space="6"/>
        </w:pBdr>
        <w:shd w:fill="FFF4E0" w:color="auto" w:val="clear"/>
        <w:bidi/>
        <w:spacing w:after="160" w:before="60"/>
      </w:pPr>
      <w:r>
        <w:rPr>
          <w:rFonts w:ascii="Arial" w:cs="Arial" w:eastAsia="Arial" w:hAnsi="Arial"/>
          <w:i/>
          <w:iCs/>
          <w:sz w:val="20"/>
          <w:szCs w:val="20"/>
          <w:rtl/>
        </w:rPr>
        <w:t xml:space="preserve">لاحظ أن للطبيب الواحد رصيدين في اتجاهين متعاكسين: 2,400 مستحقة له عن الكتب، و60,000 مستحقة عليه عن التطبيق. ويظل الرصيدان منفصلين ولا تُجرى مقاصة إلا بقرار يدوي معتمد.</w:t>
      </w:r>
    </w:p>
    <w:p>
      <w:pPr>
        <w:pStyle w:val="Heading1"/>
        <w:pageBreakBefore/>
        <w:bidi/>
      </w:pPr>
      <w:r>
        <w:rPr>
          <w:rFonts w:ascii="Arial" w:cs="Arial" w:eastAsia="Arial" w:hAnsi="Arial"/>
          <w:b/>
          <w:bCs/>
          <w:rtl/>
        </w:rPr>
        <w:t xml:space="preserve">11. أخطاء شائعة يجب تجنبها</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50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الخطأ</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لماذا هو خطأ</w:t>
            </w:r>
          </w:p>
        </w:tc>
        <w:tc>
          <w:tcPr>
            <w:tcW w:type="dxa" w:w="3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الصواب</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تسجيل التحويل بين الأنشطة كمصروف</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يُظهر النشاط المموِّل خاسراً وهو ليس كذلك</w:t>
            </w:r>
          </w:p>
        </w:tc>
        <w:tc>
          <w:tcPr>
            <w:tcW w:type="dxa" w:w="3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يُسجَّل على «الجاري بين الأنشطة» (ACC-02)</w:t>
            </w:r>
          </w:p>
        </w:tc>
      </w:tr>
      <w:tr>
        <w:tc>
          <w:tcPr>
            <w:tcW w:type="dxa" w:w="3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اعتبار أموال الأطباء إيراداً للمجموعة</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يضخّم الربح ويخفي الالتزامات</w:t>
            </w:r>
          </w:p>
        </w:tc>
        <w:tc>
          <w:tcPr>
            <w:tcW w:type="dxa" w:w="35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تُسجَّل كالتزام «مستحقات للأطباء» (RPT-11)</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تسجيل قيمة الكورس في دفاترنا</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الطالب يدفعها للطبيب مباشرة</w:t>
            </w:r>
          </w:p>
        </w:tc>
        <w:tc>
          <w:tcPr>
            <w:tcW w:type="dxa" w:w="3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لا قيد لها؛ نسجّل رسوم المنصة فقط (APP-05)</w:t>
            </w:r>
          </w:p>
        </w:tc>
      </w:tr>
      <w:tr>
        <w:tc>
          <w:tcPr>
            <w:tcW w:type="dxa" w:w="3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اعتبار رسوم المنصة التزاماً علينا</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الاتجاه معكوس تماماً</w:t>
            </w:r>
          </w:p>
        </w:tc>
        <w:tc>
          <w:tcPr>
            <w:tcW w:type="dxa" w:w="35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هي أصل لنا ومديونية على الطبيب</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تسجيل معاملة بدون مركز تكلفة</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لا تظهر في ربحية أي نشاط</w:t>
            </w:r>
          </w:p>
        </w:tc>
        <w:tc>
          <w:tcPr>
            <w:tcW w:type="dxa" w:w="3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مركز التكلفة إلزامي في كل قيد</w:t>
            </w:r>
          </w:p>
        </w:tc>
      </w:tr>
      <w:tr>
        <w:tc>
          <w:tcPr>
            <w:tcW w:type="dxa" w:w="3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حذف معاملة خاطئة</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يكسر سلسلة المراجعة</w:t>
            </w:r>
          </w:p>
        </w:tc>
        <w:tc>
          <w:tcPr>
            <w:tcW w:type="dxa" w:w="35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قيد عكسي مع بقاء الأصلي (ACC-07)</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خصم مصروفات تشغيلية قبل حصة الطبيب</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يخالف الاتفاق</w:t>
            </w:r>
          </w:p>
        </w:tc>
        <w:tc>
          <w:tcPr>
            <w:tcW w:type="dxa" w:w="3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تكلفة التصنيع فقط (DOC-11)</w:t>
            </w:r>
          </w:p>
        </w:tc>
      </w:tr>
      <w:tr>
        <w:tc>
          <w:tcPr>
            <w:tcW w:type="dxa" w:w="3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اعتبار العربون إيراداً عند قبضه</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الخدمة لم تُقدَّم بعد</w:t>
            </w:r>
          </w:p>
        </w:tc>
        <w:tc>
          <w:tcPr>
            <w:tcW w:type="dxa" w:w="35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التزام حتى تقديم الخدمة</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تغيير تكلفة إصدار بعد البيع</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يُفسد التسويات السابقة</w:t>
            </w:r>
          </w:p>
        </w:tc>
        <w:tc>
          <w:tcPr>
            <w:tcW w:type="dxa" w:w="3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التكلفة تُثبَّت وقت البيع (DOC-04)</w:t>
            </w:r>
          </w:p>
        </w:tc>
      </w:tr>
    </w:tbl>
    <w:p>
      <w:pPr>
        <w:pStyle w:val="Heading1"/>
        <w:pageBreakBefore/>
        <w:bidi/>
      </w:pPr>
      <w:r>
        <w:rPr>
          <w:rFonts w:ascii="Arial" w:cs="Arial" w:eastAsia="Arial" w:hAnsi="Arial"/>
          <w:b/>
          <w:bCs/>
          <w:rtl/>
        </w:rPr>
        <w:t xml:space="preserve">12. أسئلة للمحاسب قبل الاعتماد</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5100"/>
        <w:gridCol w:w="1500"/>
        <w:gridCol w:w="270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w:t>
            </w:r>
          </w:p>
        </w:tc>
        <w:tc>
          <w:tcPr>
            <w:tcW w:type="dxa" w:w="5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السؤال</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المرجع</w:t>
            </w:r>
          </w:p>
        </w:tc>
        <w:tc>
          <w:tcPr>
            <w:tcW w:type="dxa" w:w="27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الإجابة</w:t>
            </w:r>
          </w:p>
        </w:tc>
      </w:tr>
      <w:t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1</w:t>
            </w:r>
          </w:p>
        </w:tc>
        <w:tc>
          <w:tcPr>
            <w:tcW w:type="dxa" w:w="5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هل طريقة تقييم المخزون Moving Average مناسبة، أم FIFO أفضل لطبيعة النشاط؟</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المخزون</w:t>
            </w:r>
          </w:p>
        </w:tc>
        <w:tc>
          <w:tcPr>
            <w:tcW w:type="dxa" w:w="27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
            </w:r>
          </w:p>
        </w:tc>
      </w:tr>
      <w:tr>
        <w:tc>
          <w:tcPr>
            <w:tcW w:type="dxa" w:w="6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2</w:t>
            </w:r>
          </w:p>
        </w:tc>
        <w:tc>
          <w:tcPr>
            <w:tcW w:type="dxa" w:w="51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هل تُحتسب تكلفة الإصدار كاملة أم تكلفة النسخ المباعة فقط؟</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DOC-04</w:t>
            </w:r>
          </w:p>
        </w:tc>
        <w:tc>
          <w:tcPr>
            <w:tcW w:type="dxa" w:w="27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3</w:t>
            </w:r>
          </w:p>
        </w:tc>
        <w:tc>
          <w:tcPr>
            <w:tcW w:type="dxa" w:w="5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هل تشمل تكلفة التصنيع أجر العمالة أم الخامات فقط؟</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DOC-11</w:t>
            </w:r>
          </w:p>
        </w:tc>
        <w:tc>
          <w:tcPr>
            <w:tcW w:type="dxa" w:w="27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
            </w:r>
          </w:p>
        </w:tc>
      </w:tr>
      <w:tr>
        <w:tc>
          <w:tcPr>
            <w:tcW w:type="dxa" w:w="6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4</w:t>
            </w:r>
          </w:p>
        </w:tc>
        <w:tc>
          <w:tcPr>
            <w:tcW w:type="dxa" w:w="51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هل مديونية الطبيب تُعالَج كذمة مدينة عادية أم تحتاج مخصصاً؟</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DOC-20</w:t>
            </w:r>
          </w:p>
        </w:tc>
        <w:tc>
          <w:tcPr>
            <w:tcW w:type="dxa" w:w="27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5</w:t>
            </w:r>
          </w:p>
        </w:tc>
        <w:tc>
          <w:tcPr>
            <w:tcW w:type="dxa" w:w="5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ما المعالجة الضريبية لرسوم المنصة؟ وهل تخضع لضريبة القيمة المضافة؟</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APP-05</w:t>
            </w:r>
          </w:p>
        </w:tc>
        <w:tc>
          <w:tcPr>
            <w:tcW w:type="dxa" w:w="27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
            </w:r>
          </w:p>
        </w:tc>
      </w:tr>
      <w:tr>
        <w:tc>
          <w:tcPr>
            <w:tcW w:type="dxa" w:w="6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6</w:t>
            </w:r>
          </w:p>
        </w:tc>
        <w:tc>
          <w:tcPr>
            <w:tcW w:type="dxa" w:w="51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الاستوديو غير مسجل بالضرائب — كيف تُعالَج إيراداته في التقارير الموحدة؟</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ACC-08</w:t>
            </w:r>
          </w:p>
        </w:tc>
        <w:tc>
          <w:tcPr>
            <w:tcW w:type="dxa" w:w="27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7</w:t>
            </w:r>
          </w:p>
        </w:tc>
        <w:tc>
          <w:tcPr>
            <w:tcW w:type="dxa" w:w="5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هل يلزم فصل حساب بنكي لكل نشاط أم حساب موحد يكفي؟</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ACC</w:t>
            </w:r>
          </w:p>
        </w:tc>
        <w:tc>
          <w:tcPr>
            <w:tcW w:type="dxa" w:w="27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
            </w:r>
          </w:p>
        </w:tc>
      </w:tr>
      <w:tr>
        <w:tc>
          <w:tcPr>
            <w:tcW w:type="dxa" w:w="6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8</w:t>
            </w:r>
          </w:p>
        </w:tc>
        <w:tc>
          <w:tcPr>
            <w:tcW w:type="dxa" w:w="51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هل تُعتمد قاعدة توزيع واحدة للمصروف المشترك أم تختلف حسب نوع المصروف؟</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EXP-04</w:t>
            </w:r>
          </w:p>
        </w:tc>
        <w:tc>
          <w:tcPr>
            <w:tcW w:type="dxa" w:w="27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
            </w:r>
          </w:p>
        </w:tc>
      </w:tr>
      <w:t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9</w:t>
            </w:r>
          </w:p>
        </w:tc>
        <w:tc>
          <w:tcPr>
            <w:tcW w:type="dxa" w:w="5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ما دورية إقفال الفترات المحاسبية؟ شهرية أم مع الفترات الأكاديمية؟</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CORE-09</w:t>
            </w:r>
          </w:p>
        </w:tc>
        <w:tc>
          <w:tcPr>
            <w:tcW w:type="dxa" w:w="27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
            </w:r>
          </w:p>
        </w:tc>
      </w:tr>
      <w:tr>
        <w:tc>
          <w:tcPr>
            <w:tcW w:type="dxa" w:w="6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10</w:t>
            </w:r>
          </w:p>
        </w:tc>
        <w:tc>
          <w:tcPr>
            <w:tcW w:type="dxa" w:w="51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هل يُعالَج فرق التقريب في التسعير كإيراد أم كتسوية؟</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DOC-28</w:t>
            </w:r>
          </w:p>
        </w:tc>
        <w:tc>
          <w:tcPr>
            <w:tcW w:type="dxa" w:w="27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
            </w:r>
          </w:p>
        </w:tc>
      </w:tr>
    </w:tbl>
    <w:p>
      <w:pPr>
        <w:pStyle w:val="Heading1"/>
        <w:bidi/>
      </w:pPr>
      <w:r>
        <w:rPr>
          <w:rFonts w:ascii="Arial" w:cs="Arial" w:eastAsia="Arial" w:hAnsi="Arial"/>
          <w:b/>
          <w:bCs/>
          <w:rtl/>
        </w:rPr>
        <w:t xml:space="preserve">13. الاعتماد</w:t>
      </w:r>
    </w:p>
    <w:p>
      <w:pPr>
        <w:keepNext/>
        <w:bidi/>
        <w:spacing w:after="120" w:before="0"/>
      </w:pPr>
      <w:r>
        <w:rPr>
          <w:rFonts w:ascii="Arial" w:cs="Arial" w:eastAsia="Arial" w:hAnsi="Arial"/>
          <w:rtl/>
        </w:rPr>
        <w:t xml:space="preserve">بالتوقيع أدناه يُقر المحاسب بمراجعة قواعد الترحيل الواردة في هذا المستند والموافقة عليها كأساس لبناء دليل الحسابات داخل النظام.</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700"/>
        <w:gridCol w:w="230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الصفة</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الاسم</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التوقيع</w:t>
            </w:r>
          </w:p>
        </w:tc>
        <w:tc>
          <w:tcPr>
            <w:tcW w:type="dxa" w:w="23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bidi/>
            </w:pPr>
            <w:r>
              <w:rPr>
                <w:rFonts w:ascii="Arial" w:cs="Arial" w:eastAsia="Arial" w:hAnsi="Arial"/>
                <w:b/>
                <w:bCs/>
                <w:color w:val="FFFFFF"/>
                <w:sz w:val="19"/>
                <w:szCs w:val="19"/>
                <w:rtl/>
              </w:rPr>
              <w:t xml:space="preserve">التاريخ</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المحاسب</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w:t>
            </w:r>
          </w:p>
        </w:tc>
        <w:tc>
          <w:tcPr>
            <w:tcW w:type="dxa" w:w="23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w:t>
            </w:r>
          </w:p>
        </w:tc>
      </w:tr>
      <w:t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المالك</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w:t>
            </w:r>
          </w:p>
        </w:tc>
        <w:tc>
          <w:tcPr>
            <w:tcW w:type="dxa" w:w="230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center"/>
          </w:tcPr>
          <w:p>
            <w:pPr>
              <w:bidi/>
            </w:pPr>
            <w:r>
              <w:rPr>
                <w:rFonts w:ascii="Arial" w:cs="Arial" w:eastAsia="Arial" w:hAnsi="Arial"/>
                <w:sz w:val="19"/>
                <w:szCs w:val="19"/>
                <w:rtl/>
              </w:rPr>
              <w:t xml:space="preserve">……………………</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فريق التطوير</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w:t>
            </w:r>
          </w:p>
        </w:tc>
        <w:tc>
          <w:tcPr>
            <w:tcW w:type="dxa" w:w="23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pPr>
            <w:r>
              <w:rPr>
                <w:rFonts w:ascii="Arial" w:cs="Arial" w:eastAsia="Arial" w:hAnsi="Arial"/>
                <w:sz w:val="19"/>
                <w:szCs w:val="19"/>
                <w:rtl/>
              </w:rPr>
              <w:t xml:space="preserve">……………………</w:t>
            </w:r>
          </w:p>
        </w:tc>
      </w:tr>
    </w:tbl>
    <w:sectPr>
      <w:headerReference w:type="default" r:id="rId7"/>
      <w:footerReference w:type="default" r:id="rId8"/>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color w:val="808080"/>
        <w:sz w:val="18"/>
        <w:szCs w:val="18"/>
        <w:rtl/>
      </w:rPr>
      <w:t xml:space="preserve">قواعد الترحيل المحاسبي — الإصدار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6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2E5597"/>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2026-10-03T11:32:14.843Z</dcterms:created>
  <dcterms:modified xsi:type="dcterms:W3CDTF">2026-10-03T11:32:14.849Z</dcterms:modified>
</cp:coreProperties>
</file>

<file path=docProps/custom.xml><?xml version="1.0" encoding="utf-8"?>
<Properties xmlns="http://schemas.openxmlformats.org/officeDocument/2006/custom-properties" xmlns:vt="http://schemas.openxmlformats.org/officeDocument/2006/docPropsVTypes"/>
</file>