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79" w:rsidRPr="00C340FD" w:rsidRDefault="00FE42F3">
      <w:pPr>
        <w:rPr>
          <w:b/>
        </w:rPr>
      </w:pPr>
      <w:r w:rsidRPr="00C340FD">
        <w:rPr>
          <w:b/>
          <w:lang w:val="en-US"/>
        </w:rPr>
        <w:t>Overview</w:t>
      </w:r>
      <w:r w:rsidRPr="00C340FD">
        <w:rPr>
          <w:b/>
        </w:rPr>
        <w:t xml:space="preserve"> </w:t>
      </w:r>
      <w:proofErr w:type="spellStart"/>
      <w:r w:rsidRPr="00C340FD">
        <w:rPr>
          <w:b/>
        </w:rPr>
        <w:t>прайсинга</w:t>
      </w:r>
      <w:proofErr w:type="spellEnd"/>
      <w:r w:rsidR="00FA0E2E" w:rsidRPr="00C340FD">
        <w:rPr>
          <w:b/>
        </w:rPr>
        <w:t xml:space="preserve"> </w:t>
      </w:r>
      <w:r w:rsidR="00FA0E2E" w:rsidRPr="00C340FD">
        <w:rPr>
          <w:b/>
          <w:lang w:val="en-US"/>
        </w:rPr>
        <w:t>CVA</w:t>
      </w:r>
    </w:p>
    <w:p w:rsidR="009979E2" w:rsidRDefault="00FA0E2E">
      <w:r>
        <w:t xml:space="preserve">Все сделки </w:t>
      </w:r>
      <w:r>
        <w:rPr>
          <w:lang w:val="en-US"/>
        </w:rPr>
        <w:t>CVA</w:t>
      </w:r>
      <w:r w:rsidRPr="00FA0E2E">
        <w:t xml:space="preserve"> </w:t>
      </w:r>
      <w:r>
        <w:t xml:space="preserve">портфеля можно разделить на сделки </w:t>
      </w:r>
      <w:r>
        <w:rPr>
          <w:lang w:val="en-US"/>
        </w:rPr>
        <w:t>SPO</w:t>
      </w:r>
      <w:r w:rsidRPr="00FA0E2E">
        <w:t xml:space="preserve"> </w:t>
      </w:r>
      <w:r>
        <w:t xml:space="preserve">и сделки </w:t>
      </w:r>
      <w:proofErr w:type="spellStart"/>
      <w:r>
        <w:t>Тербанков</w:t>
      </w:r>
      <w:proofErr w:type="spellEnd"/>
      <w:r>
        <w:t xml:space="preserve">. </w:t>
      </w:r>
    </w:p>
    <w:p w:rsidR="009979E2" w:rsidRPr="00FE42F3" w:rsidRDefault="009979E2">
      <w:r>
        <w:rPr>
          <w:lang w:val="en-US"/>
        </w:rPr>
        <w:t>SPO</w:t>
      </w:r>
      <w:r w:rsidRPr="009979E2">
        <w:t xml:space="preserve"> – </w:t>
      </w:r>
      <w:r>
        <w:t>сделки с крупными клиентами, в большинстве случаев сделки большие. На</w:t>
      </w:r>
      <w:r w:rsidRPr="00CE329A">
        <w:t xml:space="preserve"> </w:t>
      </w:r>
      <w:r>
        <w:t xml:space="preserve">данный момент в основном </w:t>
      </w:r>
      <w:r>
        <w:rPr>
          <w:lang w:val="en-US"/>
        </w:rPr>
        <w:t>XCCYs</w:t>
      </w:r>
      <w:r w:rsidRPr="00CE329A">
        <w:t xml:space="preserve">, </w:t>
      </w:r>
      <w:r>
        <w:rPr>
          <w:lang w:val="en-US"/>
        </w:rPr>
        <w:t>IRSs</w:t>
      </w:r>
      <w:r w:rsidR="00FE42F3">
        <w:t>.</w:t>
      </w:r>
    </w:p>
    <w:p w:rsidR="00FA0E2E" w:rsidRDefault="009979E2">
      <w:proofErr w:type="spellStart"/>
      <w:r>
        <w:t>Тербанки</w:t>
      </w:r>
      <w:proofErr w:type="spellEnd"/>
      <w:r>
        <w:t xml:space="preserve"> – сделки с региональными клиентами. Сделки на потоке, составляют существенную часть портфеля, могут быть достаточно большими.</w:t>
      </w:r>
      <w:r w:rsidR="00FA0E2E">
        <w:t xml:space="preserve"> </w:t>
      </w:r>
      <w:r>
        <w:t>В</w:t>
      </w:r>
      <w:r w:rsidRPr="009979E2">
        <w:rPr>
          <w:lang w:val="en-US"/>
        </w:rPr>
        <w:t xml:space="preserve"> </w:t>
      </w:r>
      <w:r>
        <w:t>основном</w:t>
      </w:r>
      <w:r w:rsidRPr="009979E2">
        <w:rPr>
          <w:lang w:val="en-US"/>
        </w:rPr>
        <w:t xml:space="preserve"> </w:t>
      </w:r>
      <w:r>
        <w:t>делают</w:t>
      </w:r>
      <w:r w:rsidRPr="009979E2">
        <w:rPr>
          <w:lang w:val="en-US"/>
        </w:rPr>
        <w:t xml:space="preserve"> </w:t>
      </w:r>
      <w:r>
        <w:rPr>
          <w:lang w:val="en-US"/>
        </w:rPr>
        <w:t>Caps, Floors, Collars</w:t>
      </w:r>
      <w:r w:rsidRPr="009979E2">
        <w:rPr>
          <w:lang w:val="en-US"/>
        </w:rPr>
        <w:t xml:space="preserve">, </w:t>
      </w:r>
      <w:r>
        <w:t>все</w:t>
      </w:r>
      <w:r w:rsidRPr="009979E2">
        <w:rPr>
          <w:lang w:val="en-US"/>
        </w:rPr>
        <w:t xml:space="preserve"> </w:t>
      </w:r>
      <w:r>
        <w:t>с</w:t>
      </w:r>
      <w:r w:rsidRPr="009979E2">
        <w:rPr>
          <w:lang w:val="en-US"/>
        </w:rPr>
        <w:t xml:space="preserve"> </w:t>
      </w:r>
      <w:r>
        <w:rPr>
          <w:lang w:val="en-US"/>
        </w:rPr>
        <w:t xml:space="preserve">running premium. </w:t>
      </w:r>
      <w:r>
        <w:t xml:space="preserve">Основной кредитный риск в данной премии. </w:t>
      </w:r>
    </w:p>
    <w:p w:rsidR="00E92205" w:rsidRDefault="009979E2">
      <w:r>
        <w:t xml:space="preserve">В </w:t>
      </w:r>
      <w:proofErr w:type="spellStart"/>
      <w:r>
        <w:t>прайсинге</w:t>
      </w:r>
      <w:proofErr w:type="spellEnd"/>
      <w:r>
        <w:t xml:space="preserve"> </w:t>
      </w:r>
      <w:r>
        <w:rPr>
          <w:lang w:val="en-US"/>
        </w:rPr>
        <w:t>CVA</w:t>
      </w:r>
      <w:r w:rsidRPr="009979E2">
        <w:t xml:space="preserve"> </w:t>
      </w:r>
      <w:r>
        <w:t>две ключевые составляющие - рас</w:t>
      </w:r>
      <w:r>
        <w:rPr>
          <w:lang w:val="en-US"/>
        </w:rPr>
        <w:t>c</w:t>
      </w:r>
      <w:r>
        <w:t xml:space="preserve">чет </w:t>
      </w:r>
      <w:r>
        <w:rPr>
          <w:lang w:val="en-US"/>
        </w:rPr>
        <w:t>EPE</w:t>
      </w:r>
      <w:r w:rsidRPr="009979E2">
        <w:t>/</w:t>
      </w:r>
      <w:r>
        <w:rPr>
          <w:lang w:val="en-US"/>
        </w:rPr>
        <w:t>ENE</w:t>
      </w:r>
      <w:r w:rsidRPr="009979E2">
        <w:t xml:space="preserve"> </w:t>
      </w:r>
      <w:r w:rsidR="00E92205">
        <w:t xml:space="preserve">и </w:t>
      </w:r>
      <w:r>
        <w:t xml:space="preserve">оценка кредитного качества контрагента. </w:t>
      </w:r>
    </w:p>
    <w:p w:rsidR="00E92205" w:rsidRDefault="00E92205">
      <w:r>
        <w:t>Показателем кредитного качества является кредитный рейтинг контрагента или облигации/</w:t>
      </w:r>
      <w:r>
        <w:rPr>
          <w:lang w:val="en-US"/>
        </w:rPr>
        <w:t>CDS</w:t>
      </w:r>
      <w:r>
        <w:t>, если такие торгуются. Кредитным рейтингам соо</w:t>
      </w:r>
      <w:r w:rsidR="0024080C">
        <w:t>тветствуют кредитные спреды</w:t>
      </w:r>
      <w:r>
        <w:t xml:space="preserve">. На основе рейтинг-спредов или </w:t>
      </w:r>
      <w:r>
        <w:rPr>
          <w:lang w:val="en-US"/>
        </w:rPr>
        <w:t>z</w:t>
      </w:r>
      <w:r w:rsidRPr="00E92205">
        <w:t>-</w:t>
      </w:r>
      <w:r>
        <w:t>спредов,</w:t>
      </w:r>
      <w:r w:rsidRPr="00E92205">
        <w:t xml:space="preserve"> </w:t>
      </w:r>
      <w:r>
        <w:rPr>
          <w:lang w:val="en-US"/>
        </w:rPr>
        <w:t>CDS</w:t>
      </w:r>
      <w:r>
        <w:t xml:space="preserve"> спредов</w:t>
      </w:r>
      <w:r w:rsidRPr="00E92205">
        <w:t xml:space="preserve"> </w:t>
      </w:r>
      <w:r>
        <w:t xml:space="preserve">определяется </w:t>
      </w:r>
      <w:r>
        <w:rPr>
          <w:lang w:val="en-US"/>
        </w:rPr>
        <w:t>PD</w:t>
      </w:r>
      <w:r>
        <w:t xml:space="preserve"> (вероятность дефолта) для расчета </w:t>
      </w:r>
      <w:r w:rsidR="0024080C">
        <w:rPr>
          <w:lang w:val="en-US"/>
        </w:rPr>
        <w:t>CVA</w:t>
      </w:r>
      <w:r w:rsidR="0024080C" w:rsidRPr="0024080C">
        <w:t>.</w:t>
      </w:r>
    </w:p>
    <w:p w:rsidR="004F642A" w:rsidRDefault="0024080C">
      <w:r>
        <w:t xml:space="preserve">При этом рейтинговая модель банка непрозрачна. </w:t>
      </w:r>
      <w:r w:rsidR="00E92205">
        <w:t xml:space="preserve">Если по итогу анализа, деск не согласен с рейтингом (например, рейтинг 8 у компании </w:t>
      </w:r>
      <w:r w:rsidR="00E92205">
        <w:rPr>
          <w:lang w:val="en-US"/>
        </w:rPr>
        <w:t>No</w:t>
      </w:r>
      <w:r w:rsidR="00E92205" w:rsidRPr="00E92205">
        <w:t xml:space="preserve"> </w:t>
      </w:r>
      <w:r>
        <w:rPr>
          <w:lang w:val="en-US"/>
        </w:rPr>
        <w:t>N</w:t>
      </w:r>
      <w:r w:rsidR="00E92205">
        <w:rPr>
          <w:lang w:val="en-US"/>
        </w:rPr>
        <w:t>ame</w:t>
      </w:r>
      <w:r w:rsidR="00E92205" w:rsidRPr="00E92205">
        <w:t xml:space="preserve"> </w:t>
      </w:r>
      <w:r>
        <w:rPr>
          <w:lang w:val="en-US"/>
        </w:rPr>
        <w:t>F</w:t>
      </w:r>
      <w:r w:rsidR="00E92205">
        <w:rPr>
          <w:lang w:val="en-US"/>
        </w:rPr>
        <w:t>rom</w:t>
      </w:r>
      <w:r w:rsidR="00E92205">
        <w:t xml:space="preserve"> </w:t>
      </w:r>
      <w:r>
        <w:rPr>
          <w:lang w:val="en-US"/>
        </w:rPr>
        <w:t>N</w:t>
      </w:r>
      <w:r w:rsidR="00E92205">
        <w:rPr>
          <w:lang w:val="en-US"/>
        </w:rPr>
        <w:t>owhere</w:t>
      </w:r>
      <w:r w:rsidR="00E92205" w:rsidRPr="00E92205">
        <w:t>)</w:t>
      </w:r>
      <w:r w:rsidR="00E92205">
        <w:t xml:space="preserve">, то деск поднимает данный вопрос с </w:t>
      </w:r>
      <w:proofErr w:type="spellStart"/>
      <w:r w:rsidR="00E92205">
        <w:t>сейлзами</w:t>
      </w:r>
      <w:proofErr w:type="spellEnd"/>
      <w:r w:rsidR="00E92205">
        <w:t xml:space="preserve"> и может </w:t>
      </w:r>
      <w:proofErr w:type="spellStart"/>
      <w:r w:rsidR="00E92205">
        <w:t>прайсить</w:t>
      </w:r>
      <w:proofErr w:type="spellEnd"/>
      <w:r w:rsidRPr="0024080C">
        <w:t xml:space="preserve"> </w:t>
      </w:r>
      <w:r>
        <w:t>на рейтинге, который деск считает более корректным.</w:t>
      </w:r>
    </w:p>
    <w:p w:rsidR="004F642A" w:rsidRPr="00C340FD" w:rsidRDefault="00CE329A">
      <w:pPr>
        <w:rPr>
          <w:b/>
        </w:rPr>
      </w:pPr>
      <w:proofErr w:type="spellStart"/>
      <w:r w:rsidRPr="00C340FD">
        <w:rPr>
          <w:b/>
        </w:rPr>
        <w:t>Прайсинг</w:t>
      </w:r>
      <w:proofErr w:type="spellEnd"/>
      <w:r w:rsidRPr="00C340FD">
        <w:rPr>
          <w:b/>
        </w:rPr>
        <w:t xml:space="preserve"> сделок </w:t>
      </w:r>
    </w:p>
    <w:p w:rsidR="004F642A" w:rsidRPr="00CE329A" w:rsidRDefault="004F642A" w:rsidP="004F642A">
      <w:pPr>
        <w:pStyle w:val="ListParagraph"/>
        <w:numPr>
          <w:ilvl w:val="0"/>
          <w:numId w:val="1"/>
        </w:numPr>
      </w:pPr>
      <w:r>
        <w:t xml:space="preserve">Запросить </w:t>
      </w:r>
      <w:proofErr w:type="spellStart"/>
      <w:r>
        <w:t>тимплейт</w:t>
      </w:r>
      <w:proofErr w:type="spellEnd"/>
      <w:r>
        <w:t xml:space="preserve"> в </w:t>
      </w:r>
      <w:r>
        <w:rPr>
          <w:lang w:val="en-US"/>
        </w:rPr>
        <w:t>MX</w:t>
      </w:r>
      <w:r>
        <w:t xml:space="preserve"> и </w:t>
      </w:r>
      <w:proofErr w:type="spellStart"/>
      <w:r>
        <w:t>забукировать</w:t>
      </w:r>
      <w:proofErr w:type="spellEnd"/>
      <w:r>
        <w:t xml:space="preserve"> сделку</w:t>
      </w:r>
      <w:r w:rsidRPr="004F642A">
        <w:t xml:space="preserve"> </w:t>
      </w:r>
      <w:r>
        <w:t xml:space="preserve">на контрагента </w:t>
      </w:r>
      <w:r>
        <w:rPr>
          <w:lang w:val="en-US"/>
        </w:rPr>
        <w:t>CVA</w:t>
      </w:r>
      <w:r w:rsidRPr="004F642A">
        <w:t>_</w:t>
      </w:r>
      <w:r>
        <w:rPr>
          <w:lang w:val="en-US"/>
        </w:rPr>
        <w:t>PRICING</w:t>
      </w:r>
      <w:r w:rsidRPr="004F642A">
        <w:t xml:space="preserve"> </w:t>
      </w:r>
      <w:r>
        <w:t xml:space="preserve">в портфель </w:t>
      </w:r>
      <w:r>
        <w:rPr>
          <w:lang w:val="en-US"/>
        </w:rPr>
        <w:t>MUREX</w:t>
      </w:r>
      <w:r w:rsidRPr="004F642A">
        <w:t>_</w:t>
      </w:r>
      <w:r>
        <w:rPr>
          <w:lang w:val="en-US"/>
        </w:rPr>
        <w:t>CVA</w:t>
      </w:r>
    </w:p>
    <w:p w:rsidR="00CE329A" w:rsidRDefault="00CE329A" w:rsidP="004F642A">
      <w:pPr>
        <w:pStyle w:val="ListParagraph"/>
        <w:numPr>
          <w:ilvl w:val="0"/>
          <w:numId w:val="1"/>
        </w:numPr>
      </w:pPr>
      <w:r>
        <w:t xml:space="preserve">В </w:t>
      </w:r>
      <w:r>
        <w:rPr>
          <w:lang w:val="en-US"/>
        </w:rPr>
        <w:t>PS</w:t>
      </w:r>
      <w:r>
        <w:t xml:space="preserve"> установить рейтинг и </w:t>
      </w:r>
      <w:r>
        <w:rPr>
          <w:lang w:val="en-US"/>
        </w:rPr>
        <w:t>LGD</w:t>
      </w:r>
      <w:r w:rsidRPr="00CE329A">
        <w:t xml:space="preserve"> (</w:t>
      </w:r>
      <w:r>
        <w:rPr>
          <w:lang w:val="en-US"/>
        </w:rPr>
        <w:t>by</w:t>
      </w:r>
      <w:r w:rsidRPr="00CE329A">
        <w:t xml:space="preserve"> </w:t>
      </w:r>
      <w:r>
        <w:rPr>
          <w:lang w:val="en-US"/>
        </w:rPr>
        <w:t>default</w:t>
      </w:r>
      <w:r w:rsidRPr="00CE329A">
        <w:t xml:space="preserve"> 75%)</w:t>
      </w:r>
    </w:p>
    <w:p w:rsidR="004F642A" w:rsidRDefault="004F642A" w:rsidP="004F642A">
      <w:pPr>
        <w:pStyle w:val="ListParagraph"/>
        <w:numPr>
          <w:ilvl w:val="0"/>
          <w:numId w:val="1"/>
        </w:numPr>
      </w:pPr>
      <w:proofErr w:type="spellStart"/>
      <w:r>
        <w:t>Запрайсить</w:t>
      </w:r>
      <w:proofErr w:type="spellEnd"/>
      <w:r>
        <w:t xml:space="preserve"> сделку в </w:t>
      </w:r>
      <w:r>
        <w:rPr>
          <w:lang w:val="en-US"/>
        </w:rPr>
        <w:t>Pricing</w:t>
      </w:r>
      <w:r w:rsidRPr="004F642A">
        <w:t xml:space="preserve"> </w:t>
      </w:r>
      <w:r>
        <w:rPr>
          <w:lang w:val="en-US"/>
        </w:rPr>
        <w:t>Service</w:t>
      </w:r>
      <w:r w:rsidRPr="004F642A">
        <w:t xml:space="preserve"> (</w:t>
      </w:r>
      <w:r>
        <w:t xml:space="preserve">Саша Токаева поможет ответить на все вопросы по </w:t>
      </w:r>
      <w:r>
        <w:rPr>
          <w:lang w:val="en-US"/>
        </w:rPr>
        <w:t>PS</w:t>
      </w:r>
      <w:r w:rsidRPr="004F642A">
        <w:t>)</w:t>
      </w:r>
    </w:p>
    <w:p w:rsidR="004F642A" w:rsidRPr="00480396" w:rsidRDefault="004F642A" w:rsidP="004F642A">
      <w:pPr>
        <w:pStyle w:val="ListParagraph"/>
        <w:numPr>
          <w:ilvl w:val="0"/>
          <w:numId w:val="1"/>
        </w:numPr>
      </w:pPr>
      <w:r>
        <w:t xml:space="preserve">При </w:t>
      </w:r>
      <w:proofErr w:type="spellStart"/>
      <w:r>
        <w:t>прайсинге</w:t>
      </w:r>
      <w:proofErr w:type="spellEnd"/>
      <w:r>
        <w:t xml:space="preserve"> сделки проверить, что </w:t>
      </w:r>
      <w:r>
        <w:rPr>
          <w:lang w:val="en-US"/>
        </w:rPr>
        <w:t>day</w:t>
      </w:r>
      <w:r w:rsidRPr="004F642A">
        <w:t xml:space="preserve">1 </w:t>
      </w:r>
      <w:r>
        <w:rPr>
          <w:lang w:val="en-US"/>
        </w:rPr>
        <w:t>MTM</w:t>
      </w:r>
      <w:r w:rsidRPr="004F642A">
        <w:t xml:space="preserve"> </w:t>
      </w:r>
      <w:r>
        <w:t xml:space="preserve">в </w:t>
      </w:r>
      <w:r>
        <w:rPr>
          <w:lang w:val="en-US"/>
        </w:rPr>
        <w:t>PS</w:t>
      </w:r>
      <w:r>
        <w:t xml:space="preserve"> совпадает </w:t>
      </w:r>
      <w:r w:rsidR="00CE329A">
        <w:rPr>
          <w:lang w:val="en-US"/>
        </w:rPr>
        <w:t>c</w:t>
      </w:r>
      <w:r w:rsidR="00CE329A" w:rsidRPr="00CE329A">
        <w:t xml:space="preserve"> </w:t>
      </w:r>
      <w:r w:rsidR="00CE329A">
        <w:rPr>
          <w:lang w:val="en-US"/>
        </w:rPr>
        <w:t>day</w:t>
      </w:r>
      <w:r w:rsidR="00CE329A" w:rsidRPr="00CE329A">
        <w:t xml:space="preserve">1 </w:t>
      </w:r>
      <w:r w:rsidR="00CE329A">
        <w:rPr>
          <w:lang w:val="en-US"/>
        </w:rPr>
        <w:t>MTM</w:t>
      </w:r>
      <w:r w:rsidR="00CE329A">
        <w:t xml:space="preserve"> в</w:t>
      </w:r>
      <w:r w:rsidR="00CE329A" w:rsidRPr="00CE329A">
        <w:t xml:space="preserve"> </w:t>
      </w:r>
      <w:r w:rsidR="00CE329A">
        <w:rPr>
          <w:lang w:val="en-US"/>
        </w:rPr>
        <w:t>Murex</w:t>
      </w:r>
    </w:p>
    <w:p w:rsidR="00480396" w:rsidRPr="00480396" w:rsidRDefault="00480396" w:rsidP="004F642A">
      <w:pPr>
        <w:pStyle w:val="ListParagraph"/>
        <w:numPr>
          <w:ilvl w:val="0"/>
          <w:numId w:val="1"/>
        </w:numPr>
      </w:pPr>
      <w:r>
        <w:t>Сделка</w:t>
      </w:r>
      <w:r w:rsidRPr="00480396">
        <w:rPr>
          <w:lang w:val="en-US"/>
        </w:rPr>
        <w:t xml:space="preserve"> </w:t>
      </w:r>
      <w:r>
        <w:t>должна</w:t>
      </w:r>
      <w:r w:rsidRPr="00480396">
        <w:rPr>
          <w:lang w:val="en-US"/>
        </w:rPr>
        <w:t xml:space="preserve"> </w:t>
      </w:r>
      <w:proofErr w:type="spellStart"/>
      <w:r>
        <w:t>букироваться</w:t>
      </w:r>
      <w:proofErr w:type="spellEnd"/>
      <w:r w:rsidRPr="00480396">
        <w:rPr>
          <w:lang w:val="en-US"/>
        </w:rPr>
        <w:t xml:space="preserve"> </w:t>
      </w:r>
      <w:r>
        <w:rPr>
          <w:lang w:val="en-US"/>
        </w:rPr>
        <w:t>all</w:t>
      </w:r>
      <w:r w:rsidRPr="00480396">
        <w:rPr>
          <w:lang w:val="en-US"/>
        </w:rPr>
        <w:t xml:space="preserve"> </w:t>
      </w:r>
      <w:r>
        <w:rPr>
          <w:lang w:val="en-US"/>
        </w:rPr>
        <w:t>in</w:t>
      </w:r>
      <w:r w:rsidRPr="00480396">
        <w:rPr>
          <w:lang w:val="en-US"/>
        </w:rPr>
        <w:t xml:space="preserve"> (</w:t>
      </w:r>
      <w:r>
        <w:rPr>
          <w:lang w:val="en-US"/>
        </w:rPr>
        <w:t>slippage</w:t>
      </w:r>
      <w:r w:rsidRPr="00480396">
        <w:rPr>
          <w:lang w:val="en-US"/>
        </w:rPr>
        <w:t xml:space="preserve">, </w:t>
      </w:r>
      <w:r>
        <w:rPr>
          <w:lang w:val="en-US"/>
        </w:rPr>
        <w:t>sales credit, CVA).</w:t>
      </w:r>
      <w:r w:rsidRPr="00480396">
        <w:rPr>
          <w:lang w:val="en-US"/>
        </w:rPr>
        <w:t xml:space="preserve"> </w:t>
      </w:r>
      <w:r>
        <w:t xml:space="preserve">Если </w:t>
      </w:r>
      <w:proofErr w:type="spellStart"/>
      <w:r>
        <w:t>букируют</w:t>
      </w:r>
      <w:proofErr w:type="spellEnd"/>
      <w:r>
        <w:t xml:space="preserve"> без </w:t>
      </w:r>
      <w:r>
        <w:rPr>
          <w:lang w:val="en-US"/>
        </w:rPr>
        <w:t>CVA</w:t>
      </w:r>
      <w:r w:rsidRPr="00480396">
        <w:t xml:space="preserve"> </w:t>
      </w:r>
      <w:r>
        <w:t xml:space="preserve">и </w:t>
      </w:r>
      <w:r>
        <w:rPr>
          <w:lang w:val="en-US"/>
        </w:rPr>
        <w:t>CVA</w:t>
      </w:r>
      <w:r>
        <w:t xml:space="preserve"> по сделке небольшой, то просто котируем эту цифру (+</w:t>
      </w:r>
      <w:r w:rsidRPr="00480396">
        <w:t xml:space="preserve">~3-5% </w:t>
      </w:r>
      <w:r>
        <w:rPr>
          <w:lang w:val="en-US"/>
        </w:rPr>
        <w:t>mark</w:t>
      </w:r>
      <w:r w:rsidRPr="00480396">
        <w:t>-</w:t>
      </w:r>
      <w:r>
        <w:rPr>
          <w:lang w:val="en-US"/>
        </w:rPr>
        <w:t>up</w:t>
      </w:r>
      <w:r w:rsidRPr="00480396">
        <w:t xml:space="preserve">). </w:t>
      </w:r>
      <w:r>
        <w:t xml:space="preserve">Если </w:t>
      </w:r>
      <w:proofErr w:type="spellStart"/>
      <w:r>
        <w:t>букируют</w:t>
      </w:r>
      <w:proofErr w:type="spellEnd"/>
      <w:r>
        <w:t xml:space="preserve"> без </w:t>
      </w:r>
      <w:r>
        <w:rPr>
          <w:lang w:val="en-US"/>
        </w:rPr>
        <w:t>CVA</w:t>
      </w:r>
      <w:r w:rsidR="005C2E3D">
        <w:t>, но</w:t>
      </w:r>
      <w:r w:rsidRPr="00480396">
        <w:t xml:space="preserve"> </w:t>
      </w:r>
      <w:r>
        <w:rPr>
          <w:lang w:val="en-US"/>
        </w:rPr>
        <w:t>CVA</w:t>
      </w:r>
      <w:r w:rsidRPr="00480396">
        <w:t xml:space="preserve"> </w:t>
      </w:r>
      <w:r>
        <w:t xml:space="preserve">по сделке существенный, нужно пересчитать с </w:t>
      </w:r>
      <w:r>
        <w:rPr>
          <w:lang w:val="en-US"/>
        </w:rPr>
        <w:t>CVA</w:t>
      </w:r>
      <w:r>
        <w:t xml:space="preserve">, чтобы учесть эффект </w:t>
      </w:r>
      <w:r>
        <w:rPr>
          <w:lang w:val="en-US"/>
        </w:rPr>
        <w:t>CVA</w:t>
      </w:r>
      <w:r>
        <w:t xml:space="preserve"> на </w:t>
      </w:r>
      <w:r>
        <w:rPr>
          <w:lang w:val="en-US"/>
        </w:rPr>
        <w:t>CVA</w:t>
      </w:r>
    </w:p>
    <w:p w:rsidR="00CE329A" w:rsidRDefault="00CE329A" w:rsidP="004F642A">
      <w:pPr>
        <w:pStyle w:val="ListParagraph"/>
        <w:numPr>
          <w:ilvl w:val="0"/>
          <w:numId w:val="1"/>
        </w:numPr>
      </w:pPr>
      <w:r>
        <w:t xml:space="preserve">Проверить корректность профиля </w:t>
      </w:r>
      <w:r>
        <w:rPr>
          <w:lang w:val="en-US"/>
        </w:rPr>
        <w:t>EPE</w:t>
      </w:r>
      <w:r w:rsidRPr="00CE329A">
        <w:t>/</w:t>
      </w:r>
      <w:r>
        <w:rPr>
          <w:lang w:val="en-US"/>
        </w:rPr>
        <w:t>ENE</w:t>
      </w:r>
      <w:r>
        <w:t xml:space="preserve"> на логичность</w:t>
      </w:r>
    </w:p>
    <w:p w:rsidR="00B71799" w:rsidRDefault="00CE329A" w:rsidP="00B71799">
      <w:pPr>
        <w:pStyle w:val="ListParagraph"/>
        <w:numPr>
          <w:ilvl w:val="0"/>
          <w:numId w:val="1"/>
        </w:numPr>
      </w:pPr>
      <w:r>
        <w:t>По небольшим сделкам (</w:t>
      </w:r>
      <w:r w:rsidR="00E93C64" w:rsidRPr="00E93C64">
        <w:t>$500</w:t>
      </w:r>
      <w:r w:rsidR="00E93C64">
        <w:rPr>
          <w:lang w:val="en-US"/>
        </w:rPr>
        <w:t>k</w:t>
      </w:r>
      <w:r w:rsidR="00E93C64" w:rsidRPr="00E93C64">
        <w:t xml:space="preserve"> &lt;</w:t>
      </w:r>
      <w:proofErr w:type="gramStart"/>
      <w:r w:rsidR="00E93C64">
        <w:rPr>
          <w:lang w:val="en-US"/>
        </w:rPr>
        <w:t>MTM</w:t>
      </w:r>
      <w:r w:rsidRPr="00CE329A">
        <w:t>&lt; $</w:t>
      </w:r>
      <w:proofErr w:type="gramEnd"/>
      <w:r w:rsidRPr="00CE329A">
        <w:t>1</w:t>
      </w:r>
      <w:r>
        <w:rPr>
          <w:lang w:val="en-US"/>
        </w:rPr>
        <w:t>m</w:t>
      </w:r>
      <w:r w:rsidRPr="00CE329A">
        <w:t xml:space="preserve">) </w:t>
      </w:r>
      <w:r w:rsidR="00E93C64">
        <w:t xml:space="preserve">проверяем </w:t>
      </w:r>
      <w:r>
        <w:t xml:space="preserve">к какому сектору относится компания </w:t>
      </w:r>
      <w:r w:rsidR="00E93C64">
        <w:t xml:space="preserve">и </w:t>
      </w:r>
      <w:r>
        <w:t>применяем следующую логику (см .ниже).</w:t>
      </w:r>
    </w:p>
    <w:tbl>
      <w:tblPr>
        <w:tblpPr w:leftFromText="180" w:rightFromText="180" w:vertAnchor="text" w:horzAnchor="margin" w:tblpXSpec="center" w:tblpY="207"/>
        <w:tblW w:w="10211" w:type="dxa"/>
        <w:tblLook w:val="04A0" w:firstRow="1" w:lastRow="0" w:firstColumn="1" w:lastColumn="0" w:noHBand="0" w:noVBand="1"/>
      </w:tblPr>
      <w:tblGrid>
        <w:gridCol w:w="2530"/>
        <w:gridCol w:w="994"/>
        <w:gridCol w:w="222"/>
        <w:gridCol w:w="3280"/>
        <w:gridCol w:w="994"/>
        <w:gridCol w:w="236"/>
        <w:gridCol w:w="1006"/>
        <w:gridCol w:w="994"/>
      </w:tblGrid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>A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>B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>C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Отрасль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Ступени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Снижение</w:t>
            </w:r>
            <w:proofErr w:type="spellEnd"/>
            <w:r w:rsidRPr="00B71799">
              <w:rPr>
                <w:rFonts w:ascii="Calibri" w:eastAsia="Times New Roman" w:hAnsi="Calibri" w:cs="Calibri"/>
                <w:b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оборотов</w:t>
            </w:r>
            <w:proofErr w:type="spellEnd"/>
            <w:r w:rsidRPr="00B71799">
              <w:rPr>
                <w:rFonts w:ascii="Calibri" w:eastAsia="Times New Roman" w:hAnsi="Calibri" w:cs="Calibri"/>
                <w:b/>
                <w:lang w:val="en-US"/>
              </w:rPr>
              <w:t xml:space="preserve"> по </w:t>
            </w: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выручке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Ступени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lang w:val="en-US"/>
              </w:rPr>
              <w:t>Watch list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b/>
                <w:lang w:val="en-US"/>
              </w:rPr>
              <w:t>Ступени</w:t>
            </w:r>
            <w:proofErr w:type="spellEnd"/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Позитивное</w:t>
            </w:r>
            <w:proofErr w:type="spellEnd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влияние</w:t>
            </w:r>
            <w:proofErr w:type="spellEnd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 xml:space="preserve"> / </w:t>
            </w:r>
            <w:proofErr w:type="spellStart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нет</w:t>
            </w:r>
            <w:proofErr w:type="spellEnd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влияния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&lt;25%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0"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color w:val="006100"/>
                <w:sz w:val="20"/>
                <w:lang w:val="en-US"/>
              </w:rPr>
              <w:t>Минимальное</w:t>
            </w:r>
            <w:proofErr w:type="spellEnd"/>
            <w:r w:rsidRPr="00B71799">
              <w:rPr>
                <w:rFonts w:ascii="Calibri" w:eastAsia="Times New Roman" w:hAnsi="Calibri" w:cs="Calibri"/>
                <w:color w:val="006100"/>
                <w:sz w:val="20"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color w:val="006100"/>
                <w:sz w:val="20"/>
                <w:lang w:val="en-US"/>
              </w:rPr>
              <w:t>влияние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color w:val="006100"/>
                <w:sz w:val="20"/>
                <w:lang w:val="en-US"/>
              </w:rPr>
              <w:t>30-50%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sz w:val="2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lang w:val="en-US"/>
              </w:rPr>
              <w:t>0</w:t>
            </w:r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0"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color w:val="9C6500"/>
                <w:sz w:val="20"/>
                <w:lang w:val="en-US"/>
              </w:rPr>
              <w:t>Умеренное</w:t>
            </w:r>
            <w:proofErr w:type="spellEnd"/>
            <w:r w:rsidRPr="00B71799">
              <w:rPr>
                <w:rFonts w:ascii="Calibri" w:eastAsia="Times New Roman" w:hAnsi="Calibri" w:cs="Calibri"/>
                <w:color w:val="9C6500"/>
                <w:sz w:val="20"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color w:val="9C6500"/>
                <w:sz w:val="20"/>
                <w:lang w:val="en-US"/>
              </w:rPr>
              <w:t>влияние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color w:val="9C6500"/>
                <w:sz w:val="20"/>
                <w:lang w:val="en-US"/>
              </w:rPr>
              <w:t>50-75%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9C0006"/>
                <w:lang w:val="en-US"/>
              </w:rPr>
            </w:pPr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  <w:t>Критическое</w:t>
            </w:r>
            <w:proofErr w:type="spellEnd"/>
            <w:r w:rsidRPr="00B71799"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  <w:t>влияние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  <w:t>&gt;75%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sz w:val="20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</w:pPr>
            <w:r w:rsidRPr="00B71799">
              <w:rPr>
                <w:rFonts w:ascii="Calibri" w:eastAsia="Times New Roman" w:hAnsi="Calibri" w:cs="Calibri"/>
                <w:color w:val="9C0006"/>
                <w:sz w:val="2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lang w:val="en-US"/>
              </w:rPr>
              <w:t>1</w:t>
            </w:r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71799" w:rsidRPr="00B71799" w:rsidTr="00B71799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>Корректировка</w:t>
            </w:r>
            <w:proofErr w:type="spellEnd"/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>рейтинга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B71799">
              <w:rPr>
                <w:rFonts w:ascii="Calibri" w:eastAsia="Times New Roman" w:hAnsi="Calibri" w:cs="Calibri"/>
                <w:b/>
                <w:bCs/>
                <w:lang w:val="en-US"/>
              </w:rPr>
              <w:t>A+B+C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799" w:rsidRPr="00B71799" w:rsidRDefault="00B71799" w:rsidP="00B71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E329A" w:rsidRPr="004F642A" w:rsidRDefault="00CE329A" w:rsidP="00CE329A">
      <w:pPr>
        <w:ind w:left="360"/>
      </w:pPr>
    </w:p>
    <w:p w:rsidR="00E93C64" w:rsidRDefault="00810573" w:rsidP="00B71799">
      <w:r>
        <w:lastRenderedPageBreak/>
        <w:tab/>
        <w:t xml:space="preserve">При этом </w:t>
      </w:r>
      <w:proofErr w:type="spellStart"/>
      <w:r>
        <w:t>прайсинг</w:t>
      </w:r>
      <w:proofErr w:type="spellEnd"/>
      <w:r>
        <w:t xml:space="preserve"> (котировка </w:t>
      </w:r>
      <w:r>
        <w:rPr>
          <w:lang w:val="en-US"/>
        </w:rPr>
        <w:t>CVA</w:t>
      </w:r>
      <w:r>
        <w:t xml:space="preserve">) отдается на фактическом рейтинге при условии, что маржа ТБ по сделке покрывает </w:t>
      </w:r>
      <w:r>
        <w:rPr>
          <w:lang w:val="en-US"/>
        </w:rPr>
        <w:t>CVA</w:t>
      </w:r>
      <w:r>
        <w:t xml:space="preserve"> </w:t>
      </w:r>
      <w:proofErr w:type="gramStart"/>
      <w:r>
        <w:t>н</w:t>
      </w:r>
      <w:r w:rsidR="00E93C64">
        <w:t>а рейтинге</w:t>
      </w:r>
      <w:proofErr w:type="gramEnd"/>
      <w:r w:rsidR="00E93C64">
        <w:t xml:space="preserve"> скорректированном по методу выше.</w:t>
      </w:r>
    </w:p>
    <w:p w:rsidR="00E93C64" w:rsidRDefault="00E93C64" w:rsidP="00E93C64">
      <w:pPr>
        <w:pStyle w:val="ListParagraph"/>
        <w:numPr>
          <w:ilvl w:val="0"/>
          <w:numId w:val="1"/>
        </w:numPr>
      </w:pPr>
      <w:r>
        <w:t xml:space="preserve">По сделкам </w:t>
      </w:r>
      <w:r w:rsidRPr="00E93C64">
        <w:t>$1</w:t>
      </w:r>
      <w:r>
        <w:rPr>
          <w:lang w:val="en-US"/>
        </w:rPr>
        <w:t>m</w:t>
      </w:r>
      <w:r w:rsidRPr="00E93C64">
        <w:t xml:space="preserve">+ </w:t>
      </w:r>
      <w:r>
        <w:t>проводим более глубокий кредитный анализ.</w:t>
      </w:r>
    </w:p>
    <w:p w:rsidR="00E93C64" w:rsidRDefault="00D92CFD" w:rsidP="00E93C64">
      <w:pPr>
        <w:pStyle w:val="ListParagraph"/>
        <w:numPr>
          <w:ilvl w:val="0"/>
          <w:numId w:val="1"/>
        </w:numPr>
      </w:pPr>
      <w:r>
        <w:t xml:space="preserve">На этапе </w:t>
      </w:r>
      <w:proofErr w:type="spellStart"/>
      <w:r>
        <w:t>прайсинга</w:t>
      </w:r>
      <w:proofErr w:type="spellEnd"/>
      <w:r>
        <w:t xml:space="preserve"> материальных сделок и/или на плохих рейтингах оцениваем греки </w:t>
      </w:r>
      <w:r>
        <w:rPr>
          <w:lang w:val="en-US"/>
        </w:rPr>
        <w:t>CVA</w:t>
      </w:r>
      <w:r w:rsidRPr="00D92CFD">
        <w:t xml:space="preserve"> </w:t>
      </w:r>
      <w:r>
        <w:t>и анализируем то, как греки влияют на риск-позицию деска, необходимость, возможность и стоимость хеджирования (обсуждаем со соответствующими десками)</w:t>
      </w:r>
    </w:p>
    <w:p w:rsidR="00480396" w:rsidRPr="007B4E49" w:rsidRDefault="00480396" w:rsidP="00E93C64">
      <w:pPr>
        <w:ind w:left="360"/>
        <w:rPr>
          <w:b/>
        </w:rPr>
      </w:pPr>
      <w:r w:rsidRPr="007B4E49">
        <w:rPr>
          <w:b/>
          <w:lang w:val="en-US"/>
        </w:rPr>
        <w:t>PD</w:t>
      </w:r>
      <w:r w:rsidRPr="007B4E49">
        <w:rPr>
          <w:b/>
        </w:rPr>
        <w:t>-</w:t>
      </w:r>
      <w:r w:rsidRPr="007B4E49">
        <w:rPr>
          <w:b/>
          <w:lang w:val="en-US"/>
        </w:rPr>
        <w:t>shift</w:t>
      </w:r>
      <w:r w:rsidRPr="007B4E49">
        <w:rPr>
          <w:b/>
        </w:rPr>
        <w:t xml:space="preserve"> и </w:t>
      </w:r>
      <w:r w:rsidRPr="007B4E49">
        <w:rPr>
          <w:b/>
          <w:lang w:val="en-US"/>
        </w:rPr>
        <w:t>LGD</w:t>
      </w:r>
      <w:r w:rsidRPr="007B4E49">
        <w:rPr>
          <w:b/>
        </w:rPr>
        <w:t>-</w:t>
      </w:r>
      <w:r w:rsidRPr="007B4E49">
        <w:rPr>
          <w:b/>
          <w:lang w:val="en-US"/>
        </w:rPr>
        <w:t>shift</w:t>
      </w:r>
    </w:p>
    <w:p w:rsidR="00480396" w:rsidRDefault="00480396" w:rsidP="00E93C64">
      <w:pPr>
        <w:ind w:left="360"/>
      </w:pPr>
      <w:r>
        <w:t xml:space="preserve">При </w:t>
      </w:r>
      <w:proofErr w:type="spellStart"/>
      <w:r>
        <w:t>прайсинге</w:t>
      </w:r>
      <w:proofErr w:type="spellEnd"/>
      <w:r>
        <w:t xml:space="preserve"> </w:t>
      </w:r>
      <w:r>
        <w:rPr>
          <w:lang w:val="en-US"/>
        </w:rPr>
        <w:t>CVA</w:t>
      </w:r>
      <w:r w:rsidRPr="00480396">
        <w:t xml:space="preserve"> </w:t>
      </w:r>
      <w:r>
        <w:t xml:space="preserve">существует возможность снижения </w:t>
      </w:r>
      <w:r>
        <w:rPr>
          <w:lang w:val="en-US"/>
        </w:rPr>
        <w:t>CVA</w:t>
      </w:r>
      <w:r>
        <w:t xml:space="preserve"> путем применения </w:t>
      </w:r>
      <w:r>
        <w:rPr>
          <w:lang w:val="en-US"/>
        </w:rPr>
        <w:t>PD</w:t>
      </w:r>
      <w:r w:rsidRPr="00480396">
        <w:t>-</w:t>
      </w:r>
      <w:r>
        <w:rPr>
          <w:lang w:val="en-US"/>
        </w:rPr>
        <w:t>shift</w:t>
      </w:r>
      <w:r w:rsidRPr="00480396">
        <w:t xml:space="preserve"> (</w:t>
      </w:r>
      <w:r>
        <w:t xml:space="preserve">применение рейтинга поручителя) или </w:t>
      </w:r>
      <w:r>
        <w:rPr>
          <w:lang w:val="en-US"/>
        </w:rPr>
        <w:t>LGD</w:t>
      </w:r>
      <w:r w:rsidRPr="00480396">
        <w:t>-</w:t>
      </w:r>
      <w:r>
        <w:rPr>
          <w:lang w:val="en-US"/>
        </w:rPr>
        <w:t>shift</w:t>
      </w:r>
      <w:r>
        <w:t xml:space="preserve"> </w:t>
      </w:r>
      <w:r w:rsidRPr="00480396">
        <w:t>(“</w:t>
      </w:r>
      <w:r>
        <w:t xml:space="preserve">наследование </w:t>
      </w:r>
      <w:r>
        <w:rPr>
          <w:lang w:val="en-US"/>
        </w:rPr>
        <w:t>LGD</w:t>
      </w:r>
      <w:r>
        <w:t xml:space="preserve"> кредита, который обычно ниже 75%).</w:t>
      </w:r>
    </w:p>
    <w:p w:rsidR="007D01CA" w:rsidRPr="007D01CA" w:rsidRDefault="007D01CA" w:rsidP="00E93C64">
      <w:pPr>
        <w:ind w:left="360"/>
      </w:pPr>
      <w:r>
        <w:t xml:space="preserve">Распоряжение </w:t>
      </w:r>
      <w:r>
        <w:rPr>
          <w:lang w:val="en-US"/>
        </w:rPr>
        <w:t>PD</w:t>
      </w:r>
      <w:r w:rsidRPr="007D01CA">
        <w:t>-</w:t>
      </w:r>
      <w:r>
        <w:rPr>
          <w:lang w:val="en-US"/>
        </w:rPr>
        <w:t>shift</w:t>
      </w:r>
      <w:r w:rsidRPr="007D01CA">
        <w:t xml:space="preserve"> </w:t>
      </w:r>
      <w:r>
        <w:t>(</w:t>
      </w:r>
      <w:r w:rsidRPr="007D01CA">
        <w:t>1174-2</w:t>
      </w:r>
      <w:r>
        <w:t>6 Обеспечение по ОФР (PD-</w:t>
      </w:r>
      <w:proofErr w:type="spellStart"/>
      <w:r>
        <w:t>shift</w:t>
      </w:r>
      <w:proofErr w:type="spellEnd"/>
      <w:r>
        <w:t>))</w:t>
      </w:r>
      <w:r w:rsidRPr="007D01CA">
        <w:t xml:space="preserve"> </w:t>
      </w:r>
      <w:r>
        <w:t xml:space="preserve">лежит вот здесь: </w:t>
      </w:r>
      <w:r w:rsidRPr="007D01CA">
        <w:t xml:space="preserve">Q:\GM_Trading\CVA\CVA </w:t>
      </w:r>
      <w:proofErr w:type="spellStart"/>
      <w:r w:rsidRPr="007D01CA">
        <w:t>Methodology</w:t>
      </w:r>
      <w:proofErr w:type="spellEnd"/>
    </w:p>
    <w:p w:rsidR="00681665" w:rsidRPr="00681665" w:rsidRDefault="00681665" w:rsidP="00E93C64">
      <w:pPr>
        <w:ind w:left="360"/>
      </w:pPr>
      <w:proofErr w:type="spellStart"/>
      <w:r w:rsidRPr="00681665">
        <w:t>Распоряжение_КДС</w:t>
      </w:r>
      <w:proofErr w:type="spellEnd"/>
      <w:r w:rsidRPr="00681665">
        <w:t>_</w:t>
      </w:r>
      <w:r w:rsidRPr="00681665">
        <w:rPr>
          <w:lang w:val="en-US"/>
        </w:rPr>
        <w:t>LGD</w:t>
      </w:r>
      <w:r>
        <w:t xml:space="preserve"> лежит вот здесь: </w:t>
      </w:r>
      <w:r w:rsidRPr="00681665">
        <w:rPr>
          <w:lang w:val="en-US"/>
        </w:rPr>
        <w:t>Q</w:t>
      </w:r>
      <w:r w:rsidRPr="00681665">
        <w:t>:\</w:t>
      </w:r>
      <w:r w:rsidRPr="00681665">
        <w:rPr>
          <w:lang w:val="en-US"/>
        </w:rPr>
        <w:t>GM</w:t>
      </w:r>
      <w:r w:rsidRPr="00681665">
        <w:t>_</w:t>
      </w:r>
      <w:r w:rsidRPr="00681665">
        <w:rPr>
          <w:lang w:val="en-US"/>
        </w:rPr>
        <w:t>Trading</w:t>
      </w:r>
      <w:r w:rsidRPr="00681665">
        <w:t>\</w:t>
      </w:r>
      <w:r w:rsidRPr="00681665">
        <w:rPr>
          <w:lang w:val="en-US"/>
        </w:rPr>
        <w:t>CVA</w:t>
      </w:r>
      <w:r w:rsidRPr="00681665">
        <w:t>\</w:t>
      </w:r>
      <w:r w:rsidRPr="00681665">
        <w:rPr>
          <w:lang w:val="en-US"/>
        </w:rPr>
        <w:t>CVA</w:t>
      </w:r>
      <w:r w:rsidRPr="00681665">
        <w:t xml:space="preserve"> </w:t>
      </w:r>
      <w:r w:rsidRPr="00681665">
        <w:rPr>
          <w:lang w:val="en-US"/>
        </w:rPr>
        <w:t>Methodology</w:t>
      </w:r>
    </w:p>
    <w:p w:rsidR="008A1C52" w:rsidRDefault="007D01CA" w:rsidP="0025616C">
      <w:pPr>
        <w:ind w:left="360"/>
      </w:pPr>
      <w:r>
        <w:t xml:space="preserve">Для применения </w:t>
      </w:r>
      <w:r>
        <w:rPr>
          <w:lang w:val="en-US"/>
        </w:rPr>
        <w:t>PD</w:t>
      </w:r>
      <w:r w:rsidRPr="007D01CA">
        <w:t>/</w:t>
      </w:r>
      <w:r>
        <w:rPr>
          <w:lang w:val="en-US"/>
        </w:rPr>
        <w:t>LGD</w:t>
      </w:r>
      <w:r w:rsidRPr="007D01CA">
        <w:t>-</w:t>
      </w:r>
      <w:r>
        <w:rPr>
          <w:lang w:val="en-US"/>
        </w:rPr>
        <w:t>shift</w:t>
      </w:r>
      <w:r>
        <w:t xml:space="preserve"> необходимо выполнение ряда требований (см. в соответствующих документах)</w:t>
      </w:r>
      <w:r w:rsidR="0025616C">
        <w:t xml:space="preserve">. </w:t>
      </w:r>
    </w:p>
    <w:p w:rsidR="0025616C" w:rsidRPr="00C340FD" w:rsidRDefault="0025616C" w:rsidP="0025616C">
      <w:pPr>
        <w:ind w:left="360"/>
      </w:pPr>
      <w:r w:rsidRPr="00C340FD">
        <w:rPr>
          <w:b/>
        </w:rPr>
        <w:t>Важно:</w:t>
      </w:r>
      <w:r>
        <w:t xml:space="preserve"> для применения </w:t>
      </w:r>
      <w:r>
        <w:rPr>
          <w:lang w:val="en-US"/>
        </w:rPr>
        <w:t>PD</w:t>
      </w:r>
      <w:r w:rsidRPr="0025616C">
        <w:t>-</w:t>
      </w:r>
      <w:r>
        <w:rPr>
          <w:lang w:val="en-US"/>
        </w:rPr>
        <w:t>shift</w:t>
      </w:r>
      <w:r w:rsidRPr="0025616C">
        <w:t xml:space="preserve"> </w:t>
      </w:r>
      <w:r>
        <w:t xml:space="preserve">необходим </w:t>
      </w:r>
      <w:r>
        <w:rPr>
          <w:lang w:val="en-US"/>
        </w:rPr>
        <w:t>sign</w:t>
      </w:r>
      <w:r w:rsidRPr="0025616C">
        <w:t xml:space="preserve"> </w:t>
      </w:r>
      <w:r>
        <w:rPr>
          <w:lang w:val="en-US"/>
        </w:rPr>
        <w:t>off</w:t>
      </w:r>
      <w:r>
        <w:t xml:space="preserve"> </w:t>
      </w:r>
      <w:proofErr w:type="spellStart"/>
      <w:r>
        <w:t>андерайтера</w:t>
      </w:r>
      <w:proofErr w:type="spellEnd"/>
      <w:r>
        <w:t xml:space="preserve"> – АР должен анализировать поручителя на предмет его платежеспособности и возможность платить по деривативу.</w:t>
      </w:r>
      <w:r w:rsidR="00C340FD">
        <w:t xml:space="preserve"> </w:t>
      </w:r>
      <w:r w:rsidR="00C340FD">
        <w:rPr>
          <w:lang w:val="en-US"/>
        </w:rPr>
        <w:t>LGD</w:t>
      </w:r>
      <w:r w:rsidR="00C340FD" w:rsidRPr="00C340FD">
        <w:t>-</w:t>
      </w:r>
      <w:r w:rsidR="00C340FD">
        <w:rPr>
          <w:lang w:val="en-US"/>
        </w:rPr>
        <w:t>shift</w:t>
      </w:r>
      <w:r w:rsidR="00C340FD" w:rsidRPr="00C340FD">
        <w:t xml:space="preserve"> </w:t>
      </w:r>
      <w:r w:rsidR="00C340FD">
        <w:t>применятся только к жилой и коммерческой недвижимости при выполнении ряда условий (см. документ)</w:t>
      </w:r>
    </w:p>
    <w:p w:rsidR="00C340FD" w:rsidRPr="00C340FD" w:rsidRDefault="00C340FD" w:rsidP="0025616C">
      <w:pPr>
        <w:ind w:left="360"/>
      </w:pPr>
      <w:r>
        <w:t xml:space="preserve">Всю информацию для </w:t>
      </w:r>
      <w:r>
        <w:rPr>
          <w:lang w:val="en-US"/>
        </w:rPr>
        <w:t>PD</w:t>
      </w:r>
      <w:r w:rsidRPr="00C340FD">
        <w:t>/</w:t>
      </w:r>
      <w:r>
        <w:rPr>
          <w:lang w:val="en-US"/>
        </w:rPr>
        <w:t>LGD</w:t>
      </w:r>
      <w:r w:rsidRPr="00C340FD">
        <w:t>-</w:t>
      </w:r>
      <w:r>
        <w:rPr>
          <w:lang w:val="en-US"/>
        </w:rPr>
        <w:t>shift</w:t>
      </w:r>
      <w:r w:rsidRPr="00C340FD">
        <w:t xml:space="preserve"> </w:t>
      </w:r>
      <w:r>
        <w:t xml:space="preserve">направлять на </w:t>
      </w:r>
      <w:r>
        <w:rPr>
          <w:lang w:val="en-US"/>
        </w:rPr>
        <w:t>IPV</w:t>
      </w:r>
      <w:r>
        <w:t xml:space="preserve"> для согласования, </w:t>
      </w:r>
      <w:r>
        <w:rPr>
          <w:lang w:val="en-US"/>
        </w:rPr>
        <w:t>IPV</w:t>
      </w:r>
      <w:r w:rsidRPr="00C340FD">
        <w:t xml:space="preserve"> </w:t>
      </w:r>
      <w:r>
        <w:t xml:space="preserve">должны дать </w:t>
      </w:r>
      <w:r>
        <w:rPr>
          <w:lang w:val="en-US"/>
        </w:rPr>
        <w:t>sign</w:t>
      </w:r>
      <w:r w:rsidRPr="00C340FD">
        <w:t xml:space="preserve"> </w:t>
      </w:r>
      <w:r>
        <w:rPr>
          <w:lang w:val="en-US"/>
        </w:rPr>
        <w:t>off</w:t>
      </w:r>
      <w:r>
        <w:t xml:space="preserve">. </w:t>
      </w:r>
    </w:p>
    <w:p w:rsidR="00FA0E2E" w:rsidRPr="0002239D" w:rsidRDefault="0002239D" w:rsidP="007D01CA">
      <w:pPr>
        <w:ind w:left="360"/>
        <w:rPr>
          <w:b/>
        </w:rPr>
      </w:pPr>
      <w:r>
        <w:rPr>
          <w:b/>
        </w:rPr>
        <w:t>Кредитный анализ</w:t>
      </w:r>
      <w:r w:rsidR="00E93C64" w:rsidRPr="0002239D">
        <w:rPr>
          <w:b/>
        </w:rPr>
        <w:t xml:space="preserve"> для целей </w:t>
      </w:r>
      <w:r w:rsidR="00E93C64" w:rsidRPr="0002239D">
        <w:rPr>
          <w:b/>
          <w:lang w:val="en-US"/>
        </w:rPr>
        <w:t>CVA</w:t>
      </w:r>
    </w:p>
    <w:p w:rsidR="00944409" w:rsidRDefault="00474E91" w:rsidP="007D01CA">
      <w:pPr>
        <w:ind w:left="360"/>
      </w:pPr>
      <w:r>
        <w:t>Для сделок с</w:t>
      </w:r>
      <w:r w:rsidRPr="00474E91">
        <w:t xml:space="preserve"> </w:t>
      </w:r>
      <w:r>
        <w:rPr>
          <w:lang w:val="en-US"/>
        </w:rPr>
        <w:t>MTM</w:t>
      </w:r>
      <w:r w:rsidRPr="00474E91">
        <w:t xml:space="preserve"> $1</w:t>
      </w:r>
      <w:r>
        <w:rPr>
          <w:lang w:val="en-US"/>
        </w:rPr>
        <w:t>m</w:t>
      </w:r>
      <w:r w:rsidRPr="00474E91">
        <w:t xml:space="preserve">+ </w:t>
      </w:r>
      <w:r w:rsidR="00944409">
        <w:t>необходимо понять детальнее кредитное качество:</w:t>
      </w:r>
    </w:p>
    <w:p w:rsidR="00474E91" w:rsidRDefault="00944409" w:rsidP="00944409">
      <w:pPr>
        <w:pStyle w:val="ListParagraph"/>
        <w:numPr>
          <w:ilvl w:val="0"/>
          <w:numId w:val="2"/>
        </w:numPr>
      </w:pPr>
      <w:r>
        <w:t xml:space="preserve">Запросить у </w:t>
      </w:r>
      <w:proofErr w:type="spellStart"/>
      <w:r>
        <w:t>сейлз</w:t>
      </w:r>
      <w:proofErr w:type="spellEnd"/>
      <w:r>
        <w:t xml:space="preserve"> дополнительную информацию - заключение АР, </w:t>
      </w:r>
      <w:proofErr w:type="spellStart"/>
      <w:r>
        <w:t>презо</w:t>
      </w:r>
      <w:proofErr w:type="spellEnd"/>
      <w:r>
        <w:t xml:space="preserve"> на КПКИ, финансовую модель</w:t>
      </w:r>
    </w:p>
    <w:p w:rsidR="00944409" w:rsidRDefault="00A10178" w:rsidP="00944409">
      <w:pPr>
        <w:pStyle w:val="ListParagraph"/>
        <w:numPr>
          <w:ilvl w:val="0"/>
          <w:numId w:val="2"/>
        </w:numPr>
      </w:pPr>
      <w:r>
        <w:t>Ознакомиться с информацией, негативные/</w:t>
      </w:r>
      <w:r w:rsidR="00944409">
        <w:t>непонятные моменты обсудить либо с АР, либо с кредитным подразделением</w:t>
      </w:r>
    </w:p>
    <w:p w:rsidR="00944409" w:rsidRDefault="00A10178" w:rsidP="00944409">
      <w:pPr>
        <w:pStyle w:val="ListParagraph"/>
        <w:numPr>
          <w:ilvl w:val="0"/>
          <w:numId w:val="2"/>
        </w:numPr>
      </w:pPr>
      <w:r>
        <w:t>Независимо оценить платежеспособность компании по кредитным метрикам, оценить ликвидность компании и достаточность денежного потока для выплат по кредиту и по деривативу</w:t>
      </w:r>
    </w:p>
    <w:p w:rsidR="00352A30" w:rsidRDefault="00A10178" w:rsidP="00944409">
      <w:pPr>
        <w:pStyle w:val="ListParagraph"/>
        <w:numPr>
          <w:ilvl w:val="0"/>
          <w:numId w:val="2"/>
        </w:numPr>
      </w:pPr>
      <w:r>
        <w:t xml:space="preserve">Если есть сомнения в рейтинге (например, 8 рейтинг), то проводится альтернативная оценка кредитного риска с привлечением кредитных аналитиков. Независимая оценка кредитного риска на основе моделей </w:t>
      </w:r>
      <w:r>
        <w:rPr>
          <w:lang w:val="en-US"/>
        </w:rPr>
        <w:t>Moody</w:t>
      </w:r>
      <w:r w:rsidRPr="00A10178">
        <w:t>’</w:t>
      </w:r>
      <w:r>
        <w:rPr>
          <w:lang w:val="en-US"/>
        </w:rPr>
        <w:t>s</w:t>
      </w:r>
      <w:r w:rsidRPr="00A10178">
        <w:t xml:space="preserve"> </w:t>
      </w:r>
      <w:r>
        <w:t>для разных индустрий. Ответственный - Илья Пестряков.</w:t>
      </w:r>
      <w:r w:rsidR="00514FC5">
        <w:t xml:space="preserve"> При расчете кредитных метрик необходимо включать потоки по </w:t>
      </w:r>
      <w:proofErr w:type="gramStart"/>
      <w:r w:rsidR="00514FC5">
        <w:t>деривативу  -</w:t>
      </w:r>
      <w:proofErr w:type="gramEnd"/>
      <w:r w:rsidR="00514FC5">
        <w:t xml:space="preserve"> </w:t>
      </w:r>
      <w:r w:rsidR="00514FC5">
        <w:rPr>
          <w:lang w:val="en-US"/>
        </w:rPr>
        <w:t>EE</w:t>
      </w:r>
      <w:r w:rsidR="00514FC5">
        <w:t xml:space="preserve"> на дату каждого потока (квартал, год и </w:t>
      </w:r>
      <w:proofErr w:type="spellStart"/>
      <w:r w:rsidR="00514FC5">
        <w:t>тп</w:t>
      </w:r>
      <w:proofErr w:type="spellEnd"/>
      <w:r w:rsidR="00514FC5">
        <w:t xml:space="preserve">). Для более консервативной оценки можно использовать </w:t>
      </w:r>
      <w:r w:rsidR="00514FC5">
        <w:rPr>
          <w:lang w:val="en-US"/>
        </w:rPr>
        <w:t>EPE</w:t>
      </w:r>
      <w:r w:rsidR="00514FC5">
        <w:t>.</w:t>
      </w:r>
    </w:p>
    <w:p w:rsidR="005E1D76" w:rsidRDefault="005E1D76" w:rsidP="005E1D76">
      <w:r w:rsidRPr="005E1D76">
        <w:rPr>
          <w:b/>
        </w:rPr>
        <w:t>Важно:</w:t>
      </w:r>
      <w:r>
        <w:t xml:space="preserve"> по сделкам с девелоперами жилой недвижимости необходимо проверять есть и разрешение на строительство в момент заключения </w:t>
      </w:r>
      <w:proofErr w:type="spellStart"/>
      <w:r>
        <w:t>дериватива</w:t>
      </w:r>
      <w:proofErr w:type="spellEnd"/>
      <w:r>
        <w:t xml:space="preserve">. Иначе может оказаться, что РНС </w:t>
      </w:r>
      <w:r>
        <w:lastRenderedPageBreak/>
        <w:t xml:space="preserve">нет, кредит не выдали, а </w:t>
      </w:r>
      <w:proofErr w:type="spellStart"/>
      <w:r>
        <w:t>дериватив</w:t>
      </w:r>
      <w:proofErr w:type="spellEnd"/>
      <w:r>
        <w:t xml:space="preserve"> заключен. Клиенту платить не из чего, а по </w:t>
      </w:r>
      <w:proofErr w:type="spellStart"/>
      <w:r>
        <w:t>деривативу</w:t>
      </w:r>
      <w:proofErr w:type="spellEnd"/>
      <w:r>
        <w:t xml:space="preserve"> он должен МТМ. </w:t>
      </w:r>
    </w:p>
    <w:p w:rsidR="00EF593F" w:rsidRDefault="00EF593F" w:rsidP="005F0456">
      <w:r>
        <w:rPr>
          <w:lang w:val="en-US"/>
        </w:rPr>
        <w:t>CVA</w:t>
      </w:r>
      <w:r>
        <w:t xml:space="preserve"> деску стоит высказывать свое мнение по поводу сделок с клиентами, которые по мнению деска «плохие/токсичные» с точки зрения кредитного риска или могут таковыми стать в ближайшей перспективе. Особенно это касается крупных и длинных сделок.</w:t>
      </w:r>
    </w:p>
    <w:p w:rsidR="00EF593F" w:rsidRDefault="00EF593F" w:rsidP="005F0456">
      <w:r>
        <w:rPr>
          <w:lang w:val="en-US"/>
        </w:rPr>
        <w:t>CVA</w:t>
      </w:r>
      <w:r w:rsidRPr="00EF593F">
        <w:t xml:space="preserve"> </w:t>
      </w:r>
      <w:r>
        <w:t>деск был против нескольких сделок, которые были заключены и которые в итоге на горизонте 6</w:t>
      </w:r>
      <w:r>
        <w:rPr>
          <w:lang w:val="en-US"/>
        </w:rPr>
        <w:t>m</w:t>
      </w:r>
      <w:r w:rsidRPr="00EF593F">
        <w:t>-1</w:t>
      </w:r>
      <w:r>
        <w:rPr>
          <w:lang w:val="en-US"/>
        </w:rPr>
        <w:t>Y</w:t>
      </w:r>
      <w:r w:rsidRPr="00EF593F">
        <w:t xml:space="preserve"> </w:t>
      </w:r>
      <w:r>
        <w:t>стали проблемными/ушли в дефолт.</w:t>
      </w:r>
    </w:p>
    <w:p w:rsidR="00EF593F" w:rsidRDefault="00EF593F" w:rsidP="005F0456">
      <w:r>
        <w:t>Примеры:</w:t>
      </w:r>
    </w:p>
    <w:p w:rsidR="005F0456" w:rsidRDefault="003B6C49" w:rsidP="005F0456">
      <w:r w:rsidRPr="003B6C49">
        <w:rPr>
          <w:b/>
        </w:rPr>
        <w:t>Компания СОКРА</w:t>
      </w:r>
      <w:r>
        <w:t xml:space="preserve">. </w:t>
      </w:r>
      <w:proofErr w:type="spellStart"/>
      <w:r>
        <w:t>Сбер</w:t>
      </w:r>
      <w:proofErr w:type="spellEnd"/>
      <w:r>
        <w:t xml:space="preserve"> выдал </w:t>
      </w:r>
      <w:proofErr w:type="spellStart"/>
      <w:r>
        <w:t>инвест</w:t>
      </w:r>
      <w:proofErr w:type="spellEnd"/>
      <w:r>
        <w:t xml:space="preserve"> кредит на строительство морских судов.</w:t>
      </w:r>
      <w:r w:rsidRPr="003B6C49">
        <w:t xml:space="preserve"> </w:t>
      </w:r>
      <w:r>
        <w:t>ДГР заключил</w:t>
      </w:r>
      <w:r w:rsidRPr="003B6C49">
        <w:t xml:space="preserve"> 5</w:t>
      </w:r>
      <w:r>
        <w:rPr>
          <w:lang w:val="en-US"/>
        </w:rPr>
        <w:t>Y</w:t>
      </w:r>
      <w:r w:rsidRPr="003B6C49">
        <w:t xml:space="preserve"> </w:t>
      </w:r>
      <w:r>
        <w:t xml:space="preserve">процентные </w:t>
      </w:r>
      <w:proofErr w:type="spellStart"/>
      <w:r>
        <w:t>деривативы</w:t>
      </w:r>
      <w:proofErr w:type="spellEnd"/>
      <w:r>
        <w:t xml:space="preserve">. При анализе компании кредитные метрики были не самыми сильными, но приемлемыми. При этом была информация, что шло уголовное расследование в отношении бенефициара компании.  </w:t>
      </w:r>
      <w:r>
        <w:rPr>
          <w:lang w:val="en-US"/>
        </w:rPr>
        <w:t>CVA</w:t>
      </w:r>
      <w:r w:rsidRPr="003B6C49">
        <w:t xml:space="preserve"> </w:t>
      </w:r>
      <w:r>
        <w:t xml:space="preserve">деск указывал на это как на большой риск (в случае ареста возможно потеря экспертизы, смена контроля, отказ от </w:t>
      </w:r>
      <w:proofErr w:type="spellStart"/>
      <w:r>
        <w:t>дериватива</w:t>
      </w:r>
      <w:proofErr w:type="spellEnd"/>
      <w:r>
        <w:t xml:space="preserve"> новыми акционерами, банкротство и </w:t>
      </w:r>
      <w:proofErr w:type="spellStart"/>
      <w:r>
        <w:t>тп</w:t>
      </w:r>
      <w:proofErr w:type="spellEnd"/>
      <w:r>
        <w:t xml:space="preserve">.) Сделку сделали. В итоге бенефициара и его супругу </w:t>
      </w:r>
      <w:r w:rsidR="00964CF6" w:rsidRPr="00964CF6">
        <w:t>“</w:t>
      </w:r>
      <w:r>
        <w:t>посадили</w:t>
      </w:r>
      <w:r w:rsidR="00964CF6" w:rsidRPr="00964CF6">
        <w:t>”</w:t>
      </w:r>
      <w:r>
        <w:t xml:space="preserve"> и клиент вышел на просрочку и по </w:t>
      </w:r>
      <w:proofErr w:type="spellStart"/>
      <w:r>
        <w:t>деривативу</w:t>
      </w:r>
      <w:proofErr w:type="spellEnd"/>
      <w:r w:rsidR="00964CF6">
        <w:t>,</w:t>
      </w:r>
      <w:r>
        <w:t xml:space="preserve"> и по кредиту. Клиен</w:t>
      </w:r>
      <w:r w:rsidR="00964CF6">
        <w:t>т</w:t>
      </w:r>
      <w:r>
        <w:t xml:space="preserve">а передают в ДРПА, </w:t>
      </w:r>
      <w:proofErr w:type="spellStart"/>
      <w:r>
        <w:t>дериватив</w:t>
      </w:r>
      <w:proofErr w:type="spellEnd"/>
      <w:r>
        <w:t xml:space="preserve"> терминируют и у ДГР возникнет убыток на </w:t>
      </w:r>
      <w:r w:rsidRPr="003B6C49">
        <w:t>$</w:t>
      </w:r>
      <w:r>
        <w:t>2</w:t>
      </w:r>
      <w:r>
        <w:rPr>
          <w:lang w:val="en-US"/>
        </w:rPr>
        <w:t>m</w:t>
      </w:r>
      <w:r w:rsidR="005F0456">
        <w:t>.</w:t>
      </w:r>
    </w:p>
    <w:p w:rsidR="00EF593F" w:rsidRDefault="005F0456" w:rsidP="005F0456">
      <w:r w:rsidRPr="005F0456">
        <w:rPr>
          <w:b/>
        </w:rPr>
        <w:t>Компания Разрез Южный.</w:t>
      </w:r>
      <w:r w:rsidR="00C47E60">
        <w:rPr>
          <w:b/>
        </w:rPr>
        <w:t xml:space="preserve"> </w:t>
      </w:r>
      <w:r w:rsidR="007E3582">
        <w:rPr>
          <w:b/>
        </w:rPr>
        <w:t xml:space="preserve"> </w:t>
      </w:r>
      <w:r w:rsidR="007E3582" w:rsidRPr="007E3582">
        <w:t>10-летнее</w:t>
      </w:r>
      <w:r w:rsidR="007E3582">
        <w:t xml:space="preserve"> инвестиционное</w:t>
      </w:r>
      <w:r w:rsidR="007E3582" w:rsidRPr="007E3582">
        <w:t xml:space="preserve"> финансирование</w:t>
      </w:r>
      <w:r w:rsidR="007E3582">
        <w:t xml:space="preserve"> </w:t>
      </w:r>
      <w:r w:rsidR="007E3582">
        <w:rPr>
          <w:lang w:val="en-US"/>
        </w:rPr>
        <w:t>greenfield</w:t>
      </w:r>
      <w:r w:rsidR="007E3582" w:rsidRPr="007E3582">
        <w:t xml:space="preserve"> </w:t>
      </w:r>
      <w:r w:rsidR="007E3582">
        <w:t xml:space="preserve">проекта по строительству угольной шахты соответствующий 10-летний процентный </w:t>
      </w:r>
      <w:proofErr w:type="spellStart"/>
      <w:r w:rsidR="007E3582">
        <w:t>дериватив</w:t>
      </w:r>
      <w:proofErr w:type="spellEnd"/>
      <w:r w:rsidR="007E3582">
        <w:t xml:space="preserve">. Объем 16 млрд. руб. </w:t>
      </w:r>
      <w:r w:rsidR="007E3582">
        <w:rPr>
          <w:lang w:val="en-US"/>
        </w:rPr>
        <w:t>CVA</w:t>
      </w:r>
      <w:r w:rsidR="007E3582">
        <w:t xml:space="preserve"> в принципе был против заключения такой большой сделки на такой длинный срок под инвестиционный кредит (компания начинает генерировать поток только через несколько лет). Плюс мире шел отказ от угля. Обеспечение по </w:t>
      </w:r>
      <w:proofErr w:type="spellStart"/>
      <w:r w:rsidR="007E3582">
        <w:t>деривативу</w:t>
      </w:r>
      <w:proofErr w:type="spellEnd"/>
      <w:r w:rsidR="007E3582">
        <w:t xml:space="preserve"> было слабое (поручительства бенефициаров). В результате у компании сейчас задержки по проекту, финансирование приостановлено, проект существенно подорожал. </w:t>
      </w:r>
    </w:p>
    <w:p w:rsidR="00B578AF" w:rsidRPr="00B578AF" w:rsidRDefault="00B578AF" w:rsidP="005F0456">
      <w:pPr>
        <w:rPr>
          <w:b/>
        </w:rPr>
      </w:pPr>
      <w:r>
        <w:t xml:space="preserve">Также мы полагали, что рейтинговая модель некорректно учитывает новый кредит, что делает рейтинг лучше, чем на самом деле и ожидали ухудшения рейтинга после выдачи кредита. В связи с этим при заключении сделки мы зарезервировали на продуктовом деске дополнительную сумму </w:t>
      </w:r>
      <w:r>
        <w:rPr>
          <w:lang w:val="en-US"/>
        </w:rPr>
        <w:t>CVA</w:t>
      </w:r>
      <w:r>
        <w:t xml:space="preserve"> на 1 месяц (</w:t>
      </w:r>
      <w:r>
        <w:rPr>
          <w:lang w:val="en-US"/>
        </w:rPr>
        <w:t>CVA</w:t>
      </w:r>
      <w:r>
        <w:t xml:space="preserve"> на текущем рейтинге </w:t>
      </w:r>
      <w:proofErr w:type="spellStart"/>
      <w:r>
        <w:t>зачарджили</w:t>
      </w:r>
      <w:proofErr w:type="spellEnd"/>
      <w:r>
        <w:t xml:space="preserve">), чтобы проверить будет ухудшение рейтинга или нет. Если бы рейтинг ухудшился, то продуктовый деск перевел бы нам доп. резерв, в противном случае мы распускаем резерв в </w:t>
      </w:r>
      <w:proofErr w:type="spellStart"/>
      <w:r>
        <w:rPr>
          <w:lang w:val="en-US"/>
        </w:rPr>
        <w:t>PnL</w:t>
      </w:r>
      <w:proofErr w:type="spellEnd"/>
      <w:r w:rsidRPr="00B578AF">
        <w:t xml:space="preserve"> </w:t>
      </w:r>
      <w:proofErr w:type="spellStart"/>
      <w:r>
        <w:t>сейлзам</w:t>
      </w:r>
      <w:proofErr w:type="spellEnd"/>
      <w:r>
        <w:t xml:space="preserve"> (так и случилось). Однако, рейтинг ухудшился немного позже.</w:t>
      </w:r>
      <w:bookmarkStart w:id="0" w:name="_GoBack"/>
      <w:bookmarkEnd w:id="0"/>
      <w:r>
        <w:t xml:space="preserve"> </w:t>
      </w:r>
    </w:p>
    <w:p w:rsidR="00C47E60" w:rsidRPr="005F0456" w:rsidRDefault="00C47E60" w:rsidP="005F0456">
      <w:pPr>
        <w:rPr>
          <w:b/>
        </w:rPr>
      </w:pPr>
    </w:p>
    <w:p w:rsidR="00352A30" w:rsidRDefault="00352A30">
      <w:r>
        <w:br w:type="page"/>
      </w:r>
    </w:p>
    <w:p w:rsidR="00352A30" w:rsidRPr="008A1C52" w:rsidRDefault="008A1C52" w:rsidP="00352A30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proofErr w:type="spellStart"/>
      <w:r w:rsidRPr="008A1C5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Букирование</w:t>
      </w:r>
      <w:proofErr w:type="spellEnd"/>
      <w:r w:rsidRPr="008A1C5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CVA </w:t>
      </w:r>
      <w:proofErr w:type="spellStart"/>
      <w:r w:rsidRPr="008A1C5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fee</w:t>
      </w:r>
      <w:proofErr w:type="spellEnd"/>
      <w:r w:rsidRPr="008A1C5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</w:p>
    <w:p w:rsidR="008A1C52" w:rsidRDefault="008A1C52" w:rsidP="00352A30"/>
    <w:p w:rsidR="00352A30" w:rsidRDefault="00352A30" w:rsidP="00352A30">
      <w:r>
        <w:t>При заключении сделки нужно сделать следующее:</w:t>
      </w:r>
    </w:p>
    <w:p w:rsidR="00352A30" w:rsidRDefault="00352A30" w:rsidP="00352A30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Букировать</w:t>
      </w:r>
      <w:proofErr w:type="spellEnd"/>
      <w:r>
        <w:t xml:space="preserve"> </w:t>
      </w:r>
      <w:proofErr w:type="spellStart"/>
      <w:r>
        <w:t>чардж</w:t>
      </w:r>
      <w:proofErr w:type="spellEnd"/>
      <w:r>
        <w:t xml:space="preserve"> </w:t>
      </w:r>
      <w:r w:rsidR="008A1C52" w:rsidRPr="008A1C52">
        <w:t>(</w:t>
      </w:r>
      <w:r w:rsidRPr="005173E8">
        <w:rPr>
          <w:lang w:val="en-US"/>
        </w:rPr>
        <w:t>CVA</w:t>
      </w:r>
      <w:r w:rsidRPr="00450349">
        <w:t xml:space="preserve"> </w:t>
      </w:r>
      <w:r w:rsidRPr="005173E8">
        <w:rPr>
          <w:lang w:val="en-US"/>
        </w:rPr>
        <w:t>fee</w:t>
      </w:r>
      <w:r w:rsidR="008A1C52" w:rsidRPr="008A1C52">
        <w:t>)</w:t>
      </w:r>
      <w:r>
        <w:t xml:space="preserve"> с продуктового деска</w:t>
      </w:r>
      <w:r w:rsidR="00E55BBE" w:rsidRPr="00E55BBE">
        <w:t xml:space="preserve"> </w:t>
      </w:r>
      <w:r w:rsidR="00E55BBE">
        <w:t>на соответствующую книжку</w:t>
      </w:r>
      <w:r w:rsidR="008A1C52" w:rsidRPr="008A1C52">
        <w:t xml:space="preserve"> </w:t>
      </w:r>
      <w:r w:rsidR="008A1C52">
        <w:rPr>
          <w:lang w:val="en-US"/>
        </w:rPr>
        <w:t>CVA</w:t>
      </w:r>
      <w:r w:rsidR="008A1C52" w:rsidRPr="008A1C52">
        <w:t xml:space="preserve"> </w:t>
      </w:r>
      <w:r w:rsidR="008A1C52">
        <w:t>деска</w:t>
      </w:r>
      <w:r w:rsidR="00E55BBE">
        <w:t xml:space="preserve"> (см. ниже структуру)</w:t>
      </w:r>
    </w:p>
    <w:p w:rsidR="00352A30" w:rsidRDefault="00352A30" w:rsidP="00352A3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Отразить </w:t>
      </w:r>
      <w:proofErr w:type="spellStart"/>
      <w:r>
        <w:t>чардж</w:t>
      </w:r>
      <w:proofErr w:type="spellEnd"/>
      <w:r>
        <w:t xml:space="preserve"> в таблице </w:t>
      </w:r>
      <w:proofErr w:type="spellStart"/>
      <w:r>
        <w:t>чарджей</w:t>
      </w:r>
      <w:proofErr w:type="spellEnd"/>
    </w:p>
    <w:p w:rsidR="00352A30" w:rsidRDefault="00352A30" w:rsidP="00352A3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Добавить нового контрагента, если это первая сделка с этим контрагентом: (1) указать этого контрагента в соответствующей таблице (вкладка </w:t>
      </w:r>
      <w:r>
        <w:rPr>
          <w:lang w:val="en-US"/>
        </w:rPr>
        <w:t>Counterparties</w:t>
      </w:r>
      <w:r w:rsidRPr="00B91169">
        <w:t>)</w:t>
      </w:r>
      <w:r>
        <w:t xml:space="preserve"> и (2) написать </w:t>
      </w:r>
      <w:r w:rsidRPr="005173E8">
        <w:rPr>
          <w:lang w:val="en-US"/>
        </w:rPr>
        <w:t>CVA</w:t>
      </w:r>
      <w:r w:rsidRPr="00450349">
        <w:t xml:space="preserve"> </w:t>
      </w:r>
      <w:r w:rsidRPr="005173E8">
        <w:rPr>
          <w:lang w:val="en-US"/>
        </w:rPr>
        <w:t>support</w:t>
      </w:r>
      <w:r>
        <w:t xml:space="preserve">, </w:t>
      </w:r>
      <w:r w:rsidRPr="005173E8">
        <w:rPr>
          <w:lang w:val="en-US"/>
        </w:rPr>
        <w:t>IPV</w:t>
      </w:r>
      <w:r w:rsidRPr="00450349">
        <w:t xml:space="preserve"> </w:t>
      </w:r>
      <w:r>
        <w:t>и в контроль рыночных рисков пись</w:t>
      </w:r>
      <w:r w:rsidR="0030345A">
        <w:t>мо с просьбой отразить контрагента как новый бизнес</w:t>
      </w:r>
    </w:p>
    <w:p w:rsidR="00352A30" w:rsidRDefault="00352A30" w:rsidP="00352A3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Если этот контрагент уже есть, но был указан как </w:t>
      </w:r>
      <w:r w:rsidRPr="001B4D2B">
        <w:rPr>
          <w:lang w:val="en-US"/>
        </w:rPr>
        <w:t>Old</w:t>
      </w:r>
      <w:r w:rsidRPr="00B91169">
        <w:t xml:space="preserve"> </w:t>
      </w:r>
      <w:r>
        <w:t xml:space="preserve">на вкладке </w:t>
      </w:r>
      <w:r w:rsidRPr="001B4D2B">
        <w:rPr>
          <w:lang w:val="en-US"/>
        </w:rPr>
        <w:t>Counterparties</w:t>
      </w:r>
      <w:r>
        <w:t xml:space="preserve">, то соглашение на текущий день такое: контрагент становится </w:t>
      </w:r>
      <w:r w:rsidRPr="001B4D2B">
        <w:rPr>
          <w:lang w:val="en-US"/>
        </w:rPr>
        <w:t>New</w:t>
      </w:r>
      <w:r>
        <w:t>, мы об этом должны сообщить в контроль рыночных рисков (Диме Зайцеву).</w:t>
      </w:r>
    </w:p>
    <w:p w:rsidR="00E55BBE" w:rsidRDefault="00E55BBE" w:rsidP="00E55BBE">
      <w:pPr>
        <w:spacing w:after="160" w:line="259" w:lineRule="auto"/>
      </w:pPr>
      <w:r>
        <w:t>Если сделка существенная, то нужно рассчитать риски, оценить, как они зайдут в портфель, и при необходимости сделать хедж с продуктовым деско</w:t>
      </w:r>
      <w:r w:rsidR="00E27A54">
        <w:t>м на соответствующую книгу</w:t>
      </w:r>
      <w:r w:rsidR="0030345A" w:rsidRPr="0030345A">
        <w:t xml:space="preserve"> (</w:t>
      </w:r>
      <w:r w:rsidR="00733967">
        <w:t>см. структуру ниже)</w:t>
      </w:r>
      <w:r w:rsidR="00E27A54">
        <w:t>.</w:t>
      </w:r>
    </w:p>
    <w:p w:rsidR="00E55BBE" w:rsidRPr="00E55BBE" w:rsidRDefault="008A1C52" w:rsidP="00E55BBE">
      <w:pPr>
        <w:spacing w:after="160" w:line="259" w:lineRule="auto"/>
      </w:pPr>
      <w:r>
        <w:rPr>
          <w:b/>
        </w:rPr>
        <w:t>Важно</w:t>
      </w:r>
      <w:r w:rsidR="00E55BBE" w:rsidRPr="008A1C52">
        <w:rPr>
          <w:b/>
        </w:rPr>
        <w:t>:</w:t>
      </w:r>
      <w:r w:rsidR="00E55BBE">
        <w:t xml:space="preserve"> Если делать хедж в</w:t>
      </w:r>
      <w:r w:rsidR="006B3F24">
        <w:t xml:space="preserve"> день заключения сделки, то хеджирующую сделку</w:t>
      </w:r>
      <w:r w:rsidR="00E55BBE">
        <w:t xml:space="preserve"> закрывают по </w:t>
      </w:r>
      <w:proofErr w:type="spellStart"/>
      <w:r w:rsidR="00E55BBE">
        <w:t>миду</w:t>
      </w:r>
      <w:proofErr w:type="spellEnd"/>
      <w:r w:rsidR="006B3F24">
        <w:t>, так как наш риск противоположен риску продуктового деска</w:t>
      </w:r>
      <w:r w:rsidR="00E55BBE">
        <w:t xml:space="preserve">. </w:t>
      </w:r>
      <w:proofErr w:type="spellStart"/>
      <w:r w:rsidR="00E55BBE">
        <w:t>Ребалансировка</w:t>
      </w:r>
      <w:proofErr w:type="spellEnd"/>
      <w:r w:rsidR="00E55BBE">
        <w:t xml:space="preserve"> хеджа уже, как правило</w:t>
      </w:r>
      <w:r w:rsidR="0072156F">
        <w:t>, происходит по рынку – нужно обсуждать с трейдерами с</w:t>
      </w:r>
      <w:r w:rsidR="00DF638D">
        <w:t xml:space="preserve"> </w:t>
      </w:r>
      <w:r w:rsidR="0072156F">
        <w:t>соответствующих десков</w:t>
      </w:r>
      <w:r w:rsidR="00E55BBE">
        <w:t>.</w:t>
      </w:r>
    </w:p>
    <w:p w:rsidR="00A10178" w:rsidRDefault="00A10178" w:rsidP="00041437"/>
    <w:p w:rsidR="007C3119" w:rsidRDefault="007C3119">
      <w:pPr>
        <w:rPr>
          <w:b/>
        </w:rPr>
      </w:pPr>
      <w:r>
        <w:rPr>
          <w:b/>
        </w:rPr>
        <w:br w:type="page"/>
      </w:r>
    </w:p>
    <w:p w:rsidR="00041437" w:rsidRPr="005B7BBE" w:rsidRDefault="00041437" w:rsidP="00041437">
      <w:pPr>
        <w:rPr>
          <w:b/>
        </w:rPr>
      </w:pPr>
      <w:r w:rsidRPr="005B7BBE">
        <w:rPr>
          <w:b/>
        </w:rPr>
        <w:lastRenderedPageBreak/>
        <w:t xml:space="preserve">Структура </w:t>
      </w:r>
      <w:proofErr w:type="spellStart"/>
      <w:r w:rsidRPr="005B7BBE">
        <w:rPr>
          <w:b/>
        </w:rPr>
        <w:t>комбо</w:t>
      </w:r>
      <w:proofErr w:type="spellEnd"/>
      <w:r w:rsidRPr="005B7BBE">
        <w:rPr>
          <w:b/>
        </w:rPr>
        <w:t>:</w:t>
      </w:r>
    </w:p>
    <w:p w:rsidR="00041437" w:rsidRPr="0030345A" w:rsidRDefault="0030345A" w:rsidP="00041437">
      <w:pPr>
        <w:rPr>
          <w:b/>
        </w:rPr>
      </w:pPr>
      <w:r>
        <w:rPr>
          <w:b/>
          <w:lang w:val="en-US"/>
        </w:rPr>
        <w:t>New</w:t>
      </w:r>
      <w:r w:rsidRPr="0030345A">
        <w:rPr>
          <w:b/>
        </w:rPr>
        <w:t xml:space="preserve"> </w:t>
      </w:r>
      <w:r>
        <w:rPr>
          <w:b/>
          <w:lang w:val="en-US"/>
        </w:rPr>
        <w:t>book</w:t>
      </w:r>
      <w:r w:rsidR="00041437" w:rsidRPr="0030345A">
        <w:rPr>
          <w:b/>
        </w:rPr>
        <w:t xml:space="preserve"> </w:t>
      </w:r>
      <w:r w:rsidR="00041437" w:rsidRPr="005B7BBE">
        <w:rPr>
          <w:b/>
          <w:lang w:val="en-US"/>
        </w:rPr>
        <w:t>G</w:t>
      </w:r>
      <w:r w:rsidR="00041437" w:rsidRPr="0030345A">
        <w:rPr>
          <w:b/>
        </w:rPr>
        <w:t>_</w:t>
      </w:r>
      <w:r w:rsidR="00041437" w:rsidRPr="005B7BBE">
        <w:rPr>
          <w:b/>
          <w:lang w:val="en-US"/>
        </w:rPr>
        <w:t>MX</w:t>
      </w:r>
      <w:r w:rsidR="00041437" w:rsidRPr="0030345A">
        <w:rPr>
          <w:b/>
        </w:rPr>
        <w:t>_</w:t>
      </w:r>
      <w:r w:rsidR="00041437" w:rsidRPr="005B7BBE">
        <w:rPr>
          <w:b/>
          <w:lang w:val="en-US"/>
        </w:rPr>
        <w:t>XVA</w:t>
      </w:r>
    </w:p>
    <w:p w:rsidR="00041437" w:rsidRDefault="00041437" w:rsidP="000414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FC323" wp14:editId="20C1F278">
            <wp:extent cx="171553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795" cy="22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BE" w:rsidRPr="005B7BBE" w:rsidRDefault="005B7BBE" w:rsidP="00041437">
      <w:r>
        <w:t>Все книги на балансе ПАО</w:t>
      </w:r>
    </w:p>
    <w:p w:rsidR="00041437" w:rsidRDefault="00041437" w:rsidP="00041437">
      <w:r>
        <w:rPr>
          <w:lang w:val="en-US"/>
        </w:rPr>
        <w:t>XVA</w:t>
      </w:r>
      <w:r w:rsidRPr="00041437">
        <w:t>_</w:t>
      </w:r>
      <w:r>
        <w:rPr>
          <w:lang w:val="en-US"/>
        </w:rPr>
        <w:t>SB</w:t>
      </w:r>
      <w:r w:rsidRPr="00041437">
        <w:t>_</w:t>
      </w:r>
      <w:r>
        <w:rPr>
          <w:lang w:val="en-US"/>
        </w:rPr>
        <w:t>AT</w:t>
      </w:r>
      <w:r w:rsidRPr="00041437">
        <w:t>/</w:t>
      </w:r>
      <w:r>
        <w:rPr>
          <w:lang w:val="en-US"/>
        </w:rPr>
        <w:t>IZ</w:t>
      </w:r>
      <w:r w:rsidRPr="00041437">
        <w:t>/</w:t>
      </w:r>
      <w:r>
        <w:rPr>
          <w:lang w:val="en-US"/>
        </w:rPr>
        <w:t>SM</w:t>
      </w:r>
      <w:r w:rsidRPr="00041437">
        <w:t xml:space="preserve"> – </w:t>
      </w:r>
      <w:r>
        <w:t xml:space="preserve">это именные книжки для </w:t>
      </w:r>
      <w:proofErr w:type="spellStart"/>
      <w:r w:rsidR="005B7BBE">
        <w:t>трейдинга</w:t>
      </w:r>
      <w:proofErr w:type="spellEnd"/>
    </w:p>
    <w:p w:rsidR="00041437" w:rsidRDefault="00041437" w:rsidP="00041437">
      <w:r>
        <w:t xml:space="preserve">Книги </w:t>
      </w:r>
      <w:r w:rsidRPr="00041437">
        <w:t>*_</w:t>
      </w:r>
      <w:r>
        <w:rPr>
          <w:lang w:val="en-US"/>
        </w:rPr>
        <w:t>FEES</w:t>
      </w:r>
      <w:r>
        <w:t xml:space="preserve"> – это книги для </w:t>
      </w:r>
      <w:proofErr w:type="spellStart"/>
      <w:r>
        <w:t>букирования</w:t>
      </w:r>
      <w:proofErr w:type="spellEnd"/>
      <w:r>
        <w:t xml:space="preserve"> </w:t>
      </w:r>
      <w:r>
        <w:rPr>
          <w:lang w:val="en-US"/>
        </w:rPr>
        <w:t>CVA</w:t>
      </w:r>
      <w:r w:rsidRPr="00041437">
        <w:t xml:space="preserve"> </w:t>
      </w:r>
      <w:r>
        <w:rPr>
          <w:lang w:val="en-US"/>
        </w:rPr>
        <w:t>fee</w:t>
      </w:r>
      <w:r>
        <w:t xml:space="preserve"> по типам активов</w:t>
      </w:r>
      <w:r w:rsidR="005B7BBE">
        <w:t xml:space="preserve"> (для удобства)</w:t>
      </w:r>
    </w:p>
    <w:p w:rsidR="00041437" w:rsidRPr="00E55BBE" w:rsidRDefault="00041437" w:rsidP="005B7BBE">
      <w:pPr>
        <w:spacing w:after="120"/>
      </w:pPr>
      <w:r>
        <w:t>Книги для хеджирующих сделок:</w:t>
      </w:r>
    </w:p>
    <w:p w:rsidR="00041437" w:rsidRDefault="00041437" w:rsidP="005B7BBE">
      <w:pPr>
        <w:spacing w:after="0" w:line="240" w:lineRule="auto"/>
        <w:ind w:left="708"/>
      </w:pPr>
      <w:r>
        <w:rPr>
          <w:lang w:val="en-US"/>
        </w:rPr>
        <w:t>XVA</w:t>
      </w:r>
      <w:r w:rsidRPr="00041437">
        <w:t>_</w:t>
      </w:r>
      <w:r>
        <w:rPr>
          <w:lang w:val="en-US"/>
        </w:rPr>
        <w:t>SB</w:t>
      </w:r>
      <w:r w:rsidRPr="00041437">
        <w:t>_</w:t>
      </w:r>
      <w:r>
        <w:rPr>
          <w:lang w:val="en-US"/>
        </w:rPr>
        <w:t>BONDS</w:t>
      </w:r>
      <w:r w:rsidRPr="00041437">
        <w:t xml:space="preserve"> – </w:t>
      </w:r>
      <w:r>
        <w:t>для бондов</w:t>
      </w:r>
    </w:p>
    <w:p w:rsidR="00041437" w:rsidRDefault="00041437" w:rsidP="005B7BBE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XVA_SB_COMM – </w:t>
      </w:r>
      <w:r>
        <w:t>для</w:t>
      </w:r>
      <w:r w:rsidRPr="00041437">
        <w:rPr>
          <w:lang w:val="en-US"/>
        </w:rPr>
        <w:t xml:space="preserve"> </w:t>
      </w:r>
      <w:r>
        <w:rPr>
          <w:lang w:val="en-US"/>
        </w:rPr>
        <w:t>commodity</w:t>
      </w:r>
    </w:p>
    <w:p w:rsidR="00041437" w:rsidRDefault="00041437" w:rsidP="005B7BBE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XVA_SB_CREDIT – </w:t>
      </w:r>
      <w:r>
        <w:t>для</w:t>
      </w:r>
      <w:r>
        <w:rPr>
          <w:lang w:val="en-US"/>
        </w:rPr>
        <w:t xml:space="preserve"> CDS</w:t>
      </w:r>
    </w:p>
    <w:p w:rsidR="00041437" w:rsidRPr="00041437" w:rsidRDefault="00041437" w:rsidP="005B7BBE">
      <w:pPr>
        <w:spacing w:after="0" w:line="240" w:lineRule="auto"/>
        <w:ind w:left="708"/>
      </w:pPr>
      <w:r>
        <w:rPr>
          <w:lang w:val="en-US"/>
        </w:rPr>
        <w:t>XVA</w:t>
      </w:r>
      <w:r w:rsidRPr="00041437">
        <w:t>_</w:t>
      </w:r>
      <w:r>
        <w:rPr>
          <w:lang w:val="en-US"/>
        </w:rPr>
        <w:t>SB</w:t>
      </w:r>
      <w:r w:rsidRPr="00041437">
        <w:t>_</w:t>
      </w:r>
      <w:r>
        <w:rPr>
          <w:lang w:val="en-US"/>
        </w:rPr>
        <w:t>FXD</w:t>
      </w:r>
      <w:r w:rsidRPr="00041437">
        <w:t xml:space="preserve"> – </w:t>
      </w:r>
      <w:r>
        <w:t>для</w:t>
      </w:r>
      <w:r w:rsidRPr="00041437">
        <w:t xml:space="preserve"> </w:t>
      </w:r>
      <w:r>
        <w:rPr>
          <w:lang w:val="en-US"/>
        </w:rPr>
        <w:t>FX</w:t>
      </w:r>
      <w:r w:rsidRPr="00041437">
        <w:t xml:space="preserve"> сделок</w:t>
      </w:r>
    </w:p>
    <w:p w:rsidR="00041437" w:rsidRDefault="005B7BBE" w:rsidP="005B7BBE">
      <w:pPr>
        <w:spacing w:after="0" w:line="240" w:lineRule="auto"/>
        <w:ind w:left="708"/>
      </w:pPr>
      <w:r>
        <w:rPr>
          <w:lang w:val="en-US"/>
        </w:rPr>
        <w:t>XVA</w:t>
      </w:r>
      <w:r w:rsidRPr="005B7BBE">
        <w:t>_</w:t>
      </w:r>
      <w:r>
        <w:rPr>
          <w:lang w:val="en-US"/>
        </w:rPr>
        <w:t>SB</w:t>
      </w:r>
      <w:r w:rsidRPr="005B7BBE">
        <w:t>_</w:t>
      </w:r>
      <w:r>
        <w:rPr>
          <w:lang w:val="en-US"/>
        </w:rPr>
        <w:t>IRD</w:t>
      </w:r>
      <w:r w:rsidRPr="005B7BBE">
        <w:t xml:space="preserve"> – </w:t>
      </w:r>
      <w:r>
        <w:t>для сделок на процентные ставки</w:t>
      </w:r>
    </w:p>
    <w:p w:rsidR="005B7BBE" w:rsidRDefault="005B7BBE" w:rsidP="005B7BBE">
      <w:pPr>
        <w:spacing w:after="0" w:line="240" w:lineRule="auto"/>
      </w:pPr>
    </w:p>
    <w:p w:rsidR="005B7BBE" w:rsidRPr="005B7BBE" w:rsidRDefault="005B7BBE" w:rsidP="00041437">
      <w:r>
        <w:rPr>
          <w:lang w:val="en-US"/>
        </w:rPr>
        <w:t>XVA</w:t>
      </w:r>
      <w:r w:rsidRPr="005B7BBE">
        <w:t>_</w:t>
      </w:r>
      <w:r>
        <w:rPr>
          <w:lang w:val="en-US"/>
        </w:rPr>
        <w:t>SB</w:t>
      </w:r>
      <w:r w:rsidRPr="005B7BBE">
        <w:t>_</w:t>
      </w:r>
      <w:r>
        <w:rPr>
          <w:lang w:val="en-US"/>
        </w:rPr>
        <w:t>OCPHDG</w:t>
      </w:r>
      <w:r w:rsidRPr="005B7BBE">
        <w:t xml:space="preserve"> –</w:t>
      </w:r>
      <w:r>
        <w:t xml:space="preserve"> для хеджирования </w:t>
      </w:r>
      <w:r>
        <w:rPr>
          <w:lang w:val="en-US"/>
        </w:rPr>
        <w:t>OCP</w:t>
      </w: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8A1C52" w:rsidRPr="00EF593F" w:rsidRDefault="008A1C52" w:rsidP="005B7BBE">
      <w:pPr>
        <w:rPr>
          <w:b/>
        </w:rPr>
      </w:pPr>
    </w:p>
    <w:p w:rsidR="005B7BBE" w:rsidRPr="005B7BBE" w:rsidRDefault="0030345A" w:rsidP="005B7BBE">
      <w:pPr>
        <w:rPr>
          <w:b/>
          <w:lang w:val="en-US"/>
        </w:rPr>
      </w:pPr>
      <w:r>
        <w:rPr>
          <w:b/>
          <w:lang w:val="en-US"/>
        </w:rPr>
        <w:t>Residual book</w:t>
      </w:r>
      <w:r w:rsidR="005B7BBE">
        <w:rPr>
          <w:b/>
          <w:lang w:val="en-US"/>
        </w:rPr>
        <w:t xml:space="preserve"> G_MX_S_IRFX_CVA</w:t>
      </w:r>
    </w:p>
    <w:p w:rsidR="00041437" w:rsidRDefault="005B7BBE" w:rsidP="00041437">
      <w:r>
        <w:rPr>
          <w:noProof/>
          <w:lang w:val="en-US"/>
        </w:rPr>
        <w:drawing>
          <wp:inline distT="0" distB="0" distL="0" distR="0" wp14:anchorId="61EF827B" wp14:editId="6958A10D">
            <wp:extent cx="2219325" cy="51558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083" cy="51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BE" w:rsidRDefault="005B7BBE" w:rsidP="00041437">
      <w:r>
        <w:t xml:space="preserve">Книги на балансе </w:t>
      </w:r>
      <w:r>
        <w:rPr>
          <w:lang w:val="en-US"/>
        </w:rPr>
        <w:t>SIB</w:t>
      </w:r>
      <w:r>
        <w:t xml:space="preserve"> закрыты.</w:t>
      </w:r>
    </w:p>
    <w:p w:rsidR="005B7BBE" w:rsidRPr="00363B92" w:rsidRDefault="005B7BBE" w:rsidP="005B7BBE">
      <w:r>
        <w:t>С</w:t>
      </w:r>
      <w:r>
        <w:rPr>
          <w:lang w:val="en-US"/>
        </w:rPr>
        <w:t>VA</w:t>
      </w:r>
      <w:r w:rsidRPr="00041437">
        <w:t>_</w:t>
      </w:r>
      <w:r w:rsidRPr="005B7BBE">
        <w:t>*_</w:t>
      </w:r>
      <w:r>
        <w:rPr>
          <w:lang w:val="en-US"/>
        </w:rPr>
        <w:t>MT</w:t>
      </w:r>
      <w:r w:rsidRPr="00041437">
        <w:t>/</w:t>
      </w:r>
      <w:r>
        <w:rPr>
          <w:lang w:val="en-US"/>
        </w:rPr>
        <w:t>AF</w:t>
      </w:r>
      <w:r w:rsidRPr="005B7BBE">
        <w:t>/</w:t>
      </w:r>
      <w:r>
        <w:rPr>
          <w:lang w:val="en-US"/>
        </w:rPr>
        <w:t>AL</w:t>
      </w:r>
      <w:r w:rsidRPr="005B7BBE">
        <w:t>/</w:t>
      </w:r>
      <w:r w:rsidR="000F6932">
        <w:rPr>
          <w:lang w:val="en-US"/>
        </w:rPr>
        <w:t>CY</w:t>
      </w:r>
      <w:r w:rsidRPr="00041437">
        <w:t>/</w:t>
      </w:r>
      <w:r w:rsidR="000F6932">
        <w:rPr>
          <w:lang w:val="en-US"/>
        </w:rPr>
        <w:t>IZ</w:t>
      </w:r>
      <w:r w:rsidRPr="00041437">
        <w:t xml:space="preserve"> – </w:t>
      </w:r>
      <w:r>
        <w:t xml:space="preserve">это именные книжки для </w:t>
      </w:r>
      <w:proofErr w:type="spellStart"/>
      <w:r>
        <w:t>трейдинга</w:t>
      </w:r>
      <w:proofErr w:type="spellEnd"/>
      <w:r w:rsidR="000F6932">
        <w:t>.</w:t>
      </w:r>
    </w:p>
    <w:p w:rsidR="005B7BBE" w:rsidRDefault="005B7BBE" w:rsidP="00041437">
      <w:r>
        <w:rPr>
          <w:lang w:val="en-US"/>
        </w:rPr>
        <w:t>CSA</w:t>
      </w:r>
      <w:r w:rsidRPr="005B7BBE">
        <w:t>_</w:t>
      </w:r>
      <w:r>
        <w:rPr>
          <w:lang w:val="en-US"/>
        </w:rPr>
        <w:t>CVA</w:t>
      </w:r>
      <w:r w:rsidRPr="005B7BBE">
        <w:t>_</w:t>
      </w:r>
      <w:r>
        <w:rPr>
          <w:lang w:val="en-US"/>
        </w:rPr>
        <w:t>SB</w:t>
      </w:r>
      <w:r w:rsidRPr="005B7BBE">
        <w:t xml:space="preserve">, </w:t>
      </w:r>
      <w:r>
        <w:rPr>
          <w:lang w:val="en-US"/>
        </w:rPr>
        <w:t>CVA</w:t>
      </w:r>
      <w:r w:rsidRPr="005B7BBE">
        <w:t>_</w:t>
      </w:r>
      <w:r>
        <w:rPr>
          <w:lang w:val="en-US"/>
        </w:rPr>
        <w:t>SB</w:t>
      </w:r>
      <w:r w:rsidRPr="005B7BBE">
        <w:t>_</w:t>
      </w:r>
      <w:r>
        <w:rPr>
          <w:lang w:val="en-US"/>
        </w:rPr>
        <w:t>REGOCP</w:t>
      </w:r>
      <w:r w:rsidRPr="005B7BBE">
        <w:t xml:space="preserve">, </w:t>
      </w:r>
      <w:r>
        <w:rPr>
          <w:lang w:val="en-US"/>
        </w:rPr>
        <w:t>CVA</w:t>
      </w:r>
      <w:r w:rsidRPr="005B7BBE">
        <w:t>_</w:t>
      </w:r>
      <w:r>
        <w:rPr>
          <w:lang w:val="en-US"/>
        </w:rPr>
        <w:t>SB</w:t>
      </w:r>
      <w:r w:rsidRPr="005B7BBE">
        <w:t>_</w:t>
      </w:r>
      <w:r>
        <w:rPr>
          <w:lang w:val="en-US"/>
        </w:rPr>
        <w:t>VEGAFX</w:t>
      </w:r>
      <w:r w:rsidR="000F6932">
        <w:t xml:space="preserve">, </w:t>
      </w:r>
      <w:r w:rsidR="000F6932">
        <w:rPr>
          <w:lang w:val="en-US"/>
        </w:rPr>
        <w:t>CVARED</w:t>
      </w:r>
      <w:r w:rsidR="000F6932" w:rsidRPr="000F6932">
        <w:t>_</w:t>
      </w:r>
      <w:r w:rsidR="000F6932">
        <w:rPr>
          <w:lang w:val="en-US"/>
        </w:rPr>
        <w:t>SB</w:t>
      </w:r>
      <w:r w:rsidR="000F6932" w:rsidRPr="000F6932">
        <w:t>_</w:t>
      </w:r>
      <w:r w:rsidR="000F6932">
        <w:rPr>
          <w:lang w:val="en-US"/>
        </w:rPr>
        <w:t>VEGFX</w:t>
      </w:r>
      <w:r w:rsidRPr="005B7BBE">
        <w:t xml:space="preserve"> – </w:t>
      </w:r>
      <w:r>
        <w:rPr>
          <w:lang w:val="en-US"/>
        </w:rPr>
        <w:t>legacy</w:t>
      </w:r>
      <w:r w:rsidRPr="005B7BBE">
        <w:t xml:space="preserve"> </w:t>
      </w:r>
      <w:r>
        <w:t>книги без живых сделок.</w:t>
      </w:r>
    </w:p>
    <w:p w:rsidR="000F6932" w:rsidRPr="00E55BBE" w:rsidRDefault="000F6932" w:rsidP="00041437">
      <w:r w:rsidRPr="00E55BBE">
        <w:t>*</w:t>
      </w:r>
      <w:r>
        <w:rPr>
          <w:lang w:val="en-US"/>
        </w:rPr>
        <w:t>OCPHDG</w:t>
      </w:r>
      <w:r w:rsidRPr="00E55BBE">
        <w:t xml:space="preserve"> – </w:t>
      </w:r>
      <w:r>
        <w:t xml:space="preserve">книги для </w:t>
      </w:r>
      <w:r>
        <w:rPr>
          <w:lang w:val="en-US"/>
        </w:rPr>
        <w:t>OCP</w:t>
      </w:r>
    </w:p>
    <w:p w:rsidR="000F6932" w:rsidRPr="00E55BBE" w:rsidRDefault="000F6932" w:rsidP="00041437"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IR</w:t>
      </w:r>
      <w:r w:rsidRPr="00E55BBE">
        <w:t>_</w:t>
      </w:r>
      <w:r>
        <w:rPr>
          <w:lang w:val="en-US"/>
        </w:rPr>
        <w:t>FEES</w:t>
      </w:r>
      <w:r w:rsidRPr="00E55BBE">
        <w:t xml:space="preserve"> – </w:t>
      </w:r>
      <w:r>
        <w:t>для</w:t>
      </w:r>
      <w:r w:rsidRPr="00E55BBE">
        <w:t xml:space="preserve"> </w:t>
      </w:r>
      <w:proofErr w:type="spellStart"/>
      <w:r>
        <w:t>букирования</w:t>
      </w:r>
      <w:proofErr w:type="spellEnd"/>
      <w:r w:rsidRPr="00E55BBE">
        <w:t xml:space="preserve"> </w:t>
      </w:r>
      <w:r>
        <w:rPr>
          <w:lang w:val="en-US"/>
        </w:rPr>
        <w:t>CVA</w:t>
      </w:r>
      <w:r w:rsidRPr="00E55BBE">
        <w:t xml:space="preserve"> </w:t>
      </w:r>
      <w:r>
        <w:rPr>
          <w:lang w:val="en-US"/>
        </w:rPr>
        <w:t>fee</w:t>
      </w:r>
    </w:p>
    <w:p w:rsidR="00681336" w:rsidRPr="00681336" w:rsidRDefault="00681336" w:rsidP="00681336">
      <w:pPr>
        <w:spacing w:after="120"/>
      </w:pPr>
      <w:r>
        <w:t>Книги для хеджирующих сделок:</w:t>
      </w:r>
    </w:p>
    <w:p w:rsidR="000F6932" w:rsidRDefault="000F6932" w:rsidP="00326A7A">
      <w:pPr>
        <w:spacing w:after="0"/>
        <w:ind w:left="708"/>
      </w:pPr>
      <w:r>
        <w:rPr>
          <w:lang w:val="en-US"/>
        </w:rPr>
        <w:t>CVA</w:t>
      </w:r>
      <w:r w:rsidRPr="000F6932">
        <w:t>_</w:t>
      </w:r>
      <w:r>
        <w:rPr>
          <w:lang w:val="en-US"/>
        </w:rPr>
        <w:t>AO</w:t>
      </w:r>
      <w:r w:rsidRPr="000F6932">
        <w:t>_</w:t>
      </w:r>
      <w:r>
        <w:rPr>
          <w:lang w:val="en-US"/>
        </w:rPr>
        <w:t>BONDS</w:t>
      </w:r>
      <w:r w:rsidRPr="000F6932">
        <w:t xml:space="preserve"> – </w:t>
      </w:r>
      <w:r>
        <w:t>бонды на балансе АО</w:t>
      </w:r>
    </w:p>
    <w:p w:rsidR="000F6932" w:rsidRPr="00E55BBE" w:rsidRDefault="000F6932" w:rsidP="00326A7A">
      <w:pPr>
        <w:spacing w:after="0"/>
        <w:ind w:left="708"/>
      </w:pPr>
      <w:r>
        <w:rPr>
          <w:lang w:val="en-US"/>
        </w:rPr>
        <w:t>CVA</w:t>
      </w:r>
      <w:r w:rsidRPr="000F6932">
        <w:t>_</w:t>
      </w:r>
      <w:r>
        <w:rPr>
          <w:lang w:val="en-US"/>
        </w:rPr>
        <w:t>SB</w:t>
      </w:r>
      <w:r w:rsidRPr="000F6932">
        <w:t>_</w:t>
      </w:r>
      <w:r>
        <w:rPr>
          <w:lang w:val="en-US"/>
        </w:rPr>
        <w:t>BONDS</w:t>
      </w:r>
      <w:r w:rsidRPr="000F6932">
        <w:t xml:space="preserve"> – </w:t>
      </w:r>
      <w:r w:rsidR="00681336">
        <w:t>бонды</w:t>
      </w:r>
      <w:r>
        <w:t xml:space="preserve"> на балансе ПАО, не используется, все бонды </w:t>
      </w:r>
      <w:proofErr w:type="spellStart"/>
      <w:r>
        <w:t>букируются</w:t>
      </w:r>
      <w:proofErr w:type="spellEnd"/>
      <w:r>
        <w:t xml:space="preserve"> на </w:t>
      </w:r>
      <w:r>
        <w:rPr>
          <w:lang w:val="en-US"/>
        </w:rPr>
        <w:t>CVA</w:t>
      </w:r>
      <w:r w:rsidRPr="000F6932">
        <w:t>_</w:t>
      </w:r>
      <w:r>
        <w:rPr>
          <w:lang w:val="en-US"/>
        </w:rPr>
        <w:t>SB</w:t>
      </w:r>
      <w:r w:rsidRPr="000F6932">
        <w:t>_</w:t>
      </w:r>
      <w:r>
        <w:rPr>
          <w:lang w:val="en-US"/>
        </w:rPr>
        <w:t>CREDIT</w:t>
      </w:r>
    </w:p>
    <w:p w:rsidR="00681336" w:rsidRDefault="00681336" w:rsidP="00326A7A">
      <w:pPr>
        <w:spacing w:after="0"/>
        <w:ind w:left="708"/>
      </w:pPr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BONDS</w:t>
      </w:r>
      <w:r w:rsidRPr="00E55BBE">
        <w:t xml:space="preserve"> – </w:t>
      </w:r>
      <w:r>
        <w:t>бонды</w:t>
      </w:r>
      <w:r w:rsidRPr="00E55BBE">
        <w:t xml:space="preserve"> + </w:t>
      </w:r>
      <w:r>
        <w:rPr>
          <w:lang w:val="en-US"/>
        </w:rPr>
        <w:t>CDS</w:t>
      </w:r>
      <w:r w:rsidRPr="00E55BBE">
        <w:t xml:space="preserve"> </w:t>
      </w:r>
      <w:r>
        <w:t>на</w:t>
      </w:r>
      <w:r w:rsidRPr="00E55BBE">
        <w:t xml:space="preserve"> </w:t>
      </w:r>
      <w:r>
        <w:t>балансе</w:t>
      </w:r>
      <w:r w:rsidRPr="00E55BBE">
        <w:t xml:space="preserve"> </w:t>
      </w:r>
      <w:r>
        <w:t>ПАО</w:t>
      </w:r>
    </w:p>
    <w:p w:rsidR="00681336" w:rsidRDefault="00681336" w:rsidP="00326A7A">
      <w:pPr>
        <w:spacing w:after="0"/>
        <w:ind w:left="708"/>
      </w:pPr>
      <w:r>
        <w:rPr>
          <w:lang w:val="en-US"/>
        </w:rPr>
        <w:t>CVA</w:t>
      </w:r>
      <w:r w:rsidRPr="00681336">
        <w:t>_</w:t>
      </w:r>
      <w:r>
        <w:rPr>
          <w:lang w:val="en-US"/>
        </w:rPr>
        <w:t>SB</w:t>
      </w:r>
      <w:r w:rsidRPr="00681336">
        <w:t>_</w:t>
      </w:r>
      <w:r>
        <w:rPr>
          <w:lang w:val="en-US"/>
        </w:rPr>
        <w:t>IRD</w:t>
      </w:r>
      <w:r w:rsidRPr="00681336">
        <w:t xml:space="preserve"> </w:t>
      </w:r>
      <w:r>
        <w:t>–</w:t>
      </w:r>
      <w:r w:rsidRPr="00681336">
        <w:t xml:space="preserve"> </w:t>
      </w:r>
      <w:r>
        <w:t>сделки на процентные ставки</w:t>
      </w:r>
    </w:p>
    <w:p w:rsidR="00681336" w:rsidRDefault="00681336" w:rsidP="00326A7A">
      <w:pPr>
        <w:spacing w:after="0"/>
        <w:ind w:left="708"/>
      </w:pPr>
      <w:r>
        <w:rPr>
          <w:lang w:val="en-US"/>
        </w:rPr>
        <w:t>CVA</w:t>
      </w:r>
      <w:r w:rsidRPr="00681336">
        <w:t>_</w:t>
      </w:r>
      <w:r>
        <w:rPr>
          <w:lang w:val="en-US"/>
        </w:rPr>
        <w:t>SB</w:t>
      </w:r>
      <w:r w:rsidRPr="00681336">
        <w:t>_</w:t>
      </w:r>
      <w:r>
        <w:rPr>
          <w:lang w:val="en-US"/>
        </w:rPr>
        <w:t>FXDV</w:t>
      </w:r>
      <w:r w:rsidRPr="00681336">
        <w:t xml:space="preserve">01 – </w:t>
      </w:r>
      <w:r>
        <w:t xml:space="preserve">сделки на </w:t>
      </w:r>
      <w:r>
        <w:rPr>
          <w:lang w:val="en-US"/>
        </w:rPr>
        <w:t>FX</w:t>
      </w:r>
      <w:r w:rsidRPr="00681336">
        <w:t xml:space="preserve"> </w:t>
      </w:r>
      <w:r>
        <w:t>и процентные ставки</w:t>
      </w:r>
    </w:p>
    <w:p w:rsidR="00681336" w:rsidRPr="00E55BBE" w:rsidRDefault="00681336" w:rsidP="00326A7A">
      <w:pPr>
        <w:spacing w:after="0"/>
        <w:ind w:left="708"/>
      </w:pPr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COMM</w:t>
      </w:r>
      <w:r w:rsidRPr="00E55BBE">
        <w:t xml:space="preserve"> – </w:t>
      </w:r>
      <w:r>
        <w:t xml:space="preserve">сделки на </w:t>
      </w:r>
      <w:r>
        <w:rPr>
          <w:lang w:val="en-US"/>
        </w:rPr>
        <w:t>commodity</w:t>
      </w:r>
    </w:p>
    <w:p w:rsidR="00681336" w:rsidRPr="00E55BBE" w:rsidRDefault="00681336" w:rsidP="00681336">
      <w:pPr>
        <w:spacing w:after="0"/>
      </w:pPr>
    </w:p>
    <w:p w:rsidR="00363B92" w:rsidRDefault="00681336" w:rsidP="00681336">
      <w:pPr>
        <w:spacing w:after="0"/>
      </w:pPr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AR</w:t>
      </w:r>
      <w:r w:rsidRPr="00E55BBE">
        <w:t>/</w:t>
      </w:r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AR</w:t>
      </w:r>
      <w:r w:rsidRPr="00E55BBE">
        <w:t>_</w:t>
      </w:r>
      <w:r>
        <w:rPr>
          <w:lang w:val="en-US"/>
        </w:rPr>
        <w:t>TECH</w:t>
      </w:r>
      <w:r w:rsidRPr="00E55BBE">
        <w:t xml:space="preserve"> – </w:t>
      </w:r>
      <w:r>
        <w:t>для</w:t>
      </w:r>
      <w:r w:rsidRPr="00E55BBE">
        <w:t xml:space="preserve"> </w:t>
      </w:r>
      <w:proofErr w:type="spellStart"/>
      <w:r>
        <w:t>букирования</w:t>
      </w:r>
      <w:proofErr w:type="spellEnd"/>
      <w:r w:rsidRPr="00E55BBE">
        <w:t xml:space="preserve"> </w:t>
      </w:r>
      <w:r>
        <w:t>дефолтов</w:t>
      </w:r>
      <w:r w:rsidRPr="00E55BBE">
        <w:t xml:space="preserve">, </w:t>
      </w:r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AR</w:t>
      </w:r>
      <w:r w:rsidRPr="00E55BBE">
        <w:t>_</w:t>
      </w:r>
      <w:r>
        <w:rPr>
          <w:lang w:val="en-US"/>
        </w:rPr>
        <w:t>TECH</w:t>
      </w:r>
      <w:r w:rsidRPr="00E55BBE">
        <w:t xml:space="preserve"> – </w:t>
      </w:r>
      <w:r>
        <w:t>это</w:t>
      </w:r>
      <w:r w:rsidRPr="00E55BBE">
        <w:t xml:space="preserve"> </w:t>
      </w:r>
      <w:r>
        <w:t>технический</w:t>
      </w:r>
      <w:r w:rsidRPr="00E55BBE">
        <w:t xml:space="preserve"> </w:t>
      </w:r>
      <w:r>
        <w:t>контрагент</w:t>
      </w:r>
      <w:r w:rsidRPr="00E55BBE">
        <w:t xml:space="preserve">, </w:t>
      </w:r>
      <w:r>
        <w:t>у</w:t>
      </w:r>
      <w:r w:rsidRPr="00E55BBE">
        <w:t xml:space="preserve"> </w:t>
      </w:r>
      <w:r>
        <w:t>которого</w:t>
      </w:r>
      <w:r w:rsidRPr="00E55BBE">
        <w:t xml:space="preserve"> </w:t>
      </w:r>
      <w:r>
        <w:rPr>
          <w:lang w:val="en-US"/>
        </w:rPr>
        <w:t>CVA</w:t>
      </w:r>
      <w:r w:rsidRPr="00E55BBE">
        <w:t>_</w:t>
      </w:r>
      <w:r>
        <w:rPr>
          <w:lang w:val="en-US"/>
        </w:rPr>
        <w:t>SB</w:t>
      </w:r>
      <w:r w:rsidRPr="00E55BBE">
        <w:t>_</w:t>
      </w:r>
      <w:r>
        <w:rPr>
          <w:lang w:val="en-US"/>
        </w:rPr>
        <w:t>AR</w:t>
      </w:r>
      <w:r w:rsidRPr="00E55BBE">
        <w:t xml:space="preserve"> </w:t>
      </w:r>
      <w:r>
        <w:t>покупает</w:t>
      </w:r>
      <w:r w:rsidRPr="00E55BBE">
        <w:t xml:space="preserve"> </w:t>
      </w:r>
      <w:r>
        <w:rPr>
          <w:lang w:val="en-US"/>
        </w:rPr>
        <w:t>default</w:t>
      </w:r>
      <w:r w:rsidRPr="00E55BBE">
        <w:t xml:space="preserve"> </w:t>
      </w:r>
      <w:r>
        <w:t>бонд</w:t>
      </w:r>
      <w:r w:rsidR="00363B92">
        <w:t xml:space="preserve">.  Дефолтные бонды </w:t>
      </w:r>
      <w:proofErr w:type="spellStart"/>
      <w:r w:rsidR="00363B92">
        <w:t>букируются</w:t>
      </w:r>
      <w:proofErr w:type="spellEnd"/>
      <w:r w:rsidR="00363B92">
        <w:t xml:space="preserve"> для отражения задолженности клиента при дефолте/</w:t>
      </w:r>
      <w:proofErr w:type="spellStart"/>
      <w:r w:rsidR="00363B92">
        <w:t>терминации</w:t>
      </w:r>
      <w:proofErr w:type="spellEnd"/>
      <w:r w:rsidR="00363B92">
        <w:t xml:space="preserve"> сделки и дальнейшем неплатеже. По дефолтным кейсам ДГР работает с ДРПА по комиссионной схеме (кроме крупнейших клиентов – в таких случаях все решается </w:t>
      </w:r>
      <w:r w:rsidR="00363B92">
        <w:rPr>
          <w:lang w:val="en-US"/>
        </w:rPr>
        <w:t>case</w:t>
      </w:r>
      <w:r w:rsidR="00363B92" w:rsidRPr="00363B92">
        <w:t xml:space="preserve"> </w:t>
      </w:r>
      <w:r w:rsidR="00363B92">
        <w:rPr>
          <w:lang w:val="en-US"/>
        </w:rPr>
        <w:t>by</w:t>
      </w:r>
      <w:r w:rsidR="00363B92" w:rsidRPr="00363B92">
        <w:t xml:space="preserve"> </w:t>
      </w:r>
      <w:r w:rsidR="00363B92">
        <w:rPr>
          <w:lang w:val="en-US"/>
        </w:rPr>
        <w:t>case</w:t>
      </w:r>
      <w:r w:rsidR="00363B92" w:rsidRPr="00363B92">
        <w:t>)</w:t>
      </w:r>
      <w:r w:rsidR="00363B92">
        <w:t xml:space="preserve">.  Порядок отражения дефолтов и формирования финансового результата в </w:t>
      </w:r>
      <w:proofErr w:type="spellStart"/>
      <w:r w:rsidR="00363B92">
        <w:t>мюрекс</w:t>
      </w:r>
      <w:proofErr w:type="spellEnd"/>
      <w:r w:rsidR="00363B92">
        <w:t xml:space="preserve"> описан вот здесь: </w:t>
      </w:r>
      <w:r w:rsidR="00363B92" w:rsidRPr="00363B92">
        <w:t xml:space="preserve">Q:\GM_Trading\CVA\Default </w:t>
      </w:r>
      <w:proofErr w:type="spellStart"/>
      <w:r w:rsidR="00363B92" w:rsidRPr="00363B92">
        <w:t>Management</w:t>
      </w:r>
      <w:proofErr w:type="spellEnd"/>
      <w:r w:rsidR="00363B92" w:rsidRPr="00363B92">
        <w:t>\</w:t>
      </w:r>
      <w:proofErr w:type="spellStart"/>
      <w:r w:rsidR="00363B92" w:rsidRPr="00363B92">
        <w:t>Букирование</w:t>
      </w:r>
      <w:proofErr w:type="spellEnd"/>
      <w:r w:rsidR="00363B92" w:rsidRPr="00363B92">
        <w:t xml:space="preserve"> дефолтов</w:t>
      </w:r>
      <w:r w:rsidR="00363B92">
        <w:t xml:space="preserve">. </w:t>
      </w:r>
    </w:p>
    <w:p w:rsidR="00681336" w:rsidRPr="00363B92" w:rsidRDefault="00363B92" w:rsidP="00681336">
      <w:pPr>
        <w:spacing w:after="0"/>
      </w:pPr>
      <w:r w:rsidRPr="00363B92">
        <w:rPr>
          <w:b/>
        </w:rPr>
        <w:t>Важно:</w:t>
      </w:r>
      <w:r>
        <w:t xml:space="preserve"> если появятся дефолты в рамках </w:t>
      </w:r>
      <w:r>
        <w:rPr>
          <w:lang w:val="en-US"/>
        </w:rPr>
        <w:t>New</w:t>
      </w:r>
      <w:r w:rsidRPr="00363B92">
        <w:t xml:space="preserve"> </w:t>
      </w:r>
      <w:r>
        <w:rPr>
          <w:lang w:val="en-US"/>
        </w:rPr>
        <w:t>business</w:t>
      </w:r>
      <w:r>
        <w:t xml:space="preserve">, то нужно будет создать идентичные книги в </w:t>
      </w:r>
      <w:proofErr w:type="spellStart"/>
      <w:r>
        <w:t>комбо</w:t>
      </w:r>
      <w:proofErr w:type="spellEnd"/>
      <w:r>
        <w:t xml:space="preserve">-портфеле </w:t>
      </w:r>
      <w:r w:rsidRPr="00363B92">
        <w:rPr>
          <w:b/>
          <w:lang w:val="en-US"/>
        </w:rPr>
        <w:t>G</w:t>
      </w:r>
      <w:r w:rsidRPr="00363B92">
        <w:rPr>
          <w:b/>
        </w:rPr>
        <w:t>_</w:t>
      </w:r>
      <w:r w:rsidRPr="00363B92">
        <w:rPr>
          <w:b/>
          <w:lang w:val="en-US"/>
        </w:rPr>
        <w:t>MX</w:t>
      </w:r>
      <w:r w:rsidRPr="00363B92">
        <w:rPr>
          <w:b/>
        </w:rPr>
        <w:t>_</w:t>
      </w:r>
      <w:r w:rsidRPr="00363B92">
        <w:rPr>
          <w:b/>
          <w:lang w:val="en-US"/>
        </w:rPr>
        <w:t>XVA</w:t>
      </w:r>
      <w:r w:rsidRPr="00363B92">
        <w:rPr>
          <w:b/>
        </w:rPr>
        <w:t>.</w:t>
      </w:r>
    </w:p>
    <w:p w:rsidR="00681336" w:rsidRPr="00E55BBE" w:rsidRDefault="00681336" w:rsidP="00681336">
      <w:pPr>
        <w:spacing w:after="0"/>
      </w:pPr>
    </w:p>
    <w:p w:rsidR="00681336" w:rsidRPr="00681336" w:rsidRDefault="00681336" w:rsidP="00681336">
      <w:pPr>
        <w:spacing w:after="0"/>
      </w:pPr>
      <w:r>
        <w:rPr>
          <w:lang w:val="en-US"/>
        </w:rPr>
        <w:t>CVA</w:t>
      </w:r>
      <w:r w:rsidRPr="00363B92">
        <w:t>_</w:t>
      </w:r>
      <w:r>
        <w:rPr>
          <w:lang w:val="en-US"/>
        </w:rPr>
        <w:t>SB</w:t>
      </w:r>
      <w:r w:rsidRPr="00363B92">
        <w:t>_</w:t>
      </w:r>
      <w:r>
        <w:rPr>
          <w:lang w:val="en-US"/>
        </w:rPr>
        <w:t>HYBRID</w:t>
      </w:r>
      <w:r w:rsidR="008A1C52">
        <w:t xml:space="preserve"> – не используется больше.</w:t>
      </w:r>
    </w:p>
    <w:sectPr w:rsidR="00681336" w:rsidRPr="0068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220"/>
    <w:multiLevelType w:val="hybridMultilevel"/>
    <w:tmpl w:val="1CC4E1CE"/>
    <w:lvl w:ilvl="0" w:tplc="5A4C745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465"/>
    <w:multiLevelType w:val="hybridMultilevel"/>
    <w:tmpl w:val="A488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84074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52C19"/>
    <w:multiLevelType w:val="hybridMultilevel"/>
    <w:tmpl w:val="872C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DA"/>
    <w:rsid w:val="0002239D"/>
    <w:rsid w:val="00041437"/>
    <w:rsid w:val="000F6932"/>
    <w:rsid w:val="00211BAE"/>
    <w:rsid w:val="0024080C"/>
    <w:rsid w:val="0025616C"/>
    <w:rsid w:val="0030345A"/>
    <w:rsid w:val="00326A7A"/>
    <w:rsid w:val="00352A30"/>
    <w:rsid w:val="00363B92"/>
    <w:rsid w:val="003B6C49"/>
    <w:rsid w:val="00474E91"/>
    <w:rsid w:val="00480396"/>
    <w:rsid w:val="004F642A"/>
    <w:rsid w:val="00514FC5"/>
    <w:rsid w:val="005B7BBE"/>
    <w:rsid w:val="005C2E3D"/>
    <w:rsid w:val="005E1D76"/>
    <w:rsid w:val="005F0456"/>
    <w:rsid w:val="00654120"/>
    <w:rsid w:val="00681336"/>
    <w:rsid w:val="00681665"/>
    <w:rsid w:val="006B3F24"/>
    <w:rsid w:val="006C21DA"/>
    <w:rsid w:val="006D6418"/>
    <w:rsid w:val="0072156F"/>
    <w:rsid w:val="00733967"/>
    <w:rsid w:val="007B4E49"/>
    <w:rsid w:val="007C3119"/>
    <w:rsid w:val="007D01CA"/>
    <w:rsid w:val="007E3582"/>
    <w:rsid w:val="00810573"/>
    <w:rsid w:val="008A1C52"/>
    <w:rsid w:val="00924019"/>
    <w:rsid w:val="00944409"/>
    <w:rsid w:val="00964CF6"/>
    <w:rsid w:val="009979E2"/>
    <w:rsid w:val="009E4A3C"/>
    <w:rsid w:val="00A10178"/>
    <w:rsid w:val="00A13EEE"/>
    <w:rsid w:val="00B578AF"/>
    <w:rsid w:val="00B71799"/>
    <w:rsid w:val="00BA27A4"/>
    <w:rsid w:val="00C340FD"/>
    <w:rsid w:val="00C47E60"/>
    <w:rsid w:val="00CE329A"/>
    <w:rsid w:val="00D92CFD"/>
    <w:rsid w:val="00DA7282"/>
    <w:rsid w:val="00DF638D"/>
    <w:rsid w:val="00E21B69"/>
    <w:rsid w:val="00E27A54"/>
    <w:rsid w:val="00E55BBE"/>
    <w:rsid w:val="00E92205"/>
    <w:rsid w:val="00E93C64"/>
    <w:rsid w:val="00EC2802"/>
    <w:rsid w:val="00EF593F"/>
    <w:rsid w:val="00F365F2"/>
    <w:rsid w:val="00FA0E2E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E462"/>
  <w15:chartTrackingRefBased/>
  <w15:docId w15:val="{E9E44586-1957-4814-9202-404F681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3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A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D6FB-1AFA-422F-9E5E-D764D56A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7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Mikhaylenko Sergey</dc:creator>
  <cp:keywords/>
  <dc:description/>
  <cp:lastModifiedBy>Mikhaylenko Sergey</cp:lastModifiedBy>
  <cp:revision>40</cp:revision>
  <dcterms:created xsi:type="dcterms:W3CDTF">2022-12-08T07:51:00Z</dcterms:created>
  <dcterms:modified xsi:type="dcterms:W3CDTF">2022-12-22T08:59:00Z</dcterms:modified>
</cp:coreProperties>
</file>