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66BB2" w14:textId="77777777" w:rsidR="001B1EAB" w:rsidRPr="00A37160" w:rsidRDefault="001B1EAB" w:rsidP="001B1EAB">
      <w:pPr>
        <w:keepNext/>
        <w:jc w:val="center"/>
      </w:pPr>
    </w:p>
    <w:p w14:paraId="1A8E5F70" w14:textId="77777777" w:rsidR="001B1EAB" w:rsidRPr="00A37160" w:rsidRDefault="001B1EAB" w:rsidP="001B1EAB">
      <w:pPr>
        <w:keepNext/>
        <w:jc w:val="center"/>
      </w:pPr>
    </w:p>
    <w:p w14:paraId="62F00202" w14:textId="77777777" w:rsidR="001B1EAB" w:rsidRPr="00A37160" w:rsidRDefault="001B1EAB" w:rsidP="001B1EAB">
      <w:pPr>
        <w:keepNext/>
        <w:jc w:val="center"/>
      </w:pPr>
    </w:p>
    <w:p w14:paraId="2C89FB04" w14:textId="77777777" w:rsidR="001B1EAB" w:rsidRPr="00A37160" w:rsidRDefault="001B1EAB" w:rsidP="001B1EAB">
      <w:pPr>
        <w:keepNext/>
        <w:jc w:val="center"/>
      </w:pPr>
    </w:p>
    <w:p w14:paraId="446F9EB2" w14:textId="77777777" w:rsidR="001B1EAB" w:rsidRPr="00A37160" w:rsidRDefault="001B1EAB" w:rsidP="001B1EAB">
      <w:pPr>
        <w:keepNext/>
        <w:jc w:val="center"/>
      </w:pPr>
    </w:p>
    <w:p w14:paraId="0927EF21" w14:textId="77777777" w:rsidR="001B1EAB" w:rsidRPr="00A37160" w:rsidRDefault="001B1EAB" w:rsidP="001B1EAB">
      <w:pPr>
        <w:keepNext/>
        <w:jc w:val="center"/>
      </w:pPr>
    </w:p>
    <w:p w14:paraId="5C0D7E02" w14:textId="77777777" w:rsidR="001B1EAB" w:rsidRPr="00A37160" w:rsidRDefault="001B1EAB" w:rsidP="001B1EAB">
      <w:pPr>
        <w:keepNext/>
        <w:jc w:val="center"/>
      </w:pPr>
    </w:p>
    <w:p w14:paraId="0CA7F556" w14:textId="77777777" w:rsidR="001B1EAB" w:rsidRPr="00A37160" w:rsidRDefault="001B1EAB" w:rsidP="001B1EAB">
      <w:pPr>
        <w:keepNext/>
        <w:jc w:val="center"/>
      </w:pPr>
    </w:p>
    <w:p w14:paraId="227B9938" w14:textId="77777777" w:rsidR="001B1EAB" w:rsidRDefault="001B1EAB" w:rsidP="001B1EAB">
      <w:pPr>
        <w:keepNext/>
        <w:jc w:val="center"/>
      </w:pPr>
    </w:p>
    <w:p w14:paraId="7AB1BCED" w14:textId="77777777" w:rsidR="00E7019D" w:rsidRDefault="00E7019D" w:rsidP="001B1EAB">
      <w:pPr>
        <w:keepNext/>
        <w:jc w:val="center"/>
      </w:pPr>
    </w:p>
    <w:p w14:paraId="0FA9CA29" w14:textId="77777777" w:rsidR="00E7019D" w:rsidRDefault="00E7019D" w:rsidP="001B1EAB">
      <w:pPr>
        <w:keepNext/>
        <w:jc w:val="center"/>
        <w:rPr>
          <w:lang w:val="en-US"/>
        </w:rPr>
      </w:pPr>
    </w:p>
    <w:p w14:paraId="7FBD3652" w14:textId="77777777" w:rsidR="00E224AD" w:rsidRDefault="00E224AD" w:rsidP="001B1EAB">
      <w:pPr>
        <w:keepNext/>
        <w:jc w:val="center"/>
        <w:rPr>
          <w:lang w:val="en-US"/>
        </w:rPr>
      </w:pPr>
    </w:p>
    <w:p w14:paraId="18D9E72B" w14:textId="77777777" w:rsidR="00E224AD" w:rsidRDefault="00E224AD" w:rsidP="001B1EAB">
      <w:pPr>
        <w:keepNext/>
        <w:jc w:val="center"/>
        <w:rPr>
          <w:lang w:val="en-US"/>
        </w:rPr>
      </w:pPr>
    </w:p>
    <w:p w14:paraId="7A862E5D" w14:textId="77777777" w:rsidR="00E224AD" w:rsidRDefault="00E224AD" w:rsidP="001B1EAB">
      <w:pPr>
        <w:keepNext/>
        <w:jc w:val="center"/>
        <w:rPr>
          <w:lang w:val="en-US"/>
        </w:rPr>
      </w:pPr>
    </w:p>
    <w:p w14:paraId="08ADAC83" w14:textId="77777777" w:rsidR="00E224AD" w:rsidRDefault="00E224AD" w:rsidP="001B1EAB">
      <w:pPr>
        <w:keepNext/>
        <w:jc w:val="center"/>
        <w:rPr>
          <w:lang w:val="en-US"/>
        </w:rPr>
      </w:pPr>
    </w:p>
    <w:p w14:paraId="09BFC17C" w14:textId="77777777" w:rsidR="00E224AD" w:rsidRDefault="00E224AD" w:rsidP="001B1EAB">
      <w:pPr>
        <w:keepNext/>
        <w:jc w:val="center"/>
        <w:rPr>
          <w:lang w:val="en-US"/>
        </w:rPr>
      </w:pPr>
    </w:p>
    <w:p w14:paraId="1C6E65C0" w14:textId="77777777" w:rsidR="00E224AD" w:rsidRPr="00E224AD" w:rsidRDefault="00E224AD" w:rsidP="00E224AD">
      <w:pPr>
        <w:keepNext/>
      </w:pPr>
    </w:p>
    <w:p w14:paraId="524236F6" w14:textId="77777777" w:rsidR="001B1EAB" w:rsidRPr="00A37160" w:rsidRDefault="001B1EAB" w:rsidP="001B1EAB">
      <w:pPr>
        <w:keepNext/>
        <w:jc w:val="center"/>
      </w:pPr>
    </w:p>
    <w:p w14:paraId="51436EC2" w14:textId="77777777" w:rsidR="001B1EAB" w:rsidRPr="00A37160" w:rsidRDefault="001B1EAB" w:rsidP="001B1EAB">
      <w:pPr>
        <w:keepNext/>
        <w:jc w:val="center"/>
      </w:pPr>
    </w:p>
    <w:p w14:paraId="22FCD7D4" w14:textId="77777777" w:rsidR="00E7019D" w:rsidRDefault="00E7019D" w:rsidP="00816DA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СБОРНИК МЕТОДИК </w:t>
      </w:r>
    </w:p>
    <w:p w14:paraId="58F0A134" w14:textId="77777777" w:rsidR="009F6984" w:rsidRDefault="009F6984" w:rsidP="00816DA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моделирования метрик рыночного и контрагентского</w:t>
      </w:r>
    </w:p>
    <w:p w14:paraId="226522C8" w14:textId="77777777" w:rsidR="00E7019D" w:rsidRPr="009F6984" w:rsidRDefault="009F6984" w:rsidP="00816DA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кредитного рисков</w:t>
      </w:r>
    </w:p>
    <w:p w14:paraId="1CF412CC" w14:textId="77777777" w:rsidR="00E7019D" w:rsidRDefault="00E7019D" w:rsidP="00816DA3">
      <w:pPr>
        <w:keepNext/>
        <w:jc w:val="center"/>
        <w:rPr>
          <w:b/>
          <w:sz w:val="28"/>
          <w:szCs w:val="28"/>
        </w:rPr>
      </w:pPr>
    </w:p>
    <w:p w14:paraId="5A81E22B" w14:textId="77777777" w:rsidR="001B1EAB" w:rsidRPr="00E7019D" w:rsidRDefault="00E7019D" w:rsidP="00816DA3">
      <w:pPr>
        <w:keepNext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Часть 1. Методика </w:t>
      </w:r>
      <w:r w:rsidR="001B1EAB" w:rsidRPr="00A37160">
        <w:rPr>
          <w:b/>
          <w:sz w:val="28"/>
          <w:szCs w:val="28"/>
        </w:rPr>
        <w:t xml:space="preserve">расчета показателей </w:t>
      </w:r>
      <w:r w:rsidR="001B1EAB" w:rsidRPr="00A37160">
        <w:rPr>
          <w:b/>
          <w:sz w:val="28"/>
          <w:szCs w:val="28"/>
          <w:lang w:val="en-US"/>
        </w:rPr>
        <w:t>CVA</w:t>
      </w:r>
    </w:p>
    <w:p w14:paraId="43CE5F17" w14:textId="77777777" w:rsidR="001B1EAB" w:rsidRDefault="001B1EAB" w:rsidP="001B1EAB">
      <w:pPr>
        <w:keepNext/>
        <w:jc w:val="center"/>
        <w:rPr>
          <w:b/>
        </w:rPr>
      </w:pPr>
    </w:p>
    <w:p w14:paraId="5F22DC88" w14:textId="77777777" w:rsidR="00D55DFD" w:rsidRPr="00A37160" w:rsidRDefault="00D55DFD" w:rsidP="001B1EAB">
      <w:pPr>
        <w:keepNext/>
        <w:jc w:val="center"/>
        <w:rPr>
          <w:b/>
        </w:rPr>
      </w:pPr>
    </w:p>
    <w:p w14:paraId="57732BD1" w14:textId="77777777" w:rsidR="001B1EAB" w:rsidRPr="00A37160" w:rsidRDefault="001B1EAB" w:rsidP="001B1EAB">
      <w:pPr>
        <w:keepNext/>
        <w:jc w:val="center"/>
        <w:rPr>
          <w:b/>
        </w:rPr>
      </w:pPr>
    </w:p>
    <w:p w14:paraId="7864C5AB" w14:textId="77777777" w:rsidR="001B1EAB" w:rsidRPr="00A37160" w:rsidRDefault="001B1EAB" w:rsidP="001B1EAB">
      <w:pPr>
        <w:keepNext/>
        <w:jc w:val="center"/>
        <w:rPr>
          <w:b/>
        </w:rPr>
      </w:pPr>
    </w:p>
    <w:p w14:paraId="4D001BAB" w14:textId="77777777" w:rsidR="001B1EAB" w:rsidRPr="00A37160" w:rsidRDefault="001B1EAB" w:rsidP="001B1EAB">
      <w:pPr>
        <w:keepNext/>
        <w:jc w:val="center"/>
        <w:rPr>
          <w:b/>
        </w:rPr>
      </w:pPr>
    </w:p>
    <w:p w14:paraId="1832545A" w14:textId="77777777" w:rsidR="001B1EAB" w:rsidRPr="00A37160" w:rsidRDefault="001B1EAB" w:rsidP="001B1EAB">
      <w:pPr>
        <w:keepNext/>
        <w:jc w:val="center"/>
        <w:rPr>
          <w:b/>
        </w:rPr>
      </w:pPr>
    </w:p>
    <w:p w14:paraId="5DDAC361" w14:textId="77777777" w:rsidR="001B1EAB" w:rsidRPr="00A37160" w:rsidRDefault="001B1EAB" w:rsidP="001B1EAB">
      <w:pPr>
        <w:keepNext/>
        <w:jc w:val="center"/>
        <w:rPr>
          <w:b/>
        </w:rPr>
      </w:pPr>
    </w:p>
    <w:p w14:paraId="2C865368" w14:textId="77777777" w:rsidR="001B1EAB" w:rsidRPr="00A37160" w:rsidRDefault="001B1EAB" w:rsidP="001B1EAB">
      <w:pPr>
        <w:keepNext/>
        <w:jc w:val="center"/>
        <w:rPr>
          <w:b/>
        </w:rPr>
      </w:pPr>
    </w:p>
    <w:p w14:paraId="383A773A" w14:textId="77777777" w:rsidR="001B1EAB" w:rsidRPr="00A37160" w:rsidRDefault="001B1EAB" w:rsidP="001B1EAB">
      <w:pPr>
        <w:keepNext/>
        <w:jc w:val="center"/>
        <w:rPr>
          <w:b/>
        </w:rPr>
      </w:pPr>
    </w:p>
    <w:p w14:paraId="35FCB99F" w14:textId="77777777" w:rsidR="001B1EAB" w:rsidRPr="00A37160" w:rsidRDefault="001B1EAB" w:rsidP="001B1EAB">
      <w:pPr>
        <w:keepNext/>
        <w:jc w:val="center"/>
        <w:rPr>
          <w:b/>
        </w:rPr>
      </w:pPr>
    </w:p>
    <w:p w14:paraId="3B69E287" w14:textId="77777777" w:rsidR="001B1EAB" w:rsidRDefault="001B1EAB" w:rsidP="001B1EAB">
      <w:pPr>
        <w:keepNext/>
        <w:jc w:val="center"/>
        <w:rPr>
          <w:b/>
        </w:rPr>
      </w:pPr>
    </w:p>
    <w:p w14:paraId="68241FBF" w14:textId="77777777" w:rsidR="00E224AD" w:rsidRDefault="00E224AD" w:rsidP="001B1EAB">
      <w:pPr>
        <w:keepNext/>
        <w:jc w:val="center"/>
        <w:rPr>
          <w:b/>
        </w:rPr>
      </w:pPr>
    </w:p>
    <w:p w14:paraId="4CE2BFE6" w14:textId="77777777" w:rsidR="00E224AD" w:rsidRPr="00E224AD" w:rsidRDefault="00E224AD" w:rsidP="001B1EAB">
      <w:pPr>
        <w:keepNext/>
        <w:jc w:val="center"/>
        <w:rPr>
          <w:b/>
        </w:rPr>
      </w:pPr>
    </w:p>
    <w:p w14:paraId="31E8A868" w14:textId="77777777" w:rsidR="00E224AD" w:rsidRPr="00A4020A" w:rsidRDefault="00E224AD" w:rsidP="001B1EAB">
      <w:pPr>
        <w:keepNext/>
        <w:jc w:val="center"/>
        <w:rPr>
          <w:b/>
        </w:rPr>
      </w:pPr>
    </w:p>
    <w:p w14:paraId="45916D0E" w14:textId="77777777" w:rsidR="001B1EAB" w:rsidRDefault="001B1EAB" w:rsidP="001B1EAB">
      <w:pPr>
        <w:keepNext/>
        <w:jc w:val="center"/>
        <w:rPr>
          <w:b/>
        </w:rPr>
      </w:pPr>
    </w:p>
    <w:p w14:paraId="771192AA" w14:textId="77777777" w:rsidR="00E7019D" w:rsidRDefault="00E7019D" w:rsidP="001B1EAB">
      <w:pPr>
        <w:keepNext/>
        <w:jc w:val="center"/>
        <w:rPr>
          <w:b/>
        </w:rPr>
      </w:pPr>
    </w:p>
    <w:p w14:paraId="78348921" w14:textId="77777777" w:rsidR="00E7019D" w:rsidRPr="006D7053" w:rsidRDefault="00E7019D" w:rsidP="001B1EAB">
      <w:pPr>
        <w:pStyle w:val="TOCHeading1"/>
        <w:ind w:right="-21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</w:p>
    <w:p w14:paraId="127D9D1E" w14:textId="77777777" w:rsidR="00816DA3" w:rsidRPr="006D7053" w:rsidRDefault="00816DA3" w:rsidP="001B1EAB">
      <w:pPr>
        <w:pStyle w:val="TOCHeading1"/>
        <w:ind w:right="-21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</w:p>
    <w:p w14:paraId="7801518D" w14:textId="77777777" w:rsidR="00BC696C" w:rsidRPr="00816DA3" w:rsidRDefault="00BC696C" w:rsidP="001B1EAB">
      <w:pPr>
        <w:pStyle w:val="TOCHeading1"/>
        <w:ind w:right="-21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</w:p>
    <w:p w14:paraId="65A27D44" w14:textId="77777777" w:rsidR="00E7019D" w:rsidRDefault="00E7019D" w:rsidP="001B1EAB">
      <w:pPr>
        <w:pStyle w:val="TOCHeading1"/>
        <w:ind w:right="-21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</w:p>
    <w:p w14:paraId="25AC7B09" w14:textId="77777777" w:rsidR="00E7019D" w:rsidRPr="00A37160" w:rsidRDefault="00E7019D" w:rsidP="001B1EAB">
      <w:pPr>
        <w:pStyle w:val="TOCHeading1"/>
        <w:ind w:right="-21"/>
        <w:rPr>
          <w:rFonts w:ascii="Times New Roman" w:hAnsi="Times New Roman"/>
          <w:b/>
          <w:i/>
          <w:sz w:val="24"/>
          <w:szCs w:val="24"/>
          <w:lang w:val="ru-RU"/>
        </w:rPr>
      </w:pPr>
    </w:p>
    <w:p w14:paraId="64F8E03C" w14:textId="77777777" w:rsidR="00E8580E" w:rsidRPr="001D682D" w:rsidRDefault="00E8580E" w:rsidP="00E8580E">
      <w:pPr>
        <w:pStyle w:val="14"/>
        <w:spacing w:before="0" w:after="0" w:line="360" w:lineRule="auto"/>
        <w:jc w:val="center"/>
        <w:rPr>
          <w:bCs w:val="0"/>
          <w:sz w:val="28"/>
        </w:rPr>
      </w:pPr>
      <w:bookmarkStart w:id="0" w:name="_Toc470104823"/>
      <w:r w:rsidRPr="001D682D">
        <w:rPr>
          <w:bCs w:val="0"/>
          <w:sz w:val="28"/>
        </w:rPr>
        <w:lastRenderedPageBreak/>
        <w:t>Спецификация ВНД</w:t>
      </w:r>
      <w:bookmarkEnd w:id="0"/>
    </w:p>
    <w:tbl>
      <w:tblPr>
        <w:tblW w:w="9560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4418"/>
        <w:gridCol w:w="4442"/>
      </w:tblGrid>
      <w:tr w:rsidR="00E8580E" w14:paraId="7E492354" w14:textId="77777777" w:rsidTr="002E2BF8">
        <w:trPr>
          <w:trHeight w:val="315"/>
        </w:trPr>
        <w:tc>
          <w:tcPr>
            <w:tcW w:w="7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F4114" w14:textId="77777777" w:rsidR="00E8580E" w:rsidRDefault="00E8580E" w:rsidP="002E2BF8"/>
        </w:tc>
        <w:tc>
          <w:tcPr>
            <w:tcW w:w="44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06997" w14:textId="77777777" w:rsidR="00E8580E" w:rsidRDefault="00E8580E" w:rsidP="002E2BF8"/>
        </w:tc>
        <w:tc>
          <w:tcPr>
            <w:tcW w:w="44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FB115" w14:textId="77777777" w:rsidR="00E8580E" w:rsidRDefault="00E8580E" w:rsidP="002E2BF8"/>
        </w:tc>
      </w:tr>
      <w:tr w:rsidR="00E8580E" w14:paraId="7A4890FA" w14:textId="77777777" w:rsidTr="002E2BF8">
        <w:trPr>
          <w:trHeight w:val="63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D5044" w14:textId="77777777" w:rsidR="00E8580E" w:rsidRPr="001D682D" w:rsidRDefault="00E8580E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D1933" w14:textId="77777777"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Наименование документа</w:t>
            </w:r>
          </w:p>
        </w:tc>
        <w:tc>
          <w:tcPr>
            <w:tcW w:w="44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C5A7F" w14:textId="77777777" w:rsidR="00E8580E" w:rsidRPr="001D682D" w:rsidRDefault="00E8580E" w:rsidP="002E2BF8">
            <w:pPr>
              <w:jc w:val="both"/>
              <w:rPr>
                <w:rFonts w:eastAsiaTheme="minorHAnsi"/>
                <w:color w:val="000000"/>
              </w:rPr>
            </w:pPr>
            <w:r>
              <w:t xml:space="preserve">Методика расчета показателя </w:t>
            </w:r>
            <w:r>
              <w:rPr>
                <w:lang w:val="en-US"/>
              </w:rPr>
              <w:t>C</w:t>
            </w:r>
            <w:r w:rsidRPr="002530D1">
              <w:t>VA</w:t>
            </w:r>
          </w:p>
        </w:tc>
      </w:tr>
      <w:tr w:rsidR="00E8580E" w14:paraId="68C9E0F8" w14:textId="77777777" w:rsidTr="002E2BF8">
        <w:trPr>
          <w:trHeight w:val="63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EB4AA" w14:textId="77777777" w:rsidR="00E8580E" w:rsidRPr="001D682D" w:rsidRDefault="00E8580E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2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5C2AF" w14:textId="77777777"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 xml:space="preserve">Участник </w:t>
            </w:r>
            <w:r w:rsidRPr="001D682D">
              <w:t>Группы</w:t>
            </w:r>
            <w:r w:rsidRPr="001D682D">
              <w:rPr>
                <w:color w:val="000000"/>
              </w:rPr>
              <w:t>, на которого распространяется действие документа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AA71E" w14:textId="77777777"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ПАО Сбербанк</w:t>
            </w:r>
            <w:r>
              <w:rPr>
                <w:color w:val="000000"/>
              </w:rPr>
              <w:t xml:space="preserve">, </w:t>
            </w:r>
            <w:r w:rsidRPr="009A2B74">
              <w:t>Группа ПАО Сбербанк</w:t>
            </w:r>
            <w:r>
              <w:rPr>
                <w:color w:val="000000"/>
              </w:rPr>
              <w:t xml:space="preserve"> </w:t>
            </w:r>
            <w:r w:rsidRPr="001D682D">
              <w:rPr>
                <w:color w:val="000000"/>
              </w:rPr>
              <w:t xml:space="preserve">  </w:t>
            </w:r>
          </w:p>
        </w:tc>
      </w:tr>
      <w:tr w:rsidR="00E8580E" w14:paraId="7F5C0BC8" w14:textId="77777777" w:rsidTr="002E2BF8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87757" w14:textId="77777777" w:rsidR="00E8580E" w:rsidRPr="001D682D" w:rsidRDefault="00E8580E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3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71800" w14:textId="77777777"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Группа ВНД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09836" w14:textId="77777777" w:rsidR="00E8580E" w:rsidRPr="001D682D" w:rsidRDefault="00E8580E" w:rsidP="002E2BF8">
            <w:r>
              <w:t>Вторая</w:t>
            </w:r>
          </w:p>
        </w:tc>
      </w:tr>
      <w:tr w:rsidR="00E8580E" w14:paraId="2C1FE7E1" w14:textId="77777777" w:rsidTr="002E2BF8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CF264" w14:textId="77777777" w:rsidR="00E8580E" w:rsidRPr="001D682D" w:rsidRDefault="00E8580E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4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BAE30" w14:textId="77777777"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Вид рисков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62254" w14:textId="77777777"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Р</w:t>
            </w:r>
            <w:r w:rsidRPr="00EA6137">
              <w:rPr>
                <w:color w:val="000000"/>
              </w:rPr>
              <w:t>иск</w:t>
            </w:r>
            <w:r>
              <w:rPr>
                <w:color w:val="000000"/>
              </w:rPr>
              <w:t xml:space="preserve"> контрагента по операциям на финансовых рынках</w:t>
            </w:r>
          </w:p>
        </w:tc>
      </w:tr>
      <w:tr w:rsidR="00E8580E" w14:paraId="19A2C5B4" w14:textId="77777777" w:rsidTr="002E2BF8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F7AC7" w14:textId="77777777" w:rsidR="00E8580E" w:rsidRPr="001D682D" w:rsidRDefault="00E8580E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5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60E8A" w14:textId="77777777"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Выделенная группа рисков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8B3B3" w14:textId="77777777"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Кредитные риски всех сегментов кроме розничных клиентов</w:t>
            </w:r>
          </w:p>
        </w:tc>
      </w:tr>
      <w:tr w:rsidR="00E8580E" w14:paraId="68CFB2C2" w14:textId="77777777" w:rsidTr="002E2BF8">
        <w:trPr>
          <w:trHeight w:val="63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73E8B" w14:textId="77777777" w:rsidR="00E8580E" w:rsidRPr="001D682D" w:rsidRDefault="00E8580E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6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71E29" w14:textId="77777777"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Этапы процесса управления рисками, регламентируемые ВНД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CBF32" w14:textId="77777777"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Оценка рисков</w:t>
            </w:r>
          </w:p>
        </w:tc>
      </w:tr>
      <w:tr w:rsidR="00E8580E" w14:paraId="7F1886C8" w14:textId="77777777" w:rsidTr="002E2BF8">
        <w:trPr>
          <w:trHeight w:val="63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9B544" w14:textId="77777777" w:rsidR="00E8580E" w:rsidRPr="001D682D" w:rsidRDefault="00E8580E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7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B9DB0" w14:textId="77777777"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ВНД верхнего уровня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D3451" w14:textId="77777777" w:rsidR="00E8580E" w:rsidRDefault="00E8580E" w:rsidP="002E2BF8">
            <w:r>
              <w:t>Политика управления рыночным и кредитным рисками</w:t>
            </w:r>
          </w:p>
          <w:p w14:paraId="65ACEDED" w14:textId="77777777" w:rsidR="00E8580E" w:rsidRDefault="00E8580E" w:rsidP="002E2BF8">
            <w:r>
              <w:t>операций на финансовых рынках</w:t>
            </w:r>
          </w:p>
          <w:p w14:paraId="36308985" w14:textId="77777777"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>
              <w:t>ОАО «Сбербанк России» № 2625 от 09.08.2012.</w:t>
            </w:r>
          </w:p>
        </w:tc>
      </w:tr>
      <w:tr w:rsidR="00E8580E" w14:paraId="780C6BBF" w14:textId="77777777" w:rsidTr="002E2BF8">
        <w:trPr>
          <w:trHeight w:val="63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7B432" w14:textId="77777777" w:rsidR="00E8580E" w:rsidRPr="001D682D" w:rsidRDefault="00E8580E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8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8C0A6" w14:textId="77777777"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ВНД, определяющие подчиненные процессы и методики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37C18" w14:textId="77777777"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Отсутствуют</w:t>
            </w:r>
          </w:p>
        </w:tc>
      </w:tr>
    </w:tbl>
    <w:p w14:paraId="0F8E8616" w14:textId="77777777" w:rsidR="00E8580E" w:rsidRDefault="00E8580E" w:rsidP="00E8580E">
      <w:pPr>
        <w:rPr>
          <w:rFonts w:ascii="Calibri" w:eastAsiaTheme="minorHAnsi" w:hAnsi="Calibri"/>
          <w:sz w:val="22"/>
          <w:szCs w:val="22"/>
        </w:rPr>
      </w:pPr>
    </w:p>
    <w:p w14:paraId="69BAABAB" w14:textId="77777777" w:rsidR="00E8580E" w:rsidRDefault="00E8580E">
      <w:pPr>
        <w:spacing w:after="200" w:line="276" w:lineRule="auto"/>
        <w:rPr>
          <w:b/>
          <w:sz w:val="28"/>
          <w:szCs w:val="28"/>
        </w:rPr>
      </w:pPr>
      <w:r>
        <w:br w:type="page"/>
      </w:r>
    </w:p>
    <w:p w14:paraId="3958A95F" w14:textId="77777777" w:rsidR="0018223C" w:rsidRPr="0018223C" w:rsidRDefault="0018223C" w:rsidP="0018223C">
      <w:pPr>
        <w:pStyle w:val="12"/>
      </w:pPr>
      <w:r w:rsidRPr="0018223C">
        <w:lastRenderedPageBreak/>
        <w:t>ОГЛАВЛЕНИЕ</w:t>
      </w:r>
    </w:p>
    <w:p w14:paraId="19666AB8" w14:textId="77777777" w:rsidR="00E8580E" w:rsidRDefault="001B1EAB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B2851">
        <w:fldChar w:fldCharType="begin"/>
      </w:r>
      <w:r w:rsidRPr="005B2851">
        <w:instrText xml:space="preserve"> TOC \o "1-3" \h \z \u </w:instrText>
      </w:r>
      <w:r w:rsidRPr="005B2851">
        <w:fldChar w:fldCharType="separate"/>
      </w:r>
      <w:hyperlink w:anchor="_Toc470105861" w:history="1">
        <w:r w:rsidR="00E8580E" w:rsidRPr="00B82745">
          <w:rPr>
            <w:rStyle w:val="a6"/>
            <w:noProof/>
            <w:kern w:val="32"/>
          </w:rPr>
          <w:t>1.</w:t>
        </w:r>
        <w:r w:rsidR="00E858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8580E" w:rsidRPr="00B82745">
          <w:rPr>
            <w:rStyle w:val="a6"/>
            <w:rFonts w:cs="Arial"/>
            <w:noProof/>
            <w:kern w:val="32"/>
          </w:rPr>
          <w:t>Общие положения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_Toc470105861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4</w:t>
        </w:r>
        <w:r w:rsidR="00E8580E">
          <w:rPr>
            <w:noProof/>
            <w:webHidden/>
          </w:rPr>
          <w:fldChar w:fldCharType="end"/>
        </w:r>
      </w:hyperlink>
    </w:p>
    <w:p w14:paraId="0918DA15" w14:textId="77777777" w:rsidR="00E8580E" w:rsidRDefault="00DA21A1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105862" w:history="1">
        <w:r w:rsidR="00E8580E" w:rsidRPr="00B82745">
          <w:rPr>
            <w:rStyle w:val="a6"/>
            <w:noProof/>
            <w:kern w:val="32"/>
          </w:rPr>
          <w:t>2.</w:t>
        </w:r>
        <w:r w:rsidR="00E858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8580E" w:rsidRPr="00B82745">
          <w:rPr>
            <w:rStyle w:val="a6"/>
            <w:rFonts w:cs="Arial"/>
            <w:noProof/>
            <w:kern w:val="32"/>
          </w:rPr>
          <w:t>Описание модели расчета CVA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_Toc470105862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4</w:t>
        </w:r>
        <w:r w:rsidR="00E8580E">
          <w:rPr>
            <w:noProof/>
            <w:webHidden/>
          </w:rPr>
          <w:fldChar w:fldCharType="end"/>
        </w:r>
      </w:hyperlink>
    </w:p>
    <w:p w14:paraId="197304D0" w14:textId="77777777" w:rsidR="00E8580E" w:rsidRDefault="00DA21A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63" w:history="1">
        <w:r w:rsidR="00E8580E" w:rsidRPr="00B82745">
          <w:rPr>
            <w:rStyle w:val="a6"/>
            <w:iCs/>
            <w:noProof/>
            <w:lang w:eastAsia="en-US"/>
          </w:rPr>
          <w:t>2.1.</w:t>
        </w:r>
        <w:r w:rsidR="00E8580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580E" w:rsidRPr="00B82745">
          <w:rPr>
            <w:rStyle w:val="a6"/>
            <w:iCs/>
            <w:noProof/>
            <w:lang w:eastAsia="en-US"/>
          </w:rPr>
          <w:t>Понятие CVA и</w:t>
        </w:r>
        <w:r w:rsidR="00E8580E" w:rsidRPr="00B82745">
          <w:rPr>
            <w:rStyle w:val="a6"/>
            <w:iCs/>
            <w:noProof/>
            <w:lang w:val="en-US" w:eastAsia="en-US"/>
          </w:rPr>
          <w:t xml:space="preserve"> DVA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_Toc470105863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4</w:t>
        </w:r>
        <w:r w:rsidR="00E8580E">
          <w:rPr>
            <w:noProof/>
            <w:webHidden/>
          </w:rPr>
          <w:fldChar w:fldCharType="end"/>
        </w:r>
      </w:hyperlink>
    </w:p>
    <w:p w14:paraId="6C8C6757" w14:textId="77777777" w:rsidR="00E8580E" w:rsidRDefault="00DA21A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64" w:history="1">
        <w:r w:rsidR="00E8580E" w:rsidRPr="00B82745">
          <w:rPr>
            <w:rStyle w:val="a6"/>
            <w:iCs/>
            <w:noProof/>
            <w:lang w:eastAsia="en-US"/>
          </w:rPr>
          <w:t>2.2.</w:t>
        </w:r>
        <w:r w:rsidR="00E8580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580E" w:rsidRPr="00B82745">
          <w:rPr>
            <w:rStyle w:val="a6"/>
            <w:iCs/>
            <w:noProof/>
            <w:lang w:eastAsia="en-US"/>
          </w:rPr>
          <w:t xml:space="preserve">Краткое описание модели CVA, </w:t>
        </w:r>
        <w:r w:rsidR="00E8580E" w:rsidRPr="00B82745">
          <w:rPr>
            <w:rStyle w:val="a6"/>
            <w:iCs/>
            <w:noProof/>
            <w:lang w:val="en-US" w:eastAsia="en-US"/>
          </w:rPr>
          <w:t>DVA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_Toc470105864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5</w:t>
        </w:r>
        <w:r w:rsidR="00E8580E">
          <w:rPr>
            <w:noProof/>
            <w:webHidden/>
          </w:rPr>
          <w:fldChar w:fldCharType="end"/>
        </w:r>
      </w:hyperlink>
    </w:p>
    <w:p w14:paraId="61657541" w14:textId="77777777" w:rsidR="00E8580E" w:rsidRDefault="00DA21A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65" w:history="1">
        <w:r w:rsidR="00E8580E" w:rsidRPr="00B82745">
          <w:rPr>
            <w:rStyle w:val="a6"/>
            <w:iCs/>
            <w:noProof/>
            <w:lang w:eastAsia="en-US"/>
          </w:rPr>
          <w:t>2.3.</w:t>
        </w:r>
        <w:r w:rsidR="00E8580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580E" w:rsidRPr="00B82745">
          <w:rPr>
            <w:rStyle w:val="a6"/>
            <w:iCs/>
            <w:noProof/>
            <w:lang w:eastAsia="en-US"/>
          </w:rPr>
          <w:t>Определение вероятности дефолта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_Toc470105865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7</w:t>
        </w:r>
        <w:r w:rsidR="00E8580E">
          <w:rPr>
            <w:noProof/>
            <w:webHidden/>
          </w:rPr>
          <w:fldChar w:fldCharType="end"/>
        </w:r>
      </w:hyperlink>
    </w:p>
    <w:p w14:paraId="0C503A2C" w14:textId="77777777" w:rsidR="00E8580E" w:rsidRDefault="00DA21A1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105866" w:history="1">
        <w:r w:rsidR="00E8580E" w:rsidRPr="00B82745">
          <w:rPr>
            <w:rStyle w:val="a6"/>
            <w:noProof/>
            <w:kern w:val="32"/>
          </w:rPr>
          <w:t>3.</w:t>
        </w:r>
        <w:r w:rsidR="00E858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8580E" w:rsidRPr="00B82745">
          <w:rPr>
            <w:rStyle w:val="a6"/>
            <w:rFonts w:cs="Arial"/>
            <w:noProof/>
            <w:kern w:val="32"/>
          </w:rPr>
          <w:t>Моделирование риск факторов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_Toc470105866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9</w:t>
        </w:r>
        <w:r w:rsidR="00E8580E">
          <w:rPr>
            <w:noProof/>
            <w:webHidden/>
          </w:rPr>
          <w:fldChar w:fldCharType="end"/>
        </w:r>
      </w:hyperlink>
    </w:p>
    <w:p w14:paraId="7CD4719D" w14:textId="77777777" w:rsidR="00E8580E" w:rsidRDefault="00DA21A1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105867" w:history="1">
        <w:r w:rsidR="00E8580E" w:rsidRPr="00B82745">
          <w:rPr>
            <w:rStyle w:val="a6"/>
            <w:noProof/>
            <w:kern w:val="32"/>
          </w:rPr>
          <w:t>4.</w:t>
        </w:r>
        <w:r w:rsidR="00E858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8580E" w:rsidRPr="00B82745">
          <w:rPr>
            <w:rStyle w:val="a6"/>
            <w:rFonts w:cs="Arial"/>
            <w:noProof/>
            <w:kern w:val="32"/>
          </w:rPr>
          <w:t xml:space="preserve">Расчет CVA , </w:t>
        </w:r>
        <w:r w:rsidR="00E8580E" w:rsidRPr="00B82745">
          <w:rPr>
            <w:rStyle w:val="a6"/>
            <w:rFonts w:cs="Arial"/>
            <w:noProof/>
            <w:kern w:val="32"/>
            <w:lang w:val="en-US"/>
          </w:rPr>
          <w:t>DVA</w:t>
        </w:r>
        <w:r w:rsidR="00E8580E" w:rsidRPr="00B82745">
          <w:rPr>
            <w:rStyle w:val="a6"/>
            <w:rFonts w:cs="Arial"/>
            <w:noProof/>
            <w:kern w:val="32"/>
          </w:rPr>
          <w:t xml:space="preserve">, </w:t>
        </w:r>
        <w:r w:rsidR="00E8580E" w:rsidRPr="00B82745">
          <w:rPr>
            <w:rStyle w:val="a6"/>
            <w:rFonts w:cs="Arial"/>
            <w:noProof/>
            <w:kern w:val="32"/>
            <w:lang w:val="en-US"/>
          </w:rPr>
          <w:t>LGD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_Toc470105867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9</w:t>
        </w:r>
        <w:r w:rsidR="00E8580E">
          <w:rPr>
            <w:noProof/>
            <w:webHidden/>
          </w:rPr>
          <w:fldChar w:fldCharType="end"/>
        </w:r>
      </w:hyperlink>
    </w:p>
    <w:p w14:paraId="7D1786BF" w14:textId="77777777" w:rsidR="00E8580E" w:rsidRDefault="00DA21A1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105868" w:history="1">
        <w:r w:rsidR="00E8580E" w:rsidRPr="00B82745">
          <w:rPr>
            <w:rStyle w:val="a6"/>
            <w:noProof/>
          </w:rPr>
          <w:t>5.</w:t>
        </w:r>
        <w:r w:rsidR="00E858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8580E" w:rsidRPr="00B82745">
          <w:rPr>
            <w:rStyle w:val="a6"/>
            <w:noProof/>
          </w:rPr>
          <w:t>Порядок согласования и утверждения Профилей расчета CVA для продукта / моделирования риск факторов для CVA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_Toc470105868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11</w:t>
        </w:r>
        <w:r w:rsidR="00E8580E">
          <w:rPr>
            <w:noProof/>
            <w:webHidden/>
          </w:rPr>
          <w:fldChar w:fldCharType="end"/>
        </w:r>
      </w:hyperlink>
    </w:p>
    <w:p w14:paraId="0A995130" w14:textId="77777777" w:rsidR="00E8580E" w:rsidRDefault="00DA21A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69" w:history="1">
        <w:r w:rsidR="00E8580E" w:rsidRPr="00B82745">
          <w:rPr>
            <w:rStyle w:val="a6"/>
            <w:iCs/>
            <w:noProof/>
            <w:lang w:eastAsia="en-US"/>
          </w:rPr>
          <w:t>Приложение №1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_Toc470105869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12</w:t>
        </w:r>
        <w:r w:rsidR="00E8580E">
          <w:rPr>
            <w:noProof/>
            <w:webHidden/>
          </w:rPr>
          <w:fldChar w:fldCharType="end"/>
        </w:r>
      </w:hyperlink>
    </w:p>
    <w:p w14:paraId="36CC6565" w14:textId="77777777" w:rsidR="00E8580E" w:rsidRDefault="00DA21A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70" w:history="1">
        <w:r w:rsidR="00E8580E" w:rsidRPr="00B82745">
          <w:rPr>
            <w:rStyle w:val="a6"/>
            <w:iCs/>
            <w:noProof/>
            <w:lang w:eastAsia="en-US"/>
          </w:rPr>
          <w:t>Список терминов и определений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_Toc470105870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12</w:t>
        </w:r>
        <w:r w:rsidR="00E8580E">
          <w:rPr>
            <w:noProof/>
            <w:webHidden/>
          </w:rPr>
          <w:fldChar w:fldCharType="end"/>
        </w:r>
      </w:hyperlink>
    </w:p>
    <w:p w14:paraId="5A5AAE0E" w14:textId="77777777" w:rsidR="00E8580E" w:rsidRDefault="00DA21A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71" w:history="1">
        <w:r w:rsidR="00E8580E" w:rsidRPr="00B82745">
          <w:rPr>
            <w:rStyle w:val="a6"/>
            <w:iCs/>
            <w:noProof/>
            <w:lang w:eastAsia="en-US"/>
          </w:rPr>
          <w:t>Приложение №2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_Toc470105871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13</w:t>
        </w:r>
        <w:r w:rsidR="00E8580E">
          <w:rPr>
            <w:noProof/>
            <w:webHidden/>
          </w:rPr>
          <w:fldChar w:fldCharType="end"/>
        </w:r>
      </w:hyperlink>
    </w:p>
    <w:p w14:paraId="63D42B2C" w14:textId="77777777" w:rsidR="00E8580E" w:rsidRDefault="00DA21A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72" w:history="1">
        <w:r w:rsidR="00E8580E" w:rsidRPr="00B82745">
          <w:rPr>
            <w:rStyle w:val="a6"/>
            <w:iCs/>
            <w:noProof/>
            <w:lang w:eastAsia="en-US"/>
          </w:rPr>
          <w:t>Перечень сокращений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_Toc470105872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13</w:t>
        </w:r>
        <w:r w:rsidR="00E8580E">
          <w:rPr>
            <w:noProof/>
            <w:webHidden/>
          </w:rPr>
          <w:fldChar w:fldCharType="end"/>
        </w:r>
      </w:hyperlink>
    </w:p>
    <w:p w14:paraId="5D8919E3" w14:textId="77777777" w:rsidR="00E8580E" w:rsidRDefault="00DA21A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73" w:history="1">
        <w:r w:rsidR="00E8580E" w:rsidRPr="00B82745">
          <w:rPr>
            <w:rStyle w:val="a6"/>
            <w:iCs/>
            <w:noProof/>
            <w:lang w:eastAsia="en-US"/>
          </w:rPr>
          <w:t>Приложение №3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_Toc470105873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14</w:t>
        </w:r>
        <w:r w:rsidR="00E8580E">
          <w:rPr>
            <w:noProof/>
            <w:webHidden/>
          </w:rPr>
          <w:fldChar w:fldCharType="end"/>
        </w:r>
      </w:hyperlink>
    </w:p>
    <w:p w14:paraId="6FB310AC" w14:textId="77777777" w:rsidR="00E8580E" w:rsidRDefault="00DA21A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74" w:history="1">
        <w:r w:rsidR="00E8580E" w:rsidRPr="00B82745">
          <w:rPr>
            <w:rStyle w:val="a6"/>
            <w:iCs/>
            <w:noProof/>
            <w:lang w:eastAsia="en-US"/>
          </w:rPr>
          <w:t>Перечень ссылочных документов.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_Toc470105874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14</w:t>
        </w:r>
        <w:r w:rsidR="00E8580E">
          <w:rPr>
            <w:noProof/>
            <w:webHidden/>
          </w:rPr>
          <w:fldChar w:fldCharType="end"/>
        </w:r>
      </w:hyperlink>
    </w:p>
    <w:p w14:paraId="43939650" w14:textId="77777777" w:rsidR="00E8580E" w:rsidRDefault="00DA21A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75" w:history="1">
        <w:r w:rsidR="00E8580E" w:rsidRPr="00B82745">
          <w:rPr>
            <w:rStyle w:val="a6"/>
            <w:iCs/>
            <w:noProof/>
            <w:lang w:eastAsia="en-US"/>
          </w:rPr>
          <w:t>Приложение №4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_Toc470105875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15</w:t>
        </w:r>
        <w:r w:rsidR="00E8580E">
          <w:rPr>
            <w:noProof/>
            <w:webHidden/>
          </w:rPr>
          <w:fldChar w:fldCharType="end"/>
        </w:r>
      </w:hyperlink>
    </w:p>
    <w:p w14:paraId="0FFA5069" w14:textId="77777777" w:rsidR="00E8580E" w:rsidRDefault="00DA21A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76" w:history="1">
        <w:r w:rsidR="00E8580E" w:rsidRPr="00B82745">
          <w:rPr>
            <w:rStyle w:val="a6"/>
            <w:iCs/>
            <w:noProof/>
            <w:lang w:eastAsia="en-US"/>
          </w:rPr>
          <w:t>Расчет CVA для валютного свопа/форварда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_Toc470105876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15</w:t>
        </w:r>
        <w:r w:rsidR="00E8580E">
          <w:rPr>
            <w:noProof/>
            <w:webHidden/>
          </w:rPr>
          <w:fldChar w:fldCharType="end"/>
        </w:r>
      </w:hyperlink>
    </w:p>
    <w:p w14:paraId="10EB7B5A" w14:textId="77777777" w:rsidR="00E8580E" w:rsidRDefault="00DA21A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77" w:history="1">
        <w:r w:rsidR="00E8580E" w:rsidRPr="00B82745">
          <w:rPr>
            <w:rStyle w:val="a6"/>
            <w:iCs/>
            <w:noProof/>
            <w:lang w:eastAsia="en-US"/>
          </w:rPr>
          <w:t>Приложение №5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_Toc470105877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16</w:t>
        </w:r>
        <w:r w:rsidR="00E8580E">
          <w:rPr>
            <w:noProof/>
            <w:webHidden/>
          </w:rPr>
          <w:fldChar w:fldCharType="end"/>
        </w:r>
      </w:hyperlink>
    </w:p>
    <w:p w14:paraId="34E7EFCE" w14:textId="77777777" w:rsidR="00E8580E" w:rsidRDefault="00DA21A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78" w:history="1">
        <w:r w:rsidR="00E8580E" w:rsidRPr="00B82745">
          <w:rPr>
            <w:rStyle w:val="a6"/>
            <w:iCs/>
            <w:noProof/>
            <w:lang w:eastAsia="en-US"/>
          </w:rPr>
          <w:t>Расчет CVA для процентного свопа/FRA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_Toc470105878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16</w:t>
        </w:r>
        <w:r w:rsidR="00E8580E">
          <w:rPr>
            <w:noProof/>
            <w:webHidden/>
          </w:rPr>
          <w:fldChar w:fldCharType="end"/>
        </w:r>
      </w:hyperlink>
    </w:p>
    <w:p w14:paraId="40E78FF2" w14:textId="77777777" w:rsidR="00E8580E" w:rsidRDefault="00DA21A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79" w:history="1">
        <w:r w:rsidR="00E8580E" w:rsidRPr="00B82745">
          <w:rPr>
            <w:rStyle w:val="a6"/>
            <w:noProof/>
          </w:rPr>
          <w:t>Приложение №6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_Toc470105879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17</w:t>
        </w:r>
        <w:r w:rsidR="00E8580E">
          <w:rPr>
            <w:noProof/>
            <w:webHidden/>
          </w:rPr>
          <w:fldChar w:fldCharType="end"/>
        </w:r>
      </w:hyperlink>
    </w:p>
    <w:p w14:paraId="0E8A1627" w14:textId="77777777" w:rsidR="00E8580E" w:rsidRDefault="00DA21A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80" w:history="1">
        <w:r w:rsidR="00E8580E" w:rsidRPr="00B82745">
          <w:rPr>
            <w:rStyle w:val="a6"/>
            <w:noProof/>
            <w:lang w:eastAsia="en-US"/>
          </w:rPr>
          <w:t>Примеры моделирования факторов риска в однофакторной модели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_Toc470105880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17</w:t>
        </w:r>
        <w:r w:rsidR="00E8580E">
          <w:rPr>
            <w:noProof/>
            <w:webHidden/>
          </w:rPr>
          <w:fldChar w:fldCharType="end"/>
        </w:r>
      </w:hyperlink>
    </w:p>
    <w:p w14:paraId="62808479" w14:textId="77777777" w:rsidR="00E8580E" w:rsidRDefault="00DA21A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81" w:history="1">
        <w:r w:rsidR="00E8580E" w:rsidRPr="00B82745">
          <w:rPr>
            <w:rStyle w:val="a6"/>
            <w:noProof/>
          </w:rPr>
          <w:t xml:space="preserve">Приложение </w:t>
        </w:r>
        <w:r w:rsidR="00E8580E" w:rsidRPr="00B82745">
          <w:rPr>
            <w:rStyle w:val="a6"/>
            <w:iCs/>
            <w:noProof/>
            <w:lang w:eastAsia="en-US"/>
          </w:rPr>
          <w:t>№</w:t>
        </w:r>
        <w:r w:rsidR="00E8580E" w:rsidRPr="00B82745">
          <w:rPr>
            <w:rStyle w:val="a6"/>
            <w:noProof/>
          </w:rPr>
          <w:t>7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_Toc470105881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19</w:t>
        </w:r>
        <w:r w:rsidR="00E8580E">
          <w:rPr>
            <w:noProof/>
            <w:webHidden/>
          </w:rPr>
          <w:fldChar w:fldCharType="end"/>
        </w:r>
      </w:hyperlink>
    </w:p>
    <w:p w14:paraId="7766F989" w14:textId="77777777" w:rsidR="00E8580E" w:rsidRDefault="00DA21A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82" w:history="1">
        <w:r w:rsidR="00E8580E" w:rsidRPr="00B82745">
          <w:rPr>
            <w:rStyle w:val="a6"/>
            <w:noProof/>
          </w:rPr>
          <w:t>Профиль расчета CVA для продукта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_Toc470105882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19</w:t>
        </w:r>
        <w:r w:rsidR="00E8580E">
          <w:rPr>
            <w:noProof/>
            <w:webHidden/>
          </w:rPr>
          <w:fldChar w:fldCharType="end"/>
        </w:r>
      </w:hyperlink>
    </w:p>
    <w:p w14:paraId="447FE5F8" w14:textId="77777777" w:rsidR="00E8580E" w:rsidRDefault="00DA21A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83" w:history="1">
        <w:r w:rsidR="00E8580E" w:rsidRPr="00B82745">
          <w:rPr>
            <w:rStyle w:val="a6"/>
            <w:noProof/>
          </w:rPr>
          <w:t xml:space="preserve">Приложение </w:t>
        </w:r>
        <w:r w:rsidR="00E8580E" w:rsidRPr="00B82745">
          <w:rPr>
            <w:rStyle w:val="a6"/>
            <w:iCs/>
            <w:noProof/>
            <w:lang w:eastAsia="en-US"/>
          </w:rPr>
          <w:t>№</w:t>
        </w:r>
        <w:r w:rsidR="00E8580E" w:rsidRPr="00B82745">
          <w:rPr>
            <w:rStyle w:val="a6"/>
            <w:noProof/>
          </w:rPr>
          <w:t>8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_Toc470105883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20</w:t>
        </w:r>
        <w:r w:rsidR="00E8580E">
          <w:rPr>
            <w:noProof/>
            <w:webHidden/>
          </w:rPr>
          <w:fldChar w:fldCharType="end"/>
        </w:r>
      </w:hyperlink>
    </w:p>
    <w:p w14:paraId="79A635D4" w14:textId="77777777" w:rsidR="00E8580E" w:rsidRDefault="00DA21A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84" w:history="1">
        <w:r w:rsidR="00E8580E" w:rsidRPr="00B82745">
          <w:rPr>
            <w:rStyle w:val="a6"/>
            <w:noProof/>
          </w:rPr>
          <w:t xml:space="preserve">Профиль моделирования риск факторов для </w:t>
        </w:r>
        <w:r w:rsidR="00E8580E" w:rsidRPr="00B82745">
          <w:rPr>
            <w:rStyle w:val="a6"/>
            <w:noProof/>
            <w:lang w:val="en-US"/>
          </w:rPr>
          <w:t>CVA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_Toc470105884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20</w:t>
        </w:r>
        <w:r w:rsidR="00E8580E">
          <w:rPr>
            <w:noProof/>
            <w:webHidden/>
          </w:rPr>
          <w:fldChar w:fldCharType="end"/>
        </w:r>
      </w:hyperlink>
    </w:p>
    <w:p w14:paraId="786C04F1" w14:textId="77777777" w:rsidR="00E8580E" w:rsidRDefault="00DA21A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85" w:history="1">
        <w:r w:rsidR="00E8580E" w:rsidRPr="00B82745">
          <w:rPr>
            <w:rStyle w:val="a6"/>
            <w:noProof/>
          </w:rPr>
          <w:t xml:space="preserve">Приложение </w:t>
        </w:r>
        <w:r w:rsidR="00E8580E" w:rsidRPr="00B82745">
          <w:rPr>
            <w:rStyle w:val="a6"/>
            <w:iCs/>
            <w:noProof/>
            <w:lang w:eastAsia="en-US"/>
          </w:rPr>
          <w:t>№</w:t>
        </w:r>
        <w:r w:rsidR="00E8580E" w:rsidRPr="00B82745">
          <w:rPr>
            <w:rStyle w:val="a6"/>
            <w:noProof/>
          </w:rPr>
          <w:t>9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_Toc470105885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21</w:t>
        </w:r>
        <w:r w:rsidR="00E8580E">
          <w:rPr>
            <w:noProof/>
            <w:webHidden/>
          </w:rPr>
          <w:fldChar w:fldCharType="end"/>
        </w:r>
      </w:hyperlink>
    </w:p>
    <w:p w14:paraId="6306865D" w14:textId="77777777" w:rsidR="001B1EAB" w:rsidRPr="00A37160" w:rsidRDefault="001B1EAB" w:rsidP="001B1EAB">
      <w:pPr>
        <w:rPr>
          <w:rFonts w:ascii="Cambria" w:hAnsi="Cambria"/>
          <w:b/>
          <w:bCs/>
          <w:sz w:val="28"/>
          <w:szCs w:val="28"/>
          <w:lang w:val="en-US"/>
        </w:rPr>
      </w:pPr>
      <w:r w:rsidRPr="005B2851">
        <w:rPr>
          <w:sz w:val="28"/>
          <w:szCs w:val="28"/>
        </w:rPr>
        <w:fldChar w:fldCharType="end"/>
      </w:r>
      <w:r w:rsidRPr="00A37160">
        <w:rPr>
          <w:lang w:val="en-US"/>
        </w:rPr>
        <w:br w:type="page"/>
      </w:r>
    </w:p>
    <w:p w14:paraId="0C5D7E85" w14:textId="77777777" w:rsidR="001B1EAB" w:rsidRPr="00A37160" w:rsidRDefault="001B1EAB" w:rsidP="001B1EAB">
      <w:pPr>
        <w:pStyle w:val="1"/>
        <w:keepLines w:val="0"/>
        <w:numPr>
          <w:ilvl w:val="0"/>
          <w:numId w:val="1"/>
        </w:numPr>
        <w:pBdr>
          <w:bottom w:val="single" w:sz="4" w:space="0" w:color="auto"/>
        </w:pBdr>
        <w:autoSpaceDE w:val="0"/>
        <w:autoSpaceDN w:val="0"/>
        <w:spacing w:before="0" w:after="240"/>
        <w:jc w:val="both"/>
        <w:rPr>
          <w:rFonts w:ascii="Times New Roman" w:hAnsi="Times New Roman" w:cs="Arial"/>
          <w:color w:val="auto"/>
          <w:kern w:val="32"/>
        </w:rPr>
      </w:pPr>
      <w:bookmarkStart w:id="1" w:name="_Ref408851972"/>
      <w:bookmarkStart w:id="2" w:name="_Ref408851973"/>
      <w:bookmarkStart w:id="3" w:name="_Ref408851974"/>
      <w:bookmarkStart w:id="4" w:name="_Ref408851975"/>
      <w:bookmarkStart w:id="5" w:name="_Ref408851976"/>
      <w:bookmarkStart w:id="6" w:name="_Ref408852030"/>
      <w:bookmarkStart w:id="7" w:name="_Ref408852033"/>
      <w:bookmarkStart w:id="8" w:name="_Ref408852034"/>
      <w:bookmarkStart w:id="9" w:name="_Toc470105861"/>
      <w:r w:rsidRPr="00A37160">
        <w:rPr>
          <w:rFonts w:ascii="Times New Roman" w:hAnsi="Times New Roman" w:cs="Arial"/>
          <w:color w:val="auto"/>
          <w:kern w:val="32"/>
        </w:rPr>
        <w:lastRenderedPageBreak/>
        <w:t>Общие положения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9CB7AE5" w14:textId="77777777" w:rsidR="001B1EAB" w:rsidRPr="00A37160" w:rsidRDefault="001B1EAB" w:rsidP="001B1EAB">
      <w:pPr>
        <w:pStyle w:val="2-"/>
        <w:ind w:left="0" w:firstLine="0"/>
      </w:pPr>
      <w:r w:rsidRPr="00A37160">
        <w:t>1</w:t>
      </w:r>
      <w:r w:rsidRPr="00A37160">
        <w:rPr>
          <w:rFonts w:eastAsia="Times New Roman" w:cs="Times New Roman"/>
          <w:bCs/>
          <w:iCs/>
          <w:szCs w:val="24"/>
        </w:rPr>
        <w:t>.1 Цели и назначение документа</w:t>
      </w:r>
    </w:p>
    <w:p w14:paraId="0E36A771" w14:textId="77777777" w:rsidR="001B1EAB" w:rsidRPr="00A37160" w:rsidRDefault="001B1EAB" w:rsidP="001B1EAB">
      <w:pPr>
        <w:pStyle w:val="a7"/>
        <w:numPr>
          <w:ilvl w:val="2"/>
          <w:numId w:val="9"/>
        </w:numPr>
        <w:spacing w:before="120" w:after="120"/>
        <w:jc w:val="both"/>
      </w:pPr>
      <w:r w:rsidRPr="00A37160">
        <w:t>Данный документ подготовлен в связи с требованиями международных стандартов финансовой отчетности для расчета  поправки на кредитный риск (Credit Valuation Adjustment – CVA) при определении справедливой стоимости финансовых инструментов.  Помимо выполнения требований регуляторов, CVA может использоваться при расчете прибыли торгового подразделения Банка с учетом кредитного риска контрагентов.</w:t>
      </w:r>
    </w:p>
    <w:p w14:paraId="61C26474" w14:textId="77777777" w:rsidR="001B1EAB" w:rsidRPr="00A37160" w:rsidRDefault="001B1EAB" w:rsidP="001B1EAB">
      <w:pPr>
        <w:pStyle w:val="a7"/>
        <w:numPr>
          <w:ilvl w:val="2"/>
          <w:numId w:val="9"/>
        </w:numPr>
        <w:spacing w:before="120" w:after="120"/>
        <w:jc w:val="both"/>
      </w:pPr>
      <w:r w:rsidRPr="00A37160">
        <w:t>Данный документ описывает метод расчета величины CVA. В нем собраны воедино все компоненты модели оценки CVA и дано пошаговое описание алгоритма в применении к финансовым инструментам.</w:t>
      </w:r>
    </w:p>
    <w:p w14:paraId="79949E23" w14:textId="77777777" w:rsidR="001B1EAB" w:rsidRPr="00A37160" w:rsidRDefault="001B1EAB" w:rsidP="001B1EAB">
      <w:pPr>
        <w:pStyle w:val="a7"/>
        <w:numPr>
          <w:ilvl w:val="2"/>
          <w:numId w:val="9"/>
        </w:numPr>
        <w:spacing w:before="120" w:after="120"/>
        <w:jc w:val="both"/>
      </w:pPr>
      <w:r w:rsidRPr="00A37160">
        <w:t xml:space="preserve">Данный документ также </w:t>
      </w:r>
      <w:r w:rsidR="00251016">
        <w:t>определяет</w:t>
      </w:r>
      <w:r w:rsidR="00251016" w:rsidRPr="00A37160">
        <w:t xml:space="preserve"> </w:t>
      </w:r>
      <w:r w:rsidRPr="00A37160">
        <w:t xml:space="preserve">такие понятия как </w:t>
      </w:r>
      <w:r w:rsidRPr="00A37160">
        <w:rPr>
          <w:lang w:val="en-US"/>
        </w:rPr>
        <w:t>DVA</w:t>
      </w:r>
      <w:r w:rsidRPr="00A37160">
        <w:t xml:space="preserve">– </w:t>
      </w:r>
      <w:r w:rsidRPr="00A37160">
        <w:rPr>
          <w:lang w:val="en-US"/>
        </w:rPr>
        <w:t>D</w:t>
      </w:r>
      <w:r w:rsidRPr="00A37160">
        <w:t xml:space="preserve">ebit </w:t>
      </w:r>
      <w:r w:rsidRPr="00A37160">
        <w:rPr>
          <w:lang w:val="en-US"/>
        </w:rPr>
        <w:t>V</w:t>
      </w:r>
      <w:r w:rsidRPr="00A37160">
        <w:t xml:space="preserve">aluation </w:t>
      </w:r>
      <w:r w:rsidRPr="00A37160">
        <w:rPr>
          <w:lang w:val="en-US"/>
        </w:rPr>
        <w:t>A</w:t>
      </w:r>
      <w:r w:rsidRPr="00A37160">
        <w:t xml:space="preserve">djustment и </w:t>
      </w:r>
      <w:r w:rsidRPr="00A37160">
        <w:rPr>
          <w:lang w:val="en-US"/>
        </w:rPr>
        <w:t>BCVA</w:t>
      </w:r>
      <w:r w:rsidRPr="00A37160">
        <w:t xml:space="preserve"> – Bilateral Credit Value Adjustment.</w:t>
      </w:r>
    </w:p>
    <w:p w14:paraId="5583A969" w14:textId="77777777" w:rsidR="001B1EAB" w:rsidRDefault="001B1EAB" w:rsidP="001B1EAB">
      <w:pPr>
        <w:pStyle w:val="a7"/>
        <w:numPr>
          <w:ilvl w:val="2"/>
          <w:numId w:val="9"/>
        </w:numPr>
        <w:spacing w:before="120" w:after="120"/>
        <w:jc w:val="both"/>
      </w:pPr>
      <w:r w:rsidRPr="00A37160">
        <w:t xml:space="preserve">Расчет показателей </w:t>
      </w:r>
      <w:r w:rsidRPr="00A37160">
        <w:rPr>
          <w:lang w:val="en-US"/>
        </w:rPr>
        <w:t>CVA</w:t>
      </w:r>
      <w:r w:rsidRPr="00A37160">
        <w:t xml:space="preserve">, </w:t>
      </w:r>
      <w:r w:rsidRPr="00A37160">
        <w:rPr>
          <w:lang w:val="en-US"/>
        </w:rPr>
        <w:t>DVA</w:t>
      </w:r>
      <w:r w:rsidRPr="00A37160">
        <w:t xml:space="preserve"> и </w:t>
      </w:r>
      <w:r w:rsidRPr="00A37160">
        <w:rPr>
          <w:lang w:val="en-US"/>
        </w:rPr>
        <w:t>BCVA</w:t>
      </w:r>
      <w:r w:rsidRPr="00A37160">
        <w:t xml:space="preserve">  по настоящей методике осуществляется Блоком Риски.</w:t>
      </w:r>
    </w:p>
    <w:p w14:paraId="3707155C" w14:textId="77777777" w:rsidR="00882FAE" w:rsidRDefault="00882FAE" w:rsidP="00882FAE">
      <w:pPr>
        <w:pStyle w:val="a7"/>
        <w:numPr>
          <w:ilvl w:val="2"/>
          <w:numId w:val="9"/>
        </w:numPr>
        <w:spacing w:before="120" w:after="120"/>
        <w:jc w:val="both"/>
      </w:pPr>
      <w:r>
        <w:t>Методика распространяется на операции на финансовых рынках, совершаемые на балансе интегрированных</w:t>
      </w:r>
      <w:r>
        <w:rPr>
          <w:rStyle w:val="ac"/>
        </w:rPr>
        <w:footnoteReference w:id="1"/>
      </w:r>
      <w:r>
        <w:t xml:space="preserve"> участников Группы. </w:t>
      </w:r>
    </w:p>
    <w:p w14:paraId="25CB39B3" w14:textId="77777777" w:rsidR="00882FAE" w:rsidRDefault="00882FAE" w:rsidP="00882FAE">
      <w:pPr>
        <w:pStyle w:val="a7"/>
        <w:numPr>
          <w:ilvl w:val="2"/>
          <w:numId w:val="9"/>
        </w:numPr>
        <w:spacing w:before="120" w:after="120"/>
        <w:jc w:val="both"/>
      </w:pPr>
      <w:r>
        <w:t xml:space="preserve">Необходимость утверждения </w:t>
      </w:r>
      <w:r w:rsidR="00F02CCA">
        <w:t>методики</w:t>
      </w:r>
      <w:r>
        <w:t>, аналогичной данному документу, для неинтегрированных</w:t>
      </w:r>
      <w:r>
        <w:rPr>
          <w:rStyle w:val="ac"/>
        </w:rPr>
        <w:footnoteReference w:id="2"/>
      </w:r>
      <w:r>
        <w:t xml:space="preserve"> участников Группы определяется Департаментом рисков </w:t>
      </w:r>
      <w:r>
        <w:rPr>
          <w:lang w:val="en-US"/>
        </w:rPr>
        <w:t>CIB</w:t>
      </w:r>
      <w:r>
        <w:t xml:space="preserve">. </w:t>
      </w:r>
    </w:p>
    <w:p w14:paraId="00714240" w14:textId="77777777" w:rsidR="00882FAE" w:rsidRPr="00A37160" w:rsidRDefault="00882FAE" w:rsidP="008D5876">
      <w:pPr>
        <w:pStyle w:val="a7"/>
        <w:spacing w:before="120" w:after="120"/>
        <w:ind w:left="1004"/>
        <w:jc w:val="both"/>
      </w:pPr>
    </w:p>
    <w:p w14:paraId="140749E6" w14:textId="77777777" w:rsidR="001B1EAB" w:rsidRPr="00A37160" w:rsidRDefault="001B1EAB" w:rsidP="001B1EAB">
      <w:pPr>
        <w:pStyle w:val="a7"/>
        <w:spacing w:after="120"/>
        <w:ind w:left="709"/>
        <w:jc w:val="both"/>
      </w:pPr>
    </w:p>
    <w:p w14:paraId="76AABC51" w14:textId="77777777" w:rsidR="001B1EAB" w:rsidRPr="00A37160" w:rsidRDefault="001B1EAB" w:rsidP="001B1EAB">
      <w:pPr>
        <w:rPr>
          <w:sz w:val="28"/>
          <w:szCs w:val="28"/>
        </w:rPr>
      </w:pPr>
    </w:p>
    <w:p w14:paraId="0F076AE0" w14:textId="77777777" w:rsidR="001B1EAB" w:rsidRPr="00A37160" w:rsidRDefault="001B1EAB" w:rsidP="001B1EAB">
      <w:pPr>
        <w:pStyle w:val="1"/>
        <w:keepLines w:val="0"/>
        <w:numPr>
          <w:ilvl w:val="0"/>
          <w:numId w:val="1"/>
        </w:numPr>
        <w:pBdr>
          <w:bottom w:val="single" w:sz="4" w:space="0" w:color="auto"/>
        </w:pBdr>
        <w:autoSpaceDE w:val="0"/>
        <w:autoSpaceDN w:val="0"/>
        <w:spacing w:before="0" w:after="240"/>
        <w:jc w:val="both"/>
        <w:rPr>
          <w:rFonts w:ascii="Times New Roman" w:hAnsi="Times New Roman" w:cs="Arial"/>
          <w:color w:val="auto"/>
          <w:kern w:val="32"/>
        </w:rPr>
      </w:pPr>
      <w:bookmarkStart w:id="10" w:name="_Toc470105862"/>
      <w:r w:rsidRPr="00A37160">
        <w:rPr>
          <w:rFonts w:ascii="Times New Roman" w:hAnsi="Times New Roman" w:cs="Arial"/>
          <w:color w:val="auto"/>
          <w:kern w:val="32"/>
        </w:rPr>
        <w:t>Описание модели расчета CVA</w:t>
      </w:r>
      <w:bookmarkEnd w:id="10"/>
      <w:r w:rsidRPr="00A37160">
        <w:rPr>
          <w:rFonts w:ascii="Times New Roman" w:hAnsi="Times New Roman" w:cs="Arial"/>
          <w:color w:val="auto"/>
          <w:kern w:val="32"/>
        </w:rPr>
        <w:t xml:space="preserve"> </w:t>
      </w:r>
    </w:p>
    <w:p w14:paraId="2A9BBD69" w14:textId="77777777" w:rsidR="001B1EAB" w:rsidRPr="00A37160" w:rsidRDefault="001B1EAB" w:rsidP="001B1EAB">
      <w:pPr>
        <w:pStyle w:val="2"/>
        <w:keepLines w:val="0"/>
        <w:numPr>
          <w:ilvl w:val="1"/>
          <w:numId w:val="1"/>
        </w:numPr>
        <w:tabs>
          <w:tab w:val="num" w:pos="567"/>
        </w:tabs>
        <w:spacing w:before="240" w:after="240"/>
        <w:ind w:left="567" w:hanging="431"/>
        <w:jc w:val="both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  <w:bookmarkStart w:id="11" w:name="_Toc470105863"/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>Понятие CVA и</w:t>
      </w:r>
      <w:r w:rsidRPr="00A37160">
        <w:rPr>
          <w:rFonts w:ascii="Times New Roman" w:hAnsi="Times New Roman"/>
          <w:iCs/>
          <w:color w:val="auto"/>
          <w:sz w:val="24"/>
          <w:szCs w:val="24"/>
          <w:lang w:val="en-US" w:eastAsia="en-US"/>
        </w:rPr>
        <w:t xml:space="preserve"> DVA</w:t>
      </w:r>
      <w:bookmarkEnd w:id="11"/>
    </w:p>
    <w:p w14:paraId="33BE3B2A" w14:textId="77777777"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>2.1.1 В общем случае кредитный риск (Counterparty Credit Risk – CCR) – это риск потерь, в результате дефолта контрагента по сделке. Дефолт в данном случае понимается в широком смысле и включает любое событие, приводящее к невыполнению обязательств по сделке. При этом Банк  несет потери только тогда, когда стоимость сделки (или портфеля сделок с одним контрагентом) в момент дефолта положительна, т.е. сделка в этот момент представляет собой актив для Банка, а не обязательство</w:t>
      </w:r>
      <w:r w:rsidRPr="00A37160">
        <w:rPr>
          <w:vertAlign w:val="superscript"/>
        </w:rPr>
        <w:footnoteReference w:id="3"/>
      </w:r>
      <w:r w:rsidRPr="00A37160">
        <w:t>.</w:t>
      </w:r>
    </w:p>
    <w:p w14:paraId="23F081D1" w14:textId="77777777"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>2.1.2 Credit Valuation Adjustment (CVA) учитывает влияние кредитного риска контрагента на справедливую стоимость портфеля. CVA определяется как разница между справедливой стоимостью финансового инструмента (полагая, что контрагент – безрисковый) и стоимостью, отражающей риск дефолта контрагента.</w:t>
      </w:r>
    </w:p>
    <w:p w14:paraId="5CB0F44F" w14:textId="77777777" w:rsidR="001B1EAB" w:rsidRPr="00A37160" w:rsidRDefault="001B1EAB" w:rsidP="001B1EAB">
      <w:pPr>
        <w:spacing w:before="120" w:after="120"/>
        <w:jc w:val="both"/>
      </w:pPr>
      <w:r w:rsidRPr="00A37160">
        <w:rPr>
          <w:i/>
          <w:lang w:val="en-US"/>
        </w:rPr>
        <w:lastRenderedPageBreak/>
        <w:t>CVA</w:t>
      </w:r>
      <w:r w:rsidRPr="00A37160">
        <w:rPr>
          <w:i/>
        </w:rPr>
        <w:t xml:space="preserve"> = Справедливая Стоимость (без учета кредитного риска) – Справедливая Стоимость (с учетом собственного кредитного риска контрагента)</w:t>
      </w:r>
    </w:p>
    <w:p w14:paraId="0B995C2F" w14:textId="77777777"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 xml:space="preserve">2.1.3 В общем случае величина CVA не является аддитивной. Значение CVA портфеля инструментов не равно сумме CVA по каждому инструменту. В связи с этим, при применении к портфелю инструментов, величина CVA должна рассчитываться сразу по всем инструментам с данным контрагентом с учетом неттинга. </w:t>
      </w:r>
    </w:p>
    <w:p w14:paraId="1572369E" w14:textId="77777777"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 xml:space="preserve">2.1.4 При корректировке справедливой стоимости финансового инструмента может также учитываться собственный кредитный риск Банка (так называемый DVA – debit valuation adjustment). </w:t>
      </w:r>
    </w:p>
    <w:p w14:paraId="59A60012" w14:textId="77777777" w:rsidR="001B1EAB" w:rsidRPr="00A37160" w:rsidRDefault="001B1EAB" w:rsidP="001B1EAB">
      <w:pPr>
        <w:spacing w:before="120" w:after="120"/>
        <w:jc w:val="both"/>
        <w:rPr>
          <w:i/>
        </w:rPr>
      </w:pPr>
      <w:r w:rsidRPr="00A37160">
        <w:rPr>
          <w:i/>
          <w:lang w:val="en-US"/>
        </w:rPr>
        <w:t>DVA</w:t>
      </w:r>
      <w:r w:rsidR="00A30756" w:rsidRPr="00A37160">
        <w:rPr>
          <w:i/>
        </w:rPr>
        <w:t xml:space="preserve"> =</w:t>
      </w:r>
      <w:r w:rsidRPr="00A37160">
        <w:rPr>
          <w:i/>
        </w:rPr>
        <w:t xml:space="preserve"> Справедливая Стоимость (без учета кредитного риска) - Справедливая Стоимость (с учетом собственного кредитного риска)</w:t>
      </w:r>
    </w:p>
    <w:p w14:paraId="505DA6FA" w14:textId="77777777" w:rsidR="001B1EAB" w:rsidRPr="00A37160" w:rsidRDefault="001B1EAB" w:rsidP="001B1EAB">
      <w:pPr>
        <w:pStyle w:val="a7"/>
        <w:spacing w:before="120" w:after="120"/>
        <w:ind w:left="0"/>
        <w:jc w:val="both"/>
      </w:pPr>
      <w:r w:rsidRPr="00A37160">
        <w:t xml:space="preserve">2.1.5 Bilateral Credit Value Adjustment (BCVA) – учитывает влияние кредитного риска контрагента и кредитного риска банка на справедливую стоимость портфеля. BCVA определяется как разница между CVA и DVA. BCVA используется для расчета CVA резерва портфеля. </w:t>
      </w:r>
    </w:p>
    <w:p w14:paraId="33DBA900" w14:textId="77777777" w:rsidR="001B1EAB" w:rsidRPr="00A37160" w:rsidRDefault="001B1EAB" w:rsidP="001B1EAB">
      <w:pPr>
        <w:pStyle w:val="a7"/>
        <w:ind w:left="36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BCVA=CVA-DVA</m:t>
          </m:r>
        </m:oMath>
      </m:oMathPara>
    </w:p>
    <w:p w14:paraId="0CEF3939" w14:textId="77777777" w:rsidR="001B1EAB" w:rsidRPr="00A37160" w:rsidRDefault="001B1EAB" w:rsidP="001B1EAB"/>
    <w:p w14:paraId="5072F97A" w14:textId="77777777" w:rsidR="001B1EAB" w:rsidRPr="00A37160" w:rsidRDefault="001B1EAB" w:rsidP="001B1EAB">
      <w:pPr>
        <w:pStyle w:val="2"/>
        <w:keepLines w:val="0"/>
        <w:numPr>
          <w:ilvl w:val="1"/>
          <w:numId w:val="1"/>
        </w:numPr>
        <w:tabs>
          <w:tab w:val="num" w:pos="567"/>
        </w:tabs>
        <w:spacing w:before="240" w:after="240"/>
        <w:ind w:left="567" w:hanging="431"/>
        <w:jc w:val="both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ab/>
      </w:r>
      <w:bookmarkStart w:id="12" w:name="_Ref408927856"/>
      <w:bookmarkStart w:id="13" w:name="_Toc470105864"/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 xml:space="preserve">Краткое описание модели CVA, </w:t>
      </w:r>
      <w:r w:rsidRPr="00A37160">
        <w:rPr>
          <w:rFonts w:ascii="Times New Roman" w:hAnsi="Times New Roman"/>
          <w:iCs/>
          <w:color w:val="auto"/>
          <w:sz w:val="24"/>
          <w:szCs w:val="24"/>
          <w:lang w:val="en-US" w:eastAsia="en-US"/>
        </w:rPr>
        <w:t>DVA</w:t>
      </w:r>
      <w:bookmarkEnd w:id="12"/>
      <w:bookmarkEnd w:id="13"/>
    </w:p>
    <w:p w14:paraId="65D998E1" w14:textId="77777777"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 xml:space="preserve">2.2.1 При наступлении дефолта контрагента в момент времени </w:t>
      </w:r>
      <w:r w:rsidRPr="00A37160">
        <w:rPr>
          <w:i/>
        </w:rPr>
        <w:t>t*</w:t>
      </w:r>
      <w:r w:rsidRPr="00A37160">
        <w:t xml:space="preserve"> потери Банка составляют:</w:t>
      </w:r>
    </w:p>
    <w:p w14:paraId="67CAEE97" w14:textId="77777777" w:rsidR="001B1EAB" w:rsidRPr="00A37160" w:rsidRDefault="00DA21A1" w:rsidP="001B1EAB">
      <w:pPr>
        <w:autoSpaceDE w:val="0"/>
        <w:autoSpaceDN w:val="0"/>
        <w:spacing w:before="120" w:after="120"/>
        <w:ind w:left="2124" w:firstLine="708"/>
        <w:jc w:val="center"/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v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,0</m:t>
                </m:r>
              </m:e>
            </m:d>
          </m:e>
        </m:func>
      </m:oMath>
      <w:r w:rsidR="001B1EAB" w:rsidRPr="00A37160">
        <w:tab/>
      </w:r>
      <w:r w:rsidR="001B1EAB" w:rsidRPr="00A37160">
        <w:tab/>
      </w:r>
      <w:r w:rsidR="001B1EAB" w:rsidRPr="00A37160">
        <w:tab/>
      </w:r>
      <w:r w:rsidR="001B1EAB" w:rsidRPr="00A37160">
        <w:tab/>
        <w:t xml:space="preserve">        </w:t>
      </w:r>
      <w:r w:rsidR="001B1EAB" w:rsidRPr="00A37160">
        <w:tab/>
        <w:t xml:space="preserve"> (1)</w:t>
      </w:r>
    </w:p>
    <w:p w14:paraId="6F30048C" w14:textId="77777777" w:rsidR="001B1EAB" w:rsidRPr="00A37160" w:rsidRDefault="001B1EAB" w:rsidP="001B1EAB">
      <w:pPr>
        <w:spacing w:before="120" w:after="120"/>
        <w:jc w:val="both"/>
      </w:pPr>
      <w:r w:rsidRPr="00A37160">
        <w:t xml:space="preserve">где </w:t>
      </w:r>
    </w:p>
    <w:p w14:paraId="202B6C11" w14:textId="77777777" w:rsidR="001B1EAB" w:rsidRPr="00A37160" w:rsidRDefault="001B1EAB" w:rsidP="001B1EAB">
      <w:pPr>
        <w:spacing w:before="120" w:after="120"/>
        <w:jc w:val="both"/>
      </w:pPr>
      <w:r w:rsidRPr="00A37160">
        <w:rPr>
          <w:i/>
          <w:lang w:val="en-US"/>
        </w:rPr>
        <w:t>t</w:t>
      </w:r>
      <w:r w:rsidRPr="00A37160">
        <w:rPr>
          <w:i/>
          <w:vertAlign w:val="superscript"/>
        </w:rPr>
        <w:t>*</w:t>
      </w:r>
      <w:r w:rsidRPr="00A37160">
        <w:t xml:space="preserve"> – момент наступления события дефолта контрагента,</w:t>
      </w:r>
    </w:p>
    <w:p w14:paraId="3CDD8FBC" w14:textId="77777777" w:rsidR="001B1EAB" w:rsidRPr="008B19C0" w:rsidRDefault="001B1EAB" w:rsidP="001B1EAB">
      <w:pPr>
        <w:spacing w:before="120" w:after="120"/>
        <w:jc w:val="both"/>
      </w:pPr>
      <w:r w:rsidRPr="00A37160">
        <w:rPr>
          <w:i/>
          <w:lang w:val="en-US"/>
        </w:rPr>
        <w:t>V</w:t>
      </w:r>
      <w:r w:rsidRPr="00A37160">
        <w:rPr>
          <w:i/>
        </w:rPr>
        <w:t>(</w:t>
      </w:r>
      <w:r w:rsidRPr="00A37160">
        <w:rPr>
          <w:i/>
          <w:lang w:val="en-US"/>
        </w:rPr>
        <w:t>t</w:t>
      </w:r>
      <w:r w:rsidRPr="00A37160">
        <w:rPr>
          <w:i/>
          <w:vertAlign w:val="superscript"/>
        </w:rPr>
        <w:t>*</w:t>
      </w:r>
      <w:r w:rsidRPr="00A37160">
        <w:rPr>
          <w:i/>
        </w:rPr>
        <w:t>)</w:t>
      </w:r>
      <w:r w:rsidRPr="00A37160">
        <w:t xml:space="preserve"> –стоимость для Банка инструмента</w:t>
      </w:r>
      <w:r w:rsidRPr="00A37160">
        <w:rPr>
          <w:rStyle w:val="ac"/>
        </w:rPr>
        <w:footnoteReference w:id="4"/>
      </w:r>
      <w:r w:rsidRPr="00A37160">
        <w:t xml:space="preserve"> в момент дефолта контрагента </w:t>
      </w:r>
      <w:r w:rsidRPr="00A37160">
        <w:rPr>
          <w:i/>
          <w:lang w:val="en-US"/>
        </w:rPr>
        <w:t>t</w:t>
      </w:r>
      <w:r w:rsidRPr="00A37160">
        <w:rPr>
          <w:i/>
          <w:vertAlign w:val="superscript"/>
        </w:rPr>
        <w:t>*</w:t>
      </w:r>
      <w:r w:rsidRPr="00A37160">
        <w:t>,</w:t>
      </w:r>
      <w:r w:rsidR="00101B17">
        <w:t xml:space="preserve"> </w:t>
      </w:r>
      <w:r w:rsidR="008B19C0">
        <w:t>детали</w:t>
      </w:r>
      <w:r w:rsidR="00101B17">
        <w:t xml:space="preserve"> расчета </w:t>
      </w:r>
      <w:r w:rsidR="008B19C0">
        <w:t xml:space="preserve"> указываются в  </w:t>
      </w:r>
      <w:r w:rsidR="008B19C0" w:rsidRPr="008D5876">
        <w:t xml:space="preserve">Профиле расчета </w:t>
      </w:r>
      <w:r w:rsidR="008B19C0" w:rsidRPr="008D5876">
        <w:rPr>
          <w:lang w:val="en-US"/>
        </w:rPr>
        <w:t>CVA</w:t>
      </w:r>
      <w:r w:rsidR="008B19C0" w:rsidRPr="008D5876">
        <w:t xml:space="preserve"> для продукта. Шаблон профиля  расчета </w:t>
      </w:r>
      <w:r w:rsidR="008B19C0" w:rsidRPr="008D5876">
        <w:rPr>
          <w:lang w:val="en-US"/>
        </w:rPr>
        <w:t>CVA</w:t>
      </w:r>
      <w:r w:rsidR="008B19C0" w:rsidRPr="008D5876">
        <w:t xml:space="preserve"> для продукта приведен в Приложении 7</w:t>
      </w:r>
      <w:r w:rsidR="008B19C0">
        <w:rPr>
          <w:b/>
        </w:rPr>
        <w:t xml:space="preserve">. </w:t>
      </w:r>
    </w:p>
    <w:p w14:paraId="1ADFE4AF" w14:textId="77777777" w:rsidR="001B1EAB" w:rsidRPr="00A37160" w:rsidRDefault="001B1EAB" w:rsidP="001B1EAB">
      <w:pPr>
        <w:pStyle w:val="a7"/>
        <w:spacing w:before="120" w:after="120"/>
        <w:ind w:left="0"/>
        <w:jc w:val="both"/>
      </w:pPr>
      <w:r w:rsidRPr="00A37160">
        <w:rPr>
          <w:i/>
          <w:lang w:val="en-US"/>
        </w:rPr>
        <w:t>R</w:t>
      </w:r>
      <w:r w:rsidRPr="00A37160">
        <w:rPr>
          <w:i/>
          <w:vertAlign w:val="subscript"/>
          <w:lang w:val="en-US"/>
        </w:rPr>
        <w:t>v</w:t>
      </w:r>
      <w:r w:rsidRPr="00A37160">
        <w:t xml:space="preserve"> – величина возмещения recovery </w:t>
      </w:r>
      <w:r w:rsidRPr="00A37160">
        <w:rPr>
          <w:lang w:val="en-US"/>
        </w:rPr>
        <w:t>rate</w:t>
      </w:r>
      <w:r w:rsidRPr="00A37160">
        <w:t xml:space="preserve"> контрагента по данному инструменту, определяемая как процент от </w:t>
      </w:r>
      <w:r w:rsidRPr="00A37160">
        <w:rPr>
          <w:i/>
          <w:lang w:val="en-US"/>
        </w:rPr>
        <w:t>V</w:t>
      </w:r>
      <w:r w:rsidRPr="00A37160">
        <w:rPr>
          <w:i/>
        </w:rPr>
        <w:t>(</w:t>
      </w:r>
      <w:r w:rsidRPr="00A37160">
        <w:rPr>
          <w:i/>
          <w:lang w:val="en-US"/>
        </w:rPr>
        <w:t>t</w:t>
      </w:r>
      <w:r w:rsidRPr="00A37160">
        <w:rPr>
          <w:i/>
          <w:vertAlign w:val="superscript"/>
        </w:rPr>
        <w:t>*</w:t>
      </w:r>
      <w:r w:rsidRPr="00A37160">
        <w:rPr>
          <w:i/>
        </w:rPr>
        <w:t>),</w:t>
      </w:r>
    </w:p>
    <w:p w14:paraId="1A54C8B2" w14:textId="77777777" w:rsidR="001B1EAB" w:rsidRPr="00A37160" w:rsidRDefault="001B1EAB" w:rsidP="001B1EAB">
      <w:pPr>
        <w:spacing w:before="120" w:after="120"/>
      </w:pPr>
    </w:p>
    <w:p w14:paraId="41A41434" w14:textId="77777777"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 xml:space="preserve">2.2.2 Т.е. Банк несет потери только когда справедливая стоимость инструмента в момент обнаружения потерь при дефолте – положительная. При этом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,0</m:t>
                </m:r>
              </m:e>
            </m:d>
          </m:e>
        </m:func>
      </m:oMath>
      <w:r w:rsidRPr="00A37160">
        <w:fldChar w:fldCharType="begin"/>
      </w:r>
      <w:r w:rsidRPr="00A37160">
        <w:instrText xml:space="preserve"> QUOTE </w:instrText>
      </w:r>
      <w:r w:rsidRPr="00A37160">
        <w:rPr>
          <w:noProof/>
        </w:rPr>
        <w:drawing>
          <wp:inline distT="0" distB="0" distL="0" distR="0" wp14:anchorId="6CD0AFB3" wp14:editId="1CF150F4">
            <wp:extent cx="762000" cy="17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160">
        <w:instrText xml:space="preserve"> </w:instrText>
      </w:r>
      <w:r w:rsidRPr="00A37160">
        <w:fldChar w:fldCharType="end"/>
      </w:r>
      <w:r w:rsidRPr="00A37160">
        <w:rPr>
          <w:rStyle w:val="ac"/>
        </w:rPr>
        <w:footnoteReference w:id="5"/>
      </w:r>
      <w:r w:rsidRPr="00A37160">
        <w:t xml:space="preserve"> представляет собой выплаты по call опциону на рассматриваемый инструмент. </w:t>
      </w:r>
    </w:p>
    <w:p w14:paraId="4EA7E9EE" w14:textId="77777777" w:rsidR="001B1EAB" w:rsidRPr="00A37160" w:rsidRDefault="001B1EAB" w:rsidP="001B1EAB">
      <w:pPr>
        <w:autoSpaceDE w:val="0"/>
        <w:autoSpaceDN w:val="0"/>
        <w:spacing w:before="120" w:after="120"/>
        <w:jc w:val="both"/>
      </w:pPr>
    </w:p>
    <w:p w14:paraId="1AC61D8A" w14:textId="77777777"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 xml:space="preserve">2.2.3 С другой стороны, при наступлении дефолта Банка в момент времени </w:t>
      </w:r>
      <w:r w:rsidRPr="00A37160">
        <w:rPr>
          <w:i/>
        </w:rPr>
        <w:t>t*</w:t>
      </w:r>
      <w:r w:rsidRPr="00A37160">
        <w:t xml:space="preserve"> потери контрагента составляют:</w:t>
      </w:r>
    </w:p>
    <w:p w14:paraId="3D67F4F3" w14:textId="77777777" w:rsidR="001B1EAB" w:rsidRPr="00A37160" w:rsidRDefault="001B1EAB" w:rsidP="001B1EAB">
      <w:pPr>
        <w:autoSpaceDE w:val="0"/>
        <w:autoSpaceDN w:val="0"/>
        <w:spacing w:before="120" w:after="120"/>
        <w:ind w:left="2124" w:firstLine="708"/>
        <w:jc w:val="center"/>
      </w:pP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,0</m:t>
                </m:r>
              </m:e>
            </m:d>
          </m:e>
        </m:func>
      </m:oMath>
      <w:r w:rsidRPr="00A37160">
        <w:tab/>
      </w:r>
      <w:r w:rsidRPr="00A37160">
        <w:tab/>
      </w:r>
      <w:r w:rsidRPr="00A37160">
        <w:tab/>
      </w:r>
      <w:r w:rsidRPr="00A37160">
        <w:tab/>
        <w:t xml:space="preserve">   </w:t>
      </w:r>
      <w:r w:rsidRPr="00A37160">
        <w:tab/>
        <w:t xml:space="preserve">    (1.1)</w:t>
      </w:r>
    </w:p>
    <w:p w14:paraId="582CE27F" w14:textId="77777777" w:rsidR="001B1EAB" w:rsidRPr="00A37160" w:rsidRDefault="001B1EAB" w:rsidP="001B1EAB">
      <w:pPr>
        <w:spacing w:before="120" w:after="120"/>
        <w:jc w:val="both"/>
      </w:pPr>
      <w:r w:rsidRPr="00A37160">
        <w:t xml:space="preserve">где </w:t>
      </w:r>
    </w:p>
    <w:p w14:paraId="4CFA0245" w14:textId="77777777" w:rsidR="001B1EAB" w:rsidRPr="00A37160" w:rsidRDefault="001B1EAB" w:rsidP="001B1EAB">
      <w:pPr>
        <w:spacing w:before="120" w:after="120"/>
        <w:jc w:val="both"/>
      </w:pPr>
      <w:r w:rsidRPr="00A37160">
        <w:rPr>
          <w:i/>
          <w:lang w:val="en-US"/>
        </w:rPr>
        <w:t>t</w:t>
      </w:r>
      <w:r w:rsidRPr="00A37160">
        <w:rPr>
          <w:i/>
          <w:vertAlign w:val="superscript"/>
        </w:rPr>
        <w:t>*</w:t>
      </w:r>
      <w:r w:rsidRPr="00A37160">
        <w:t xml:space="preserve"> – момент наступления события дефолта Банка,</w:t>
      </w:r>
    </w:p>
    <w:p w14:paraId="2E35ECA1" w14:textId="77777777" w:rsidR="001B1EAB" w:rsidRPr="00A37160" w:rsidRDefault="001B1EAB" w:rsidP="001B1EAB">
      <w:pPr>
        <w:spacing w:before="120" w:after="120"/>
        <w:jc w:val="both"/>
      </w:pPr>
      <w:r w:rsidRPr="00A37160">
        <w:rPr>
          <w:i/>
          <w:lang w:val="en-US"/>
        </w:rPr>
        <w:t>V</w:t>
      </w:r>
      <w:r w:rsidRPr="00A37160">
        <w:rPr>
          <w:i/>
        </w:rPr>
        <w:t>(</w:t>
      </w:r>
      <w:r w:rsidRPr="00A37160">
        <w:rPr>
          <w:i/>
          <w:lang w:val="en-US"/>
        </w:rPr>
        <w:t>t</w:t>
      </w:r>
      <w:r w:rsidRPr="00A37160">
        <w:rPr>
          <w:i/>
          <w:vertAlign w:val="superscript"/>
        </w:rPr>
        <w:t>*</w:t>
      </w:r>
      <w:r w:rsidRPr="00A37160">
        <w:rPr>
          <w:i/>
        </w:rPr>
        <w:t>)</w:t>
      </w:r>
      <w:r w:rsidRPr="00A37160">
        <w:t xml:space="preserve"> –стоимость для Банка инструмента в момент дефолта Банка </w:t>
      </w:r>
      <w:r w:rsidRPr="00A37160">
        <w:rPr>
          <w:i/>
          <w:lang w:val="en-US"/>
        </w:rPr>
        <w:t>t</w:t>
      </w:r>
      <w:r w:rsidRPr="00A37160">
        <w:rPr>
          <w:i/>
          <w:vertAlign w:val="superscript"/>
        </w:rPr>
        <w:t>*</w:t>
      </w:r>
      <w:r w:rsidRPr="00A37160">
        <w:t>,</w:t>
      </w:r>
    </w:p>
    <w:p w14:paraId="65C3B4FA" w14:textId="77777777" w:rsidR="001B1EAB" w:rsidRPr="00A37160" w:rsidRDefault="001B1EAB" w:rsidP="001B1EAB">
      <w:pPr>
        <w:pStyle w:val="a7"/>
        <w:spacing w:before="120" w:after="120"/>
        <w:ind w:left="0"/>
        <w:jc w:val="both"/>
      </w:pPr>
      <w:r w:rsidRPr="00A37160">
        <w:rPr>
          <w:i/>
          <w:lang w:val="en-US"/>
        </w:rPr>
        <w:lastRenderedPageBreak/>
        <w:t>R</w:t>
      </w:r>
      <w:r w:rsidRPr="00A37160">
        <w:rPr>
          <w:i/>
          <w:vertAlign w:val="subscript"/>
          <w:lang w:val="en-US"/>
        </w:rPr>
        <w:t>b</w:t>
      </w:r>
      <w:r w:rsidRPr="00A37160">
        <w:t xml:space="preserve"> – величина возмещения recovery </w:t>
      </w:r>
      <w:r w:rsidRPr="00A37160">
        <w:rPr>
          <w:lang w:val="en-US"/>
        </w:rPr>
        <w:t>rate</w:t>
      </w:r>
      <w:r w:rsidRPr="00A37160">
        <w:t xml:space="preserve"> Банка по данному инструменту, определяемая как процент от </w:t>
      </w:r>
      <w:r w:rsidRPr="00A37160">
        <w:rPr>
          <w:i/>
          <w:lang w:val="en-US"/>
        </w:rPr>
        <w:t>V</w:t>
      </w:r>
      <w:r w:rsidRPr="00A37160">
        <w:rPr>
          <w:i/>
        </w:rPr>
        <w:t>(</w:t>
      </w:r>
      <w:r w:rsidRPr="00A37160">
        <w:rPr>
          <w:i/>
          <w:lang w:val="en-US"/>
        </w:rPr>
        <w:t>t</w:t>
      </w:r>
      <w:r w:rsidRPr="00A37160">
        <w:rPr>
          <w:i/>
          <w:vertAlign w:val="superscript"/>
        </w:rPr>
        <w:t>*</w:t>
      </w:r>
      <w:r w:rsidRPr="00A37160">
        <w:rPr>
          <w:i/>
        </w:rPr>
        <w:t>).</w:t>
      </w:r>
    </w:p>
    <w:p w14:paraId="2002C885" w14:textId="77777777" w:rsidR="001B1EAB" w:rsidRPr="00A37160" w:rsidRDefault="001B1EAB" w:rsidP="001B1EAB">
      <w:pPr>
        <w:autoSpaceDE w:val="0"/>
        <w:autoSpaceDN w:val="0"/>
        <w:spacing w:before="120" w:after="120"/>
        <w:jc w:val="both"/>
      </w:pPr>
    </w:p>
    <w:p w14:paraId="25D346CC" w14:textId="77777777"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>2.2.4  В рамках данного документа здесь и далее будем обозначать:</w:t>
      </w:r>
    </w:p>
    <w:p w14:paraId="354FC798" w14:textId="77777777" w:rsidR="001B1EAB" w:rsidRPr="00A37160" w:rsidRDefault="001B1EAB" w:rsidP="001B1EAB">
      <w:pPr>
        <w:autoSpaceDE w:val="0"/>
        <w:autoSpaceDN w:val="0"/>
        <w:spacing w:before="120" w:after="120"/>
        <w:ind w:left="-360" w:firstLine="360"/>
        <w:jc w:val="both"/>
      </w:pPr>
      <m:oMath>
        <m:r>
          <w:rPr>
            <w:rFonts w:ascii="Cambria Math" w:hAnsi="Cambria Math"/>
            <w:lang w:val="en-US"/>
          </w:rPr>
          <m:t>EPE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Q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,0</m:t>
                </m:r>
              </m:e>
            </m:d>
          </m:e>
        </m:func>
        <m:r>
          <w:rPr>
            <w:rFonts w:ascii="Cambria Math" w:hAnsi="Cambria Math"/>
          </w:rPr>
          <m:t>)</m:t>
        </m:r>
        <m:r>
          <w:rPr>
            <w:rStyle w:val="ac"/>
            <w:rFonts w:ascii="Cambria Math" w:hAnsi="Cambria Math"/>
            <w:i/>
          </w:rPr>
          <w:footnoteReference w:id="6"/>
        </m:r>
      </m:oMath>
      <w:r w:rsidRPr="00A37160">
        <w:t xml:space="preserve"> – положительная ожидаемая подверженность риску,</w:t>
      </w:r>
    </w:p>
    <w:p w14:paraId="50A8D0A2" w14:textId="77777777" w:rsidR="001B1EAB" w:rsidRPr="00A37160" w:rsidRDefault="001B1EAB" w:rsidP="001B1EAB">
      <w:pPr>
        <w:autoSpaceDE w:val="0"/>
        <w:autoSpaceDN w:val="0"/>
        <w:spacing w:before="120" w:after="120"/>
        <w:ind w:left="-360" w:firstLine="360"/>
        <w:jc w:val="both"/>
      </w:pPr>
      <m:oMath>
        <m:r>
          <w:rPr>
            <w:rFonts w:ascii="Cambria Math" w:hAnsi="Cambria Math"/>
            <w:lang w:val="en-US"/>
          </w:rPr>
          <m:t>ENE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Q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,0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Pr="00A37160">
        <w:t xml:space="preserve"> – отрицательная ожидаемая подверженность риску,</w:t>
      </w:r>
    </w:p>
    <w:p w14:paraId="7758BC74" w14:textId="77777777" w:rsidR="001B1EAB" w:rsidRPr="00A37160" w:rsidRDefault="001B1EAB" w:rsidP="001B1EAB">
      <w:pPr>
        <w:autoSpaceDE w:val="0"/>
        <w:autoSpaceDN w:val="0"/>
        <w:spacing w:before="120" w:after="120"/>
        <w:ind w:left="-360" w:firstLine="360"/>
        <w:jc w:val="both"/>
      </w:pPr>
      <m:oMath>
        <m:r>
          <w:rPr>
            <w:rFonts w:ascii="Cambria Math" w:hAnsi="Cambria Math"/>
            <w:lang w:val="en-US"/>
          </w:rPr>
          <m:t>epe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A37160">
        <w:t xml:space="preserve"> – дисконтированное к текущему (нулевому) моменту времени значение </w:t>
      </w:r>
      <m:oMath>
        <m:r>
          <w:rPr>
            <w:rFonts w:ascii="Cambria Math" w:hAnsi="Cambria Math"/>
            <w:lang w:val="en-US"/>
          </w:rPr>
          <m:t>EPE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A37160">
        <w:t>,</w:t>
      </w:r>
    </w:p>
    <w:p w14:paraId="224293AC" w14:textId="77777777" w:rsidR="001B1EAB" w:rsidRPr="00A37160" w:rsidRDefault="001B1EAB" w:rsidP="001B1EAB">
      <w:pPr>
        <w:autoSpaceDE w:val="0"/>
        <w:autoSpaceDN w:val="0"/>
        <w:spacing w:before="120" w:after="120"/>
        <w:ind w:left="-360" w:firstLine="360"/>
        <w:jc w:val="both"/>
      </w:pPr>
      <m:oMath>
        <m:r>
          <w:rPr>
            <w:rFonts w:ascii="Cambria Math" w:hAnsi="Cambria Math"/>
            <w:lang w:val="en-US"/>
          </w:rPr>
          <m:t>ene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A37160">
        <w:t xml:space="preserve"> – дисконтированное к текущему (нулевому) моменту времени значение </w:t>
      </w:r>
      <m:oMath>
        <m:r>
          <w:rPr>
            <w:rFonts w:ascii="Cambria Math" w:hAnsi="Cambria Math"/>
            <w:lang w:val="en-US"/>
          </w:rPr>
          <m:t>ENE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A37160">
        <w:t>.</w:t>
      </w:r>
    </w:p>
    <w:p w14:paraId="6F27E5C1" w14:textId="77777777" w:rsidR="001B1EAB" w:rsidRPr="00A37160" w:rsidRDefault="001B1EAB" w:rsidP="001B1EAB">
      <w:pPr>
        <w:autoSpaceDE w:val="0"/>
        <w:autoSpaceDN w:val="0"/>
        <w:spacing w:before="120" w:after="120"/>
        <w:ind w:left="-360" w:firstLine="360"/>
        <w:jc w:val="both"/>
      </w:pPr>
      <m:oMath>
        <m:r>
          <w:rPr>
            <w:rFonts w:ascii="Cambria Math" w:hAnsi="Cambria Math"/>
            <w:lang w:val="en-US"/>
          </w:rPr>
          <m:t>PFE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A37160">
        <w:rPr>
          <w:i/>
        </w:rPr>
        <w:t xml:space="preserve"> </w:t>
      </w:r>
      <w:r w:rsidR="00FC5195" w:rsidRPr="00A37160">
        <w:rPr>
          <w:i/>
        </w:rPr>
        <w:t>–</w:t>
      </w:r>
      <w:r w:rsidRPr="00A37160">
        <w:rPr>
          <w:i/>
        </w:rPr>
        <w:t xml:space="preserve"> </w:t>
      </w:r>
      <w:r w:rsidR="00E260C2">
        <w:rPr>
          <w:i/>
          <w:lang w:val="en-US"/>
        </w:rPr>
        <w:t>max</w:t>
      </w:r>
      <w:r w:rsidR="00E260C2" w:rsidRPr="00C26FF3">
        <w:rPr>
          <w:i/>
        </w:rPr>
        <w:t>(</w:t>
      </w:r>
      <w:r w:rsidR="00FC5195" w:rsidRPr="00A37160">
        <w:t>95%</w:t>
      </w:r>
      <w:r w:rsidR="00E260C2" w:rsidRPr="00C26FF3">
        <w:t>;0)</w:t>
      </w:r>
      <w:r w:rsidR="00FC5195" w:rsidRPr="00A37160">
        <w:t xml:space="preserve"> квантиль распределения  </w:t>
      </w:r>
      <w:r w:rsidRPr="00A37160">
        <w:t xml:space="preserve"> </w:t>
      </w:r>
      <m:oMath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C61346" w:rsidRPr="00A37160">
        <w:t>, полученный</w:t>
      </w:r>
      <w:r w:rsidR="00957C15" w:rsidRPr="00A37160">
        <w:t xml:space="preserve"> с помощью модел</w:t>
      </w:r>
      <w:r w:rsidR="00C61346" w:rsidRPr="00A37160">
        <w:t xml:space="preserve">ей, </w:t>
      </w:r>
      <w:r w:rsidR="00543658" w:rsidRPr="00FA157E">
        <w:t xml:space="preserve">   </w:t>
      </w:r>
      <w:r w:rsidR="00C61346" w:rsidRPr="00A37160">
        <w:t>описанных</w:t>
      </w:r>
      <w:r w:rsidR="00957C15" w:rsidRPr="00A37160">
        <w:t xml:space="preserve"> в пункте</w:t>
      </w:r>
      <w:r w:rsidR="00C61346" w:rsidRPr="00A37160">
        <w:t xml:space="preserve"> 3</w:t>
      </w:r>
      <w:r w:rsidR="00957C15" w:rsidRPr="00A37160">
        <w:t xml:space="preserve"> </w:t>
      </w:r>
      <w:r w:rsidR="00957C15" w:rsidRPr="008D5876">
        <w:rPr>
          <w:rFonts w:cs="Arial"/>
          <w:kern w:val="32"/>
        </w:rPr>
        <w:fldChar w:fldCharType="begin"/>
      </w:r>
      <w:r w:rsidR="00957C15" w:rsidRPr="008D5876">
        <w:rPr>
          <w:rFonts w:cs="Arial"/>
          <w:kern w:val="32"/>
        </w:rPr>
        <w:instrText xml:space="preserve"> REF _Ref408907341 \h </w:instrText>
      </w:r>
      <w:r w:rsidR="00BF5349">
        <w:rPr>
          <w:rFonts w:cs="Arial"/>
          <w:kern w:val="32"/>
        </w:rPr>
        <w:instrText xml:space="preserve"> \* MERGEFORMAT </w:instrText>
      </w:r>
      <w:r w:rsidR="00957C15" w:rsidRPr="008D5876">
        <w:rPr>
          <w:rFonts w:cs="Arial"/>
          <w:kern w:val="32"/>
        </w:rPr>
      </w:r>
      <w:r w:rsidR="00957C15" w:rsidRPr="008D5876">
        <w:rPr>
          <w:rFonts w:cs="Arial"/>
          <w:kern w:val="32"/>
        </w:rPr>
        <w:fldChar w:fldCharType="separate"/>
      </w:r>
      <w:r w:rsidR="005112C9" w:rsidRPr="00BF5349">
        <w:rPr>
          <w:rFonts w:cs="Arial"/>
          <w:kern w:val="32"/>
        </w:rPr>
        <w:t>Моделирование риск факторов</w:t>
      </w:r>
      <w:r w:rsidR="00957C15" w:rsidRPr="008D5876">
        <w:rPr>
          <w:rFonts w:cs="Arial"/>
          <w:kern w:val="32"/>
        </w:rPr>
        <w:fldChar w:fldCharType="end"/>
      </w:r>
      <w:r w:rsidR="00C61346" w:rsidRPr="008D5876">
        <w:rPr>
          <w:rFonts w:cs="Arial"/>
          <w:kern w:val="32"/>
        </w:rPr>
        <w:t>.</w:t>
      </w:r>
    </w:p>
    <w:p w14:paraId="68A606C3" w14:textId="77777777" w:rsidR="00BC1787" w:rsidRPr="00C40D68" w:rsidRDefault="00BC1787" w:rsidP="001B1EAB">
      <w:pPr>
        <w:autoSpaceDE w:val="0"/>
        <w:autoSpaceDN w:val="0"/>
        <w:spacing w:before="120" w:after="120"/>
        <w:ind w:left="-360" w:firstLine="360"/>
        <w:jc w:val="both"/>
      </w:pPr>
      <w:r w:rsidRPr="00A37160">
        <w:t xml:space="preserve"> </w:t>
      </w:r>
      <m:oMath>
        <m:r>
          <w:rPr>
            <w:rFonts w:ascii="Cambria Math" w:hAnsi="Cambria Math"/>
            <w:lang w:val="en-US"/>
          </w:rPr>
          <m:t>PFE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lang w:val="en-US"/>
                  </w:rPr>
                  <m:t>PFE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e>
            </m:func>
          </m:e>
        </m:func>
      </m:oMath>
    </w:p>
    <w:p w14:paraId="445E452D" w14:textId="77777777" w:rsidR="00FC5195" w:rsidRPr="00A37160" w:rsidRDefault="00FC5195" w:rsidP="001B1EAB">
      <w:pPr>
        <w:autoSpaceDE w:val="0"/>
        <w:autoSpaceDN w:val="0"/>
        <w:spacing w:before="120" w:after="120"/>
        <w:ind w:left="-360" w:firstLine="360"/>
        <w:jc w:val="both"/>
        <w:rPr>
          <w:i/>
        </w:rPr>
      </w:pPr>
    </w:p>
    <w:p w14:paraId="6F909D1F" w14:textId="77777777" w:rsidR="001B1EAB" w:rsidRPr="00A37160" w:rsidRDefault="001B1EAB" w:rsidP="001B1EAB"/>
    <w:p w14:paraId="19E89CEF" w14:textId="77777777"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FA157E">
        <w:rPr>
          <w:b/>
        </w:rPr>
        <w:t>2.2.5 Если предположить независимость события дефолта и поведения стоимости</w:t>
      </w:r>
      <w:r w:rsidRPr="00A37160">
        <w:t xml:space="preserve"> контракта</w:t>
      </w:r>
      <w:r w:rsidRPr="00A37160">
        <w:rPr>
          <w:vertAlign w:val="superscript"/>
        </w:rPr>
        <w:footnoteReference w:id="7"/>
      </w:r>
      <w:r w:rsidRPr="00A37160">
        <w:t>, то за все время, начиная с текущего (нулевого) момента до момента времени T, ожидаемая приведенная стоимость потерь Банка составит: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72"/>
        <w:gridCol w:w="708"/>
      </w:tblGrid>
      <w:tr w:rsidR="001B1EAB" w:rsidRPr="00A37160" w14:paraId="6A9FB65E" w14:textId="77777777" w:rsidTr="00A30756">
        <w:trPr>
          <w:trHeight w:val="170"/>
        </w:trPr>
        <w:tc>
          <w:tcPr>
            <w:tcW w:w="8472" w:type="dxa"/>
            <w:tcBorders>
              <w:bottom w:val="single" w:sz="4" w:space="0" w:color="FFFFFF" w:themeColor="background1"/>
            </w:tcBorders>
          </w:tcPr>
          <w:p w14:paraId="0BD93B3E" w14:textId="77777777" w:rsidR="001B1EAB" w:rsidRPr="00A37160" w:rsidRDefault="001B1EAB" w:rsidP="00A30756">
            <w:pPr>
              <w:ind w:left="3402" w:firstLine="3402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CVA=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</m:d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epe(t)p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708" w:type="dxa"/>
            <w:tcBorders>
              <w:bottom w:val="single" w:sz="4" w:space="0" w:color="FFFFFF" w:themeColor="background1"/>
            </w:tcBorders>
            <w:vAlign w:val="center"/>
          </w:tcPr>
          <w:p w14:paraId="27C278C4" w14:textId="77777777" w:rsidR="001B1EAB" w:rsidRPr="00A37160" w:rsidRDefault="001B1EAB" w:rsidP="00A30756">
            <w:pPr>
              <w:jc w:val="right"/>
              <w:rPr>
                <w:rFonts w:eastAsiaTheme="minorEastAsia"/>
              </w:rPr>
            </w:pPr>
            <w:r w:rsidRPr="00A37160">
              <w:rPr>
                <w:rFonts w:eastAsiaTheme="minorEastAsia"/>
              </w:rPr>
              <w:t>(2)</w:t>
            </w:r>
          </w:p>
        </w:tc>
      </w:tr>
      <w:tr w:rsidR="001B1EAB" w:rsidRPr="00A37160" w14:paraId="008E60A2" w14:textId="77777777" w:rsidTr="00A30756">
        <w:trPr>
          <w:trHeight w:val="170"/>
        </w:trPr>
        <w:tc>
          <w:tcPr>
            <w:tcW w:w="8472" w:type="dxa"/>
            <w:tcBorders>
              <w:bottom w:val="single" w:sz="4" w:space="0" w:color="FFFFFF" w:themeColor="background1"/>
            </w:tcBorders>
          </w:tcPr>
          <w:p w14:paraId="0C2412B6" w14:textId="77777777" w:rsidR="001B1EAB" w:rsidRPr="00A37160" w:rsidRDefault="001B1EAB" w:rsidP="00A30756">
            <w:r w:rsidRPr="00A37160">
              <w:t>А ожидаемая приведенная стоимость потерь контрагента составит:</w:t>
            </w:r>
          </w:p>
        </w:tc>
        <w:tc>
          <w:tcPr>
            <w:tcW w:w="708" w:type="dxa"/>
            <w:tcBorders>
              <w:bottom w:val="single" w:sz="4" w:space="0" w:color="FFFFFF" w:themeColor="background1"/>
            </w:tcBorders>
            <w:vAlign w:val="center"/>
          </w:tcPr>
          <w:p w14:paraId="5EEE8C6F" w14:textId="77777777" w:rsidR="001B1EAB" w:rsidRPr="00A37160" w:rsidRDefault="001B1EAB" w:rsidP="00A30756">
            <w:pPr>
              <w:jc w:val="right"/>
              <w:rPr>
                <w:rFonts w:eastAsiaTheme="minorEastAsia"/>
              </w:rPr>
            </w:pPr>
          </w:p>
        </w:tc>
      </w:tr>
      <w:tr w:rsidR="001B1EAB" w:rsidRPr="00A37160" w14:paraId="252336E0" w14:textId="77777777" w:rsidTr="00A30756">
        <w:trPr>
          <w:trHeight w:val="170"/>
        </w:trPr>
        <w:tc>
          <w:tcPr>
            <w:tcW w:w="84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1DE650" w14:textId="77777777" w:rsidR="001B1EAB" w:rsidRPr="00A37160" w:rsidRDefault="001B1EAB" w:rsidP="00A30756">
            <w:pPr>
              <w:ind w:left="3402" w:firstLine="3402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DVA=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</m:d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ene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198580" w14:textId="77777777" w:rsidR="001B1EAB" w:rsidRPr="00A37160" w:rsidRDefault="001B1EAB" w:rsidP="00A30756">
            <w:pPr>
              <w:jc w:val="right"/>
              <w:rPr>
                <w:rFonts w:eastAsiaTheme="minorEastAsia"/>
              </w:rPr>
            </w:pPr>
            <w:r w:rsidRPr="00A37160">
              <w:rPr>
                <w:rFonts w:eastAsiaTheme="minorEastAsia"/>
              </w:rPr>
              <w:t>(</w:t>
            </w:r>
            <w:r w:rsidRPr="00A37160">
              <w:rPr>
                <w:rFonts w:eastAsiaTheme="minorEastAsia"/>
                <w:lang w:val="en-US"/>
              </w:rPr>
              <w:t>3</w:t>
            </w:r>
            <w:r w:rsidRPr="00A37160">
              <w:rPr>
                <w:rFonts w:eastAsiaTheme="minorEastAsia"/>
              </w:rPr>
              <w:t>)</w:t>
            </w:r>
          </w:p>
        </w:tc>
      </w:tr>
    </w:tbl>
    <w:p w14:paraId="52FCEBC4" w14:textId="77777777" w:rsidR="001B1EAB" w:rsidRPr="00A37160" w:rsidRDefault="001B1EAB" w:rsidP="001B1EAB">
      <w:pPr>
        <w:spacing w:after="120"/>
        <w:ind w:firstLine="1134"/>
        <w:jc w:val="both"/>
        <w:rPr>
          <w:lang w:val="en-US"/>
        </w:rPr>
      </w:pPr>
    </w:p>
    <w:p w14:paraId="4BEDA77A" w14:textId="77777777" w:rsidR="001B1EAB" w:rsidRPr="00A37160" w:rsidRDefault="001B1EAB" w:rsidP="001B1EAB">
      <w:pPr>
        <w:spacing w:after="120"/>
        <w:ind w:firstLine="1134"/>
        <w:jc w:val="both"/>
      </w:pPr>
      <w:r w:rsidRPr="00A37160">
        <w:t>где</w:t>
      </w:r>
    </w:p>
    <w:p w14:paraId="773ED506" w14:textId="77777777" w:rsidR="001B1EAB" w:rsidRPr="00A37160" w:rsidRDefault="001B1EAB" w:rsidP="001B1EAB">
      <w:pPr>
        <w:spacing w:after="120"/>
        <w:ind w:left="1134"/>
        <w:jc w:val="both"/>
      </w:pPr>
      <w:r w:rsidRPr="00A37160">
        <w:rPr>
          <w:i/>
          <w:lang w:val="en-US"/>
        </w:rPr>
        <w:t>p</w:t>
      </w:r>
      <w:r w:rsidRPr="00A37160">
        <w:rPr>
          <w:i/>
        </w:rPr>
        <w:t>(</w:t>
      </w:r>
      <w:r w:rsidRPr="00A37160">
        <w:rPr>
          <w:i/>
          <w:lang w:val="en-US"/>
        </w:rPr>
        <w:t>t</w:t>
      </w:r>
      <w:r w:rsidRPr="00A37160">
        <w:rPr>
          <w:i/>
        </w:rPr>
        <w:t xml:space="preserve">) – </w:t>
      </w:r>
      <w:r w:rsidRPr="00A37160">
        <w:t>функция плотности распределения вероятности дефолта контрагента,</w:t>
      </w:r>
    </w:p>
    <w:p w14:paraId="407F41FD" w14:textId="77777777" w:rsidR="001B1EAB" w:rsidRPr="00A37160" w:rsidRDefault="00DA21A1" w:rsidP="001B1EAB">
      <w:pPr>
        <w:spacing w:after="120"/>
        <w:ind w:left="1134"/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1B1EAB" w:rsidRPr="00A37160" w:rsidDel="00BF4007">
        <w:rPr>
          <w:i/>
        </w:rPr>
        <w:t xml:space="preserve"> </w:t>
      </w:r>
      <w:r w:rsidR="001B1EAB" w:rsidRPr="00A37160">
        <w:rPr>
          <w:i/>
        </w:rPr>
        <w:t>(</w:t>
      </w:r>
      <w:r w:rsidR="001B1EAB" w:rsidRPr="00A37160">
        <w:rPr>
          <w:i/>
          <w:lang w:val="en-US"/>
        </w:rPr>
        <w:t>t</w:t>
      </w:r>
      <w:r w:rsidR="001B1EAB" w:rsidRPr="00A37160">
        <w:rPr>
          <w:i/>
        </w:rPr>
        <w:t xml:space="preserve">) – </w:t>
      </w:r>
      <w:r w:rsidR="001B1EAB" w:rsidRPr="00A37160">
        <w:t>функция плотности распределения  вероятности  дефолта Банка,</w:t>
      </w:r>
    </w:p>
    <w:p w14:paraId="6D1355A8" w14:textId="77777777" w:rsidR="001B1EAB" w:rsidRPr="00A37160" w:rsidRDefault="00DA21A1" w:rsidP="001B1EAB">
      <w:pPr>
        <w:spacing w:after="120"/>
        <w:ind w:left="1134"/>
        <w:jc w:val="both"/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 w:rsidR="001B1EAB" w:rsidRPr="00A37160">
        <w:rPr>
          <w:i/>
        </w:rPr>
        <w:t xml:space="preserve"> – </w:t>
      </w:r>
      <w:r w:rsidR="001B1EAB" w:rsidRPr="00A37160">
        <w:t xml:space="preserve">величина возмещения recovery </w:t>
      </w:r>
      <w:r w:rsidR="001B1EAB" w:rsidRPr="00A37160">
        <w:rPr>
          <w:lang w:val="en-US"/>
        </w:rPr>
        <w:t>rate</w:t>
      </w:r>
      <w:r w:rsidR="001B1EAB" w:rsidRPr="00A37160">
        <w:t xml:space="preserve"> </w:t>
      </w:r>
      <w:r w:rsidR="00384ACD" w:rsidRPr="00A37160">
        <w:t xml:space="preserve">контрагента.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1B1EAB" w:rsidRPr="00A37160">
        <w:t xml:space="preserve"> </w:t>
      </w:r>
      <w:r w:rsidR="001B1EAB" w:rsidRPr="00A37160">
        <w:rPr>
          <w:i/>
        </w:rPr>
        <w:t xml:space="preserve">– </w:t>
      </w:r>
      <w:r w:rsidR="001B1EAB" w:rsidRPr="00A37160">
        <w:t>величина возмещения</w:t>
      </w:r>
      <w:r w:rsidR="001B1EAB" w:rsidRPr="00A37160">
        <w:rPr>
          <w:i/>
        </w:rPr>
        <w:t xml:space="preserve"> </w:t>
      </w:r>
      <w:r w:rsidR="001B1EAB" w:rsidRPr="00A37160">
        <w:rPr>
          <w:lang w:val="en-US"/>
        </w:rPr>
        <w:t>recovery</w:t>
      </w:r>
      <w:r w:rsidR="001B1EAB" w:rsidRPr="00A37160">
        <w:t xml:space="preserve"> </w:t>
      </w:r>
      <w:r w:rsidR="001B1EAB" w:rsidRPr="00A37160">
        <w:rPr>
          <w:lang w:val="en-US"/>
        </w:rPr>
        <w:t>rate</w:t>
      </w:r>
      <w:r w:rsidR="001B1EAB" w:rsidRPr="00A37160">
        <w:t xml:space="preserve"> </w:t>
      </w:r>
      <w:r w:rsidR="00384ACD" w:rsidRPr="00A37160">
        <w:t xml:space="preserve">Банка. </w:t>
      </w:r>
      <w:r w:rsidR="001B1EAB" w:rsidRPr="00A37160">
        <w:rPr>
          <w:rFonts w:ascii="Cambria Math" w:hAnsi="Cambria Math"/>
          <w:i/>
          <w:lang w:val="en-US"/>
        </w:rPr>
        <w:t>T</w:t>
      </w:r>
      <w:r w:rsidR="001B1EAB" w:rsidRPr="00A37160">
        <w:rPr>
          <w:rFonts w:ascii="Cambria Math" w:hAnsi="Cambria Math"/>
          <w:i/>
        </w:rPr>
        <w:t xml:space="preserve"> – </w:t>
      </w:r>
      <w:r w:rsidR="001B1EAB" w:rsidRPr="00A37160">
        <w:t>время окончания контракта (maturity)</w:t>
      </w:r>
      <w:r w:rsidR="001B1EAB" w:rsidRPr="00A37160">
        <w:rPr>
          <w:rStyle w:val="ac"/>
        </w:rPr>
        <w:footnoteReference w:id="8"/>
      </w:r>
      <w:r w:rsidR="001B1EAB" w:rsidRPr="00A37160">
        <w:t>.</w:t>
      </w:r>
    </w:p>
    <w:p w14:paraId="19CA0A91" w14:textId="77777777" w:rsidR="001B1EAB" w:rsidRPr="00A37160" w:rsidRDefault="001B1EAB" w:rsidP="001B1EAB"/>
    <w:p w14:paraId="77040BF4" w14:textId="77777777"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>2.2.6 Для аппроксимации формул (2) и (3) весь промежуток времени (0,T) может быть разбит на интервалы. Формулы  (2) и (3) в этом случае приближаются следующим образом: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72"/>
        <w:gridCol w:w="708"/>
      </w:tblGrid>
      <w:tr w:rsidR="001B1EAB" w:rsidRPr="00A37160" w14:paraId="415938D3" w14:textId="77777777" w:rsidTr="00A30756">
        <w:trPr>
          <w:trHeight w:val="170"/>
        </w:trPr>
        <w:tc>
          <w:tcPr>
            <w:tcW w:w="8472" w:type="dxa"/>
          </w:tcPr>
          <w:p w14:paraId="714B8114" w14:textId="77777777" w:rsidR="001B1EAB" w:rsidRPr="00A37160" w:rsidRDefault="001B1EAB" w:rsidP="00A30756">
            <w:pPr>
              <w:ind w:left="1134" w:firstLine="3402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w:lastRenderedPageBreak/>
                  <m:t>CVA=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sub>
                    </m:sSub>
                  </m:e>
                </m:d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epe(t)p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sub>
                    </m:sSub>
                  </m:e>
                </m:d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epe(t)PD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708" w:type="dxa"/>
            <w:vAlign w:val="center"/>
          </w:tcPr>
          <w:p w14:paraId="78A3DCC4" w14:textId="77777777" w:rsidR="001B1EAB" w:rsidRPr="00A37160" w:rsidRDefault="001B1EAB" w:rsidP="00A30756">
            <w:pPr>
              <w:jc w:val="right"/>
              <w:rPr>
                <w:rFonts w:eastAsiaTheme="minorEastAsia"/>
              </w:rPr>
            </w:pPr>
            <w:r w:rsidRPr="00A37160">
              <w:rPr>
                <w:rFonts w:eastAsiaTheme="minorEastAsia"/>
              </w:rPr>
              <w:t xml:space="preserve"> (2.1)</w:t>
            </w:r>
          </w:p>
        </w:tc>
      </w:tr>
    </w:tbl>
    <w:p w14:paraId="16E5C69B" w14:textId="77777777" w:rsidR="001B1EAB" w:rsidRPr="00A37160" w:rsidRDefault="001B1EAB" w:rsidP="001B1EAB">
      <w:pPr>
        <w:spacing w:after="120"/>
        <w:ind w:firstLine="1134"/>
        <w:jc w:val="both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72"/>
        <w:gridCol w:w="708"/>
      </w:tblGrid>
      <w:tr w:rsidR="001B1EAB" w:rsidRPr="00A37160" w14:paraId="600D634B" w14:textId="77777777" w:rsidTr="00A30756">
        <w:trPr>
          <w:trHeight w:val="170"/>
        </w:trPr>
        <w:tc>
          <w:tcPr>
            <w:tcW w:w="8472" w:type="dxa"/>
          </w:tcPr>
          <w:p w14:paraId="0800D485" w14:textId="77777777" w:rsidR="001B1EAB" w:rsidRPr="00A37160" w:rsidRDefault="001B1EAB" w:rsidP="00A30756">
            <w:pPr>
              <w:ind w:left="1134" w:firstLine="3402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DVA=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sub>
                    </m:sSub>
                  </m:e>
                </m:d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ene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p(t)dt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sub>
                    </m:sSub>
                  </m:e>
                </m:d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ene(t)PD'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708" w:type="dxa"/>
            <w:vAlign w:val="center"/>
          </w:tcPr>
          <w:p w14:paraId="22E5AC3D" w14:textId="77777777" w:rsidR="001B1EAB" w:rsidRPr="00A37160" w:rsidRDefault="001B1EAB" w:rsidP="00A30756">
            <w:pPr>
              <w:jc w:val="right"/>
              <w:rPr>
                <w:rFonts w:eastAsiaTheme="minorEastAsia"/>
              </w:rPr>
            </w:pPr>
            <w:r w:rsidRPr="00A37160">
              <w:rPr>
                <w:rFonts w:eastAsiaTheme="minorEastAsia"/>
              </w:rPr>
              <w:t>(3.1)</w:t>
            </w:r>
          </w:p>
        </w:tc>
      </w:tr>
    </w:tbl>
    <w:p w14:paraId="7CA72ADB" w14:textId="77777777" w:rsidR="001B1EAB" w:rsidRPr="00A37160" w:rsidRDefault="001B1EAB" w:rsidP="001B1EAB">
      <w:pPr>
        <w:spacing w:after="120"/>
        <w:ind w:firstLine="1134"/>
        <w:jc w:val="both"/>
        <w:rPr>
          <w:lang w:val="en-US"/>
        </w:rPr>
      </w:pPr>
    </w:p>
    <w:p w14:paraId="34240201" w14:textId="77777777" w:rsidR="001B1EAB" w:rsidRPr="00A37160" w:rsidRDefault="001B1EAB" w:rsidP="001B1EAB">
      <w:pPr>
        <w:spacing w:after="120"/>
        <w:ind w:firstLine="1134"/>
        <w:jc w:val="both"/>
      </w:pPr>
      <w:r w:rsidRPr="00A37160">
        <w:t>где</w:t>
      </w:r>
    </w:p>
    <w:p w14:paraId="646DB04F" w14:textId="77777777" w:rsidR="001B1EAB" w:rsidRPr="00A37160" w:rsidRDefault="00DA21A1" w:rsidP="001B1EAB">
      <w:pPr>
        <w:spacing w:after="120"/>
        <w:ind w:left="1134"/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1B1EAB" w:rsidRPr="00A37160">
        <w:rPr>
          <w:i/>
        </w:rPr>
        <w:t xml:space="preserve"> – </w:t>
      </w:r>
      <w:r w:rsidR="00C40D68">
        <w:t>момент</w:t>
      </w:r>
      <w:r w:rsidR="001B1EAB" w:rsidRPr="00A37160">
        <w:t xml:space="preserve"> времени, </w:t>
      </w:r>
      <w:r w:rsidR="00C40D68" w:rsidRPr="00A37160">
        <w:t>соответствующ</w:t>
      </w:r>
      <w:r w:rsidR="00C40D68">
        <w:t>ий</w:t>
      </w:r>
      <w:r w:rsidR="00C40D68" w:rsidRPr="00A37160">
        <w:t xml:space="preserve"> </w:t>
      </w:r>
      <w:r w:rsidR="001B1EAB" w:rsidRPr="00A37160">
        <w:rPr>
          <w:i/>
          <w:lang w:val="en-GB"/>
        </w:rPr>
        <w:t>i</w:t>
      </w:r>
      <w:r w:rsidR="001B1EAB" w:rsidRPr="00A37160">
        <w:t xml:space="preserve">-ому интервалу, </w:t>
      </w:r>
    </w:p>
    <w:p w14:paraId="5F11BFA2" w14:textId="77777777" w:rsidR="001B1EAB" w:rsidRPr="00A37160" w:rsidRDefault="001B1EAB" w:rsidP="001B1EAB">
      <w:pPr>
        <w:spacing w:after="120"/>
        <w:ind w:left="1134"/>
        <w:jc w:val="both"/>
      </w:pPr>
      <m:oMath>
        <m:r>
          <w:rPr>
            <w:rFonts w:ascii="Cambria Math" w:hAnsi="Cambria Math"/>
            <w:lang w:val="en-US"/>
          </w:rPr>
          <m:t>PD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Pr="00A37160">
        <w:rPr>
          <w:i/>
        </w:rPr>
        <w:t xml:space="preserve"> – </w:t>
      </w:r>
      <w:r w:rsidRPr="00A37160">
        <w:t xml:space="preserve">вероятность дефолта контрагента в </w:t>
      </w:r>
      <w:r w:rsidRPr="00A37160">
        <w:rPr>
          <w:i/>
          <w:lang w:val="en-GB"/>
        </w:rPr>
        <w:t>i</w:t>
      </w:r>
      <w:r w:rsidRPr="00A37160">
        <w:t>-ом интервале,</w:t>
      </w:r>
    </w:p>
    <w:p w14:paraId="46F18A22" w14:textId="77777777" w:rsidR="001B1EAB" w:rsidRPr="00A37160" w:rsidRDefault="001B1EAB" w:rsidP="001B1EAB">
      <w:pPr>
        <w:spacing w:after="120"/>
        <w:ind w:left="1134"/>
        <w:jc w:val="both"/>
      </w:pPr>
      <m:oMath>
        <m:r>
          <w:rPr>
            <w:rFonts w:ascii="Cambria Math" w:hAnsi="Cambria Math"/>
            <w:lang w:val="en-US"/>
          </w:rPr>
          <m:t>PD</m:t>
        </m:r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Pr="00A37160">
        <w:rPr>
          <w:i/>
        </w:rPr>
        <w:t xml:space="preserve"> – </w:t>
      </w:r>
      <w:r w:rsidRPr="00A37160">
        <w:t xml:space="preserve">вероятность дефолта Банка в </w:t>
      </w:r>
      <w:r w:rsidRPr="00A37160">
        <w:rPr>
          <w:i/>
          <w:lang w:val="en-GB"/>
        </w:rPr>
        <w:t>i</w:t>
      </w:r>
      <w:r w:rsidRPr="00A37160">
        <w:t>-ом интервале,</w:t>
      </w:r>
    </w:p>
    <w:p w14:paraId="3B4D23DA" w14:textId="77777777" w:rsidR="001B1EAB" w:rsidRPr="00A37160" w:rsidRDefault="00DA21A1" w:rsidP="001B1EAB">
      <w:pPr>
        <w:spacing w:after="120"/>
        <w:ind w:left="1134"/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</m:oMath>
      <w:r w:rsidR="001B1EAB" w:rsidRPr="00A37160">
        <w:rPr>
          <w:i/>
          <w:sz w:val="20"/>
          <w:szCs w:val="20"/>
        </w:rPr>
        <w:t xml:space="preserve"> – </w:t>
      </w:r>
      <w:r w:rsidR="001B1EAB" w:rsidRPr="00A37160">
        <w:t>величина шага симуляции.  Определяется блоком Риски.</w:t>
      </w:r>
    </w:p>
    <w:p w14:paraId="19653272" w14:textId="77777777" w:rsidR="001B1EAB" w:rsidRPr="00A37160" w:rsidRDefault="001B1EAB" w:rsidP="001B1EAB">
      <w:pPr>
        <w:autoSpaceDE w:val="0"/>
        <w:autoSpaceDN w:val="0"/>
        <w:spacing w:after="240"/>
        <w:ind w:firstLine="425"/>
        <w:jc w:val="both"/>
        <w:rPr>
          <w:b/>
        </w:rPr>
      </w:pPr>
      <w:r w:rsidRPr="00A37160">
        <w:t xml:space="preserve">Функции  </w:t>
      </w:r>
      <m:oMath>
        <m:r>
          <w:rPr>
            <w:rFonts w:ascii="Cambria Math" w:hAnsi="Cambria Math"/>
            <w:lang w:val="en-US"/>
          </w:rPr>
          <m:t>EPE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A37160">
        <w:t xml:space="preserve"> и </w:t>
      </w:r>
      <m:oMath>
        <m:r>
          <w:rPr>
            <w:rFonts w:ascii="Cambria Math" w:hAnsi="Cambria Math"/>
            <w:lang w:val="en-US"/>
          </w:rPr>
          <m:t>ENE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A37160">
        <w:t xml:space="preserve"> – нелинейные функции от </w:t>
      </w:r>
      <w:r w:rsidRPr="00A37160">
        <w:rPr>
          <w:lang w:val="en-US"/>
        </w:rPr>
        <w:t>V</w:t>
      </w:r>
      <w:r w:rsidRPr="00A37160">
        <w:t>(</w:t>
      </w:r>
      <w:r w:rsidRPr="00A37160">
        <w:rPr>
          <w:lang w:val="en-US"/>
        </w:rPr>
        <w:t>t</w:t>
      </w:r>
      <w:r w:rsidRPr="00A37160">
        <w:t>), которые зависят от волатильности базового актива.</w:t>
      </w:r>
    </w:p>
    <w:p w14:paraId="5A4D077E" w14:textId="77777777" w:rsidR="001B1EAB" w:rsidRPr="00A37160" w:rsidRDefault="001B1EAB" w:rsidP="001B1EAB">
      <w:pPr>
        <w:pStyle w:val="a7"/>
        <w:rPr>
          <w:lang w:eastAsia="en-US"/>
        </w:rPr>
      </w:pPr>
    </w:p>
    <w:p w14:paraId="582562EF" w14:textId="77777777" w:rsidR="001B1EAB" w:rsidRPr="00A37160" w:rsidRDefault="001B1EAB" w:rsidP="001B1EAB">
      <w:pPr>
        <w:autoSpaceDE w:val="0"/>
        <w:autoSpaceDN w:val="0"/>
        <w:ind w:left="425"/>
        <w:jc w:val="both"/>
        <w:rPr>
          <w:sz w:val="8"/>
        </w:rPr>
      </w:pPr>
    </w:p>
    <w:p w14:paraId="2D5155D3" w14:textId="77777777" w:rsidR="001B1EAB" w:rsidRPr="00A37160" w:rsidRDefault="001B1EAB" w:rsidP="001B1EAB">
      <w:pPr>
        <w:pStyle w:val="2"/>
        <w:keepLines w:val="0"/>
        <w:numPr>
          <w:ilvl w:val="1"/>
          <w:numId w:val="1"/>
        </w:numPr>
        <w:tabs>
          <w:tab w:val="num" w:pos="567"/>
        </w:tabs>
        <w:spacing w:before="240" w:after="240"/>
        <w:ind w:left="567" w:hanging="431"/>
        <w:jc w:val="both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  <w:bookmarkStart w:id="14" w:name="_Toc313983812"/>
      <w:bookmarkStart w:id="15" w:name="_Toc470105865"/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>Определение вероятности дефолта</w:t>
      </w:r>
      <w:bookmarkEnd w:id="14"/>
      <w:bookmarkEnd w:id="15"/>
    </w:p>
    <w:p w14:paraId="245641D1" w14:textId="77777777"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>2.3.1 В рамках настоящего подхода применяется «сокращенная»</w:t>
      </w:r>
      <w:r w:rsidRPr="00A37160">
        <w:rPr>
          <w:vertAlign w:val="superscript"/>
        </w:rPr>
        <w:footnoteReference w:id="9"/>
      </w:r>
      <w:r w:rsidRPr="00A37160">
        <w:t xml:space="preserve"> модель кредитного риска, основанная на использовании рыночной информации по CDS спредам и следующих предположениях/допущениях:</w:t>
      </w:r>
    </w:p>
    <w:p w14:paraId="1C27B151" w14:textId="77777777" w:rsidR="001B1EAB" w:rsidRPr="00A37160" w:rsidRDefault="001B1EAB" w:rsidP="001B1EAB">
      <w:pPr>
        <w:pStyle w:val="HeadingNumber4"/>
        <w:numPr>
          <w:ilvl w:val="3"/>
          <w:numId w:val="1"/>
        </w:numPr>
        <w:tabs>
          <w:tab w:val="clear" w:pos="907"/>
          <w:tab w:val="left" w:pos="1560"/>
        </w:tabs>
        <w:spacing w:before="120" w:after="120"/>
        <w:ind w:left="0" w:firstLine="0"/>
        <w:jc w:val="both"/>
        <w:outlineLvl w:val="9"/>
        <w:rPr>
          <w:rFonts w:ascii="Times New Roman" w:hAnsi="Times New Roman" w:cs="Times New Roman"/>
          <w:sz w:val="24"/>
          <w:szCs w:val="24"/>
          <w:lang w:val="ru-RU"/>
        </w:rPr>
      </w:pPr>
      <w:r w:rsidRPr="00A37160">
        <w:rPr>
          <w:rFonts w:ascii="Times New Roman" w:hAnsi="Times New Roman" w:cs="Times New Roman"/>
          <w:sz w:val="24"/>
          <w:szCs w:val="24"/>
          <w:lang w:val="ru-RU"/>
        </w:rPr>
        <w:t>Дефолты по CDS контракту обнаруживаются только в моменты выплат по контракту. Т.е. даже если дефолт произошел между датами выплат, то расчет по CDS произойдет в момент, соответствующий следующей дате платежа;</w:t>
      </w:r>
    </w:p>
    <w:p w14:paraId="39CA215B" w14:textId="77777777" w:rsidR="001B1EAB" w:rsidRPr="00A37160" w:rsidRDefault="001B1EAB" w:rsidP="001B1EAB">
      <w:pPr>
        <w:pStyle w:val="HeadingNumber4"/>
        <w:numPr>
          <w:ilvl w:val="3"/>
          <w:numId w:val="1"/>
        </w:numPr>
        <w:tabs>
          <w:tab w:val="clear" w:pos="907"/>
          <w:tab w:val="left" w:pos="1560"/>
        </w:tabs>
        <w:spacing w:before="120" w:after="120"/>
        <w:ind w:left="0" w:firstLine="0"/>
        <w:jc w:val="both"/>
        <w:outlineLvl w:val="9"/>
        <w:rPr>
          <w:rFonts w:ascii="Times New Roman" w:hAnsi="Times New Roman" w:cs="Times New Roman"/>
          <w:sz w:val="24"/>
          <w:szCs w:val="24"/>
          <w:lang w:val="ru-RU"/>
        </w:rPr>
      </w:pPr>
      <w:r w:rsidRPr="00A37160">
        <w:rPr>
          <w:rFonts w:ascii="Times New Roman" w:hAnsi="Times New Roman" w:cs="Times New Roman"/>
          <w:sz w:val="24"/>
          <w:szCs w:val="24"/>
          <w:lang w:val="ru-RU"/>
        </w:rPr>
        <w:t xml:space="preserve">Дефолт описывается процессом с интенсивностью дефолта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t</m:t>
            </m:r>
          </m:sub>
        </m:sSub>
      </m:oMath>
      <w:r w:rsidRPr="00A37160">
        <w:rPr>
          <w:rFonts w:ascii="Times New Roman" w:hAnsi="Times New Roman" w:cs="Times New Roman"/>
          <w:sz w:val="24"/>
          <w:szCs w:val="24"/>
          <w:lang w:val="ru-RU"/>
        </w:rPr>
        <w:t xml:space="preserve"> Т.е. вероятность дефолта за время t рассчитываем как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PD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=1-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t</m:t>
            </m:r>
          </m:sup>
        </m:sSup>
      </m:oMath>
      <w:r w:rsidRPr="00A3716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A6E6AFD" w14:textId="77777777"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 xml:space="preserve">2.3.2 Параметры модели для вероятности дефолта калибруются таким образом, чтобы при применении для оценки рыночных </w:t>
      </w:r>
      <w:r w:rsidRPr="00A37160">
        <w:rPr>
          <w:lang w:val="en-US"/>
        </w:rPr>
        <w:t>CDS</w:t>
      </w:r>
      <w:r w:rsidRPr="00A37160">
        <w:t xml:space="preserve"> контрактов, модель воспроизводила рыночные цены. В рамках данной модели, для процесса калибровки используются значения спредов s, описан</w:t>
      </w:r>
      <w:r w:rsidR="00F23371">
        <w:t>ные в Части 2</w:t>
      </w:r>
      <w:r w:rsidR="00DB5088">
        <w:t xml:space="preserve"> настоящего Сборника</w:t>
      </w:r>
      <w:r w:rsidRPr="00A37160">
        <w:t>.</w:t>
      </w:r>
    </w:p>
    <w:p w14:paraId="190B37F7" w14:textId="77777777"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 xml:space="preserve">2.3.3 Если выплаты по CDS происходят регулярно с периодичностью </w:t>
      </w:r>
      <m:oMath>
        <m:r>
          <w:rPr>
            <w:rFonts w:ascii="Cambria Math" w:hAnsi="Cambria Math"/>
            <w:lang w:val="en-US"/>
          </w:rPr>
          <m:t>τ</m:t>
        </m:r>
      </m:oMath>
      <w:r w:rsidRPr="00A37160">
        <w:t xml:space="preserve">, то условная вероятность дефолта за период </w:t>
      </w:r>
      <m:oMath>
        <m:r>
          <w:rPr>
            <w:rFonts w:ascii="Cambria Math" w:hAnsi="Cambria Math"/>
            <w:lang w:val="en-US"/>
          </w:rPr>
          <m:t>τ</m:t>
        </m:r>
      </m:oMath>
      <w:r w:rsidRPr="00A37160">
        <w:t xml:space="preserve"> (т.е. при условии, что не было дефолта до момента начала периода) определяется как</w:t>
      </w:r>
    </w:p>
    <w:tbl>
      <w:tblPr>
        <w:tblW w:w="8486" w:type="dxa"/>
        <w:tblInd w:w="392" w:type="dxa"/>
        <w:tblLook w:val="04A0" w:firstRow="1" w:lastRow="0" w:firstColumn="1" w:lastColumn="0" w:noHBand="0" w:noVBand="1"/>
      </w:tblPr>
      <w:tblGrid>
        <w:gridCol w:w="5466"/>
        <w:gridCol w:w="3020"/>
      </w:tblGrid>
      <w:tr w:rsidR="001B1EAB" w:rsidRPr="00A37160" w14:paraId="6FFDB48D" w14:textId="77777777" w:rsidTr="00A30756">
        <w:trPr>
          <w:trHeight w:val="1172"/>
        </w:trPr>
        <w:tc>
          <w:tcPr>
            <w:tcW w:w="5466" w:type="dxa"/>
          </w:tcPr>
          <w:p w14:paraId="5E6EC037" w14:textId="77777777" w:rsidR="001B1EAB" w:rsidRPr="00A37160" w:rsidRDefault="00027D44" w:rsidP="00D05DD2">
            <w:pPr>
              <w:tabs>
                <w:tab w:val="left" w:pos="977"/>
              </w:tabs>
            </w:pPr>
            <w:r>
              <w:tab/>
            </w:r>
          </w:p>
          <w:p w14:paraId="59D0F4BE" w14:textId="77777777" w:rsidR="001B1EAB" w:rsidRPr="00A37160" w:rsidRDefault="001B1EAB" w:rsidP="00A307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sτ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020" w:type="dxa"/>
          </w:tcPr>
          <w:p w14:paraId="4049F30B" w14:textId="77777777" w:rsidR="001B1EAB" w:rsidRPr="00A37160" w:rsidRDefault="001B1EAB" w:rsidP="00A30756">
            <w:pPr>
              <w:jc w:val="right"/>
              <w:rPr>
                <w:rFonts w:eastAsiaTheme="minorEastAsia"/>
              </w:rPr>
            </w:pPr>
            <w:r w:rsidRPr="00A37160">
              <w:rPr>
                <w:rFonts w:eastAsiaTheme="minorEastAsia"/>
              </w:rPr>
              <w:t>(4)</w:t>
            </w:r>
          </w:p>
        </w:tc>
      </w:tr>
    </w:tbl>
    <w:p w14:paraId="730470F7" w14:textId="77777777" w:rsidR="001B1EAB" w:rsidRPr="00A37160" w:rsidRDefault="001B1EAB" w:rsidP="001B1EAB">
      <w:pPr>
        <w:rPr>
          <w:lang w:val="en-US"/>
        </w:rPr>
      </w:pPr>
    </w:p>
    <w:p w14:paraId="0C6EBBBB" w14:textId="77777777" w:rsidR="001B1EAB" w:rsidRPr="00A37160" w:rsidRDefault="001B1EAB" w:rsidP="001B1EAB">
      <w:pPr>
        <w:spacing w:before="120" w:after="120"/>
        <w:jc w:val="both"/>
      </w:pPr>
      <w:r w:rsidRPr="00A37160">
        <w:t>где</w:t>
      </w:r>
    </w:p>
    <w:p w14:paraId="0F249C20" w14:textId="77777777" w:rsidR="001B1EAB" w:rsidRPr="00A37160" w:rsidRDefault="001B1EAB" w:rsidP="001B1EAB">
      <w:pPr>
        <w:spacing w:before="120" w:after="120"/>
        <w:jc w:val="both"/>
        <w:rPr>
          <w:i/>
        </w:rPr>
      </w:pPr>
      <m:oMath>
        <m:r>
          <w:rPr>
            <w:rFonts w:ascii="Cambria Math" w:hAnsi="Cambria Math"/>
          </w:rPr>
          <w:lastRenderedPageBreak/>
          <m:t>PD</m:t>
        </m:r>
      </m:oMath>
      <w:r w:rsidRPr="00A37160">
        <w:rPr>
          <w:i/>
        </w:rPr>
        <w:t>(</w:t>
      </w:r>
      <w:r w:rsidRPr="00A37160">
        <w:rPr>
          <w:rFonts w:ascii="Symbol" w:hAnsi="Symbol"/>
          <w:lang w:val="en-US"/>
        </w:rPr>
        <w:t></w:t>
      </w:r>
      <w:r w:rsidRPr="00A37160">
        <w:rPr>
          <w:i/>
        </w:rPr>
        <w:t xml:space="preserve">) – </w:t>
      </w:r>
      <w:r w:rsidRPr="00A37160">
        <w:t>вероятность дефолта за период</w:t>
      </w:r>
      <w:r w:rsidRPr="00A37160">
        <w:rPr>
          <w:rFonts w:ascii="Symbol" w:hAnsi="Symbol"/>
          <w:lang w:val="en-US"/>
        </w:rPr>
        <w:t></w:t>
      </w:r>
      <w:r w:rsidRPr="00A37160">
        <w:rPr>
          <w:rFonts w:ascii="Symbol" w:hAnsi="Symbol"/>
          <w:lang w:val="en-US"/>
        </w:rPr>
        <w:t></w:t>
      </w:r>
      <w:r w:rsidRPr="00A37160">
        <w:rPr>
          <w:rFonts w:ascii="Symbol" w:hAnsi="Symbol"/>
        </w:rPr>
        <w:t></w:t>
      </w:r>
      <w:r w:rsidRPr="00A37160">
        <w:t>при условии отсутствия дефолта до момента начала периода,</w:t>
      </w:r>
    </w:p>
    <w:p w14:paraId="0A862B08" w14:textId="77777777" w:rsidR="001B1EAB" w:rsidRPr="00A37160" w:rsidRDefault="001B1EAB" w:rsidP="001B1EAB">
      <w:pPr>
        <w:spacing w:before="120" w:after="120"/>
        <w:jc w:val="both"/>
        <w:rPr>
          <w:i/>
        </w:rPr>
      </w:pPr>
      <m:oMath>
        <m:r>
          <w:rPr>
            <w:rFonts w:ascii="Cambria Math" w:hAnsi="Cambria Math"/>
            <w:lang w:val="en-US"/>
          </w:rPr>
          <m:t>τ</m:t>
        </m:r>
      </m:oMath>
      <w:r w:rsidRPr="00A37160">
        <w:rPr>
          <w:i/>
        </w:rPr>
        <w:t xml:space="preserve"> – </w:t>
      </w:r>
      <w:r w:rsidRPr="00A37160">
        <w:t xml:space="preserve">период между выплатами по (предполагаемому) </w:t>
      </w:r>
      <w:r w:rsidRPr="00A37160">
        <w:rPr>
          <w:lang w:val="en-US"/>
        </w:rPr>
        <w:t>CDS</w:t>
      </w:r>
      <w:r w:rsidRPr="00A37160">
        <w:t>,</w:t>
      </w:r>
    </w:p>
    <w:p w14:paraId="582D763F" w14:textId="77777777" w:rsidR="001B1EAB" w:rsidRPr="00A37160" w:rsidRDefault="001B1EAB" w:rsidP="001B1EAB">
      <w:pPr>
        <w:spacing w:before="120" w:after="120"/>
        <w:jc w:val="both"/>
        <w:rPr>
          <w:i/>
        </w:rPr>
      </w:pPr>
      <m:oMath>
        <m:r>
          <w:rPr>
            <w:rFonts w:ascii="Cambria Math" w:hAnsi="Cambria Math"/>
            <w:lang w:val="en-US"/>
          </w:rPr>
          <m:t>s</m:t>
        </m:r>
      </m:oMath>
      <w:r w:rsidRPr="00A37160">
        <w:rPr>
          <w:i/>
        </w:rPr>
        <w:t xml:space="preserve"> – </w:t>
      </w:r>
      <w:r w:rsidRPr="00A37160">
        <w:rPr>
          <w:lang w:val="en-US"/>
        </w:rPr>
        <w:t>CDS</w:t>
      </w:r>
      <w:r w:rsidRPr="00A37160">
        <w:t xml:space="preserve"> спред</w:t>
      </w:r>
      <w:r w:rsidRPr="00A37160">
        <w:rPr>
          <w:rStyle w:val="ac"/>
        </w:rPr>
        <w:footnoteReference w:id="10"/>
      </w:r>
      <w:r w:rsidRPr="00A37160">
        <w:t>,</w:t>
      </w:r>
    </w:p>
    <w:p w14:paraId="631E2C65" w14:textId="77777777" w:rsidR="001B1EAB" w:rsidRPr="00A37160" w:rsidRDefault="00DA21A1" w:rsidP="001B1EAB">
      <w:pPr>
        <w:spacing w:before="120" w:after="120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1B1EAB" w:rsidRPr="00A37160">
        <w:rPr>
          <w:i/>
        </w:rPr>
        <w:t xml:space="preserve"> – </w:t>
      </w:r>
      <w:r w:rsidR="001B1EAB" w:rsidRPr="00A37160">
        <w:rPr>
          <w:lang w:val="en-US"/>
        </w:rPr>
        <w:t>recovery</w:t>
      </w:r>
      <w:r w:rsidR="001B1EAB" w:rsidRPr="00A37160">
        <w:t xml:space="preserve"> </w:t>
      </w:r>
      <w:r w:rsidR="001B1EAB" w:rsidRPr="00A37160">
        <w:rPr>
          <w:lang w:val="en-US"/>
        </w:rPr>
        <w:t>rate</w:t>
      </w:r>
      <w:r w:rsidR="001B1EAB" w:rsidRPr="00A37160">
        <w:t xml:space="preserve"> для </w:t>
      </w:r>
      <w:r w:rsidR="001B1EAB" w:rsidRPr="00A37160">
        <w:rPr>
          <w:lang w:val="en-US"/>
        </w:rPr>
        <w:t>CDS</w:t>
      </w:r>
      <w:r w:rsidR="001B1EAB" w:rsidRPr="00A37160">
        <w:t xml:space="preserve">, определяемая как процент от номинала по </w:t>
      </w:r>
      <w:r w:rsidR="001B1EAB" w:rsidRPr="00A37160">
        <w:rPr>
          <w:lang w:val="en-US"/>
        </w:rPr>
        <w:t>CDS</w:t>
      </w:r>
      <w:r w:rsidR="001B1EAB" w:rsidRPr="00A37160">
        <w:t>.</w:t>
      </w:r>
      <w:r w:rsidR="00DB76A5">
        <w:t xml:space="preserve">При этом </w:t>
      </w:r>
      <w:r w:rsidR="00DB76A5">
        <w:rPr>
          <w:lang w:val="en-US"/>
        </w:rPr>
        <w:t>LGD</w:t>
      </w:r>
      <m:oMath>
        <m:r>
          <w:rPr>
            <w:rFonts w:ascii="Cambria Math" w:hAnsi="Cambria Math"/>
          </w:rPr>
          <m:t xml:space="preserve"> </m:t>
        </m:r>
      </m:oMath>
      <w:r w:rsidR="00DB76A5" w:rsidRPr="00D05DD2">
        <w:t xml:space="preserve"> = 1-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DB76A5" w:rsidRPr="00D05DD2">
        <w:t>.</w:t>
      </w:r>
      <w:r w:rsidR="0021080A">
        <w:t xml:space="preserve"> В качестве  </w:t>
      </w:r>
      <w:r w:rsidR="00DB76A5" w:rsidRPr="00D05DD2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21080A" w:rsidRPr="00D05DD2">
        <w:t xml:space="preserve"> </w:t>
      </w:r>
      <w:r w:rsidR="0021080A">
        <w:t xml:space="preserve">применяется значение, которое используется как рыночная конвенция при оценке торгуемых </w:t>
      </w:r>
      <w:r w:rsidR="0021080A">
        <w:rPr>
          <w:lang w:val="en-US"/>
        </w:rPr>
        <w:t>CDS</w:t>
      </w:r>
      <w:r w:rsidR="0021080A" w:rsidRPr="00D05DD2">
        <w:t>.</w:t>
      </w:r>
      <w:r w:rsidR="00B9360A" w:rsidDel="00B9360A">
        <w:t xml:space="preserve"> </w:t>
      </w:r>
    </w:p>
    <w:p w14:paraId="179A12E8" w14:textId="77777777" w:rsidR="001B1EAB" w:rsidRPr="00A37160" w:rsidRDefault="001B1EAB" w:rsidP="00D05DD2">
      <w:pPr>
        <w:spacing w:before="120" w:after="120"/>
        <w:jc w:val="both"/>
      </w:pPr>
      <w:r w:rsidRPr="00A37160">
        <w:t xml:space="preserve">2.3.4 В соответствие с выбранной моделью, безусловная вероятность дефолта за период, начиная с текущего момента до момента времени </w:t>
      </w:r>
      <w:r w:rsidRPr="00A37160">
        <w:rPr>
          <w:i/>
        </w:rPr>
        <w:t>t</w:t>
      </w:r>
      <w:r w:rsidRPr="00A37160">
        <w:t xml:space="preserve">, смоделированная с помощью процесса с интенсивностью дефолта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Pr="00A37160">
        <w:t>, определяется как:</w:t>
      </w:r>
    </w:p>
    <w:tbl>
      <w:tblPr>
        <w:tblW w:w="8120" w:type="dxa"/>
        <w:tblInd w:w="1384" w:type="dxa"/>
        <w:tblLook w:val="04A0" w:firstRow="1" w:lastRow="0" w:firstColumn="1" w:lastColumn="0" w:noHBand="0" w:noVBand="1"/>
      </w:tblPr>
      <w:tblGrid>
        <w:gridCol w:w="5265"/>
        <w:gridCol w:w="2855"/>
      </w:tblGrid>
      <w:tr w:rsidR="001B1EAB" w:rsidRPr="00A37160" w14:paraId="575F9DA1" w14:textId="77777777" w:rsidTr="00A30756">
        <w:trPr>
          <w:trHeight w:val="388"/>
        </w:trPr>
        <w:tc>
          <w:tcPr>
            <w:tcW w:w="5265" w:type="dxa"/>
          </w:tcPr>
          <w:p w14:paraId="0CD41D8F" w14:textId="77777777" w:rsidR="001B1EAB" w:rsidRPr="00A37160" w:rsidRDefault="001B1EAB" w:rsidP="00A30756">
            <w:pPr>
              <w:ind w:firstLine="3686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≡PD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855" w:type="dxa"/>
          </w:tcPr>
          <w:p w14:paraId="407EB12B" w14:textId="77777777" w:rsidR="001B1EAB" w:rsidRPr="00A37160" w:rsidRDefault="001B1EAB" w:rsidP="00A30756">
            <w:pPr>
              <w:jc w:val="right"/>
              <w:rPr>
                <w:rFonts w:eastAsiaTheme="minorEastAsia"/>
              </w:rPr>
            </w:pPr>
            <w:r w:rsidRPr="00A37160">
              <w:rPr>
                <w:rFonts w:eastAsiaTheme="minorEastAsia"/>
              </w:rPr>
              <w:t>(5)</w:t>
            </w:r>
          </w:p>
        </w:tc>
      </w:tr>
    </w:tbl>
    <w:p w14:paraId="0A2F0F9F" w14:textId="77777777"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 xml:space="preserve">2.3.5 Аналогично, безусловная вероятность дефолта на интервале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GB"/>
              </w:rPr>
              <m:t>t</m:t>
            </m:r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</m:d>
      </m:oMath>
      <w:r w:rsidRPr="00A37160">
        <w:t>, определяется как:</w:t>
      </w:r>
    </w:p>
    <w:tbl>
      <w:tblPr>
        <w:tblW w:w="8120" w:type="dxa"/>
        <w:tblInd w:w="1384" w:type="dxa"/>
        <w:tblLook w:val="04A0" w:firstRow="1" w:lastRow="0" w:firstColumn="1" w:lastColumn="0" w:noHBand="0" w:noVBand="1"/>
      </w:tblPr>
      <w:tblGrid>
        <w:gridCol w:w="7088"/>
        <w:gridCol w:w="1032"/>
      </w:tblGrid>
      <w:tr w:rsidR="001B1EAB" w:rsidRPr="00A37160" w14:paraId="0ED14D7F" w14:textId="77777777" w:rsidTr="00A30756">
        <w:trPr>
          <w:trHeight w:val="388"/>
        </w:trPr>
        <w:tc>
          <w:tcPr>
            <w:tcW w:w="7088" w:type="dxa"/>
          </w:tcPr>
          <w:p w14:paraId="4A76E9FA" w14:textId="77777777" w:rsidR="001B1EAB" w:rsidRPr="00A37160" w:rsidRDefault="001B1EAB" w:rsidP="00A30756">
            <w:pPr>
              <w:ind w:firstLine="3686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 t+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PD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032" w:type="dxa"/>
          </w:tcPr>
          <w:p w14:paraId="4EFB03E5" w14:textId="77777777" w:rsidR="001B1EAB" w:rsidRPr="00A37160" w:rsidRDefault="001B1EAB" w:rsidP="00A30756">
            <w:pPr>
              <w:jc w:val="right"/>
              <w:rPr>
                <w:rFonts w:eastAsiaTheme="minorEastAsia"/>
              </w:rPr>
            </w:pPr>
            <w:r w:rsidRPr="00A37160">
              <w:rPr>
                <w:rFonts w:eastAsiaTheme="minorEastAsia"/>
              </w:rPr>
              <w:t>(5.1)</w:t>
            </w:r>
          </w:p>
        </w:tc>
      </w:tr>
    </w:tbl>
    <w:p w14:paraId="0E96CACB" w14:textId="77777777" w:rsidR="001B1EAB" w:rsidRPr="00A37160" w:rsidRDefault="001B1EAB" w:rsidP="001B1EAB">
      <w:pPr>
        <w:autoSpaceDE w:val="0"/>
        <w:autoSpaceDN w:val="0"/>
        <w:spacing w:after="240"/>
        <w:jc w:val="both"/>
      </w:pPr>
      <w:r w:rsidRPr="00A3716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BB5BE8" wp14:editId="5EC1C71E">
                <wp:simplePos x="0" y="0"/>
                <wp:positionH relativeFrom="column">
                  <wp:posOffset>1348740</wp:posOffset>
                </wp:positionH>
                <wp:positionV relativeFrom="paragraph">
                  <wp:posOffset>134620</wp:posOffset>
                </wp:positionV>
                <wp:extent cx="2981325" cy="857250"/>
                <wp:effectExtent l="0" t="0" r="104775" b="0"/>
                <wp:wrapTopAndBottom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325" cy="857250"/>
                          <a:chOff x="0" y="0"/>
                          <a:chExt cx="2981325" cy="857250"/>
                        </a:xfrm>
                      </wpg:grpSpPr>
                      <wpg:grpSp>
                        <wpg:cNvPr id="13" name="Группа 13"/>
                        <wpg:cNvGrpSpPr/>
                        <wpg:grpSpPr>
                          <a:xfrm>
                            <a:off x="66675" y="0"/>
                            <a:ext cx="1743074" cy="857250"/>
                            <a:chOff x="66675" y="0"/>
                            <a:chExt cx="1743074" cy="857250"/>
                          </a:xfrm>
                        </wpg:grpSpPr>
                        <wps:wsp>
                          <wps:cNvPr id="12" name="Поле 12"/>
                          <wps:cNvSpPr txBox="1"/>
                          <wps:spPr>
                            <a:xfrm>
                              <a:off x="600074" y="0"/>
                              <a:ext cx="1209675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A1973B" w14:textId="77777777" w:rsidR="00F23371" w:rsidRDefault="00F23371" w:rsidP="001B1EAB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PD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оле 10"/>
                          <wps:cNvSpPr txBox="1"/>
                          <wps:spPr>
                            <a:xfrm>
                              <a:off x="1047750" y="581025"/>
                              <a:ext cx="676274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0CD3F9" w14:textId="77777777" w:rsidR="00F23371" w:rsidRPr="00524702" w:rsidRDefault="00F23371" w:rsidP="001B1EAB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9"/>
                          <wps:cNvSpPr txBox="1"/>
                          <wps:spPr>
                            <a:xfrm>
                              <a:off x="628650" y="581025"/>
                              <a:ext cx="4191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44A8E5" w14:textId="77777777" w:rsidR="00F23371" w:rsidRPr="00E53988" w:rsidRDefault="00F23371" w:rsidP="001B1EAB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е 8"/>
                          <wps:cNvSpPr txBox="1"/>
                          <wps:spPr>
                            <a:xfrm>
                              <a:off x="66675" y="571500"/>
                              <a:ext cx="21907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71A361" w14:textId="77777777" w:rsidR="00F23371" w:rsidRPr="00524702" w:rsidRDefault="00F23371" w:rsidP="001B1EAB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524702">
                                  <w:rPr>
                                    <w:i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ая соединительная линия 2"/>
                          <wps:cNvCnPr/>
                          <wps:spPr>
                            <a:xfrm>
                              <a:off x="257175" y="514350"/>
                              <a:ext cx="0" cy="152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>
                              <a:off x="914400" y="523875"/>
                              <a:ext cx="0" cy="152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>
                              <a:off x="1304925" y="514350"/>
                              <a:ext cx="0" cy="152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Дуга 11"/>
                          <wps:cNvSpPr/>
                          <wps:spPr>
                            <a:xfrm>
                              <a:off x="914400" y="266700"/>
                              <a:ext cx="390525" cy="314325"/>
                            </a:xfrm>
                            <a:prstGeom prst="arc">
                              <a:avLst>
                                <a:gd name="adj1" fmla="val 10800000"/>
                                <a:gd name="adj2" fmla="val 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Прямая со стрелкой 15"/>
                        <wps:cNvCnPr/>
                        <wps:spPr>
                          <a:xfrm>
                            <a:off x="0" y="581025"/>
                            <a:ext cx="29813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B5BE8" id="Группа 16" o:spid="_x0000_s1026" style="position:absolute;left:0;text-align:left;margin-left:106.2pt;margin-top:10.6pt;width:234.75pt;height:67.5pt;z-index:251659264" coordsize="29813,85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">
                <v:group id="Группа 13" o:spid="_x0000_s1027" style="position:absolute;left:666;width:17431;height:8572" coordorigin="666" coordsize="17430,8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12" o:spid="_x0000_s1028" type="#_x0000_t202" style="position:absolute;left:6000;width:12097;height:4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05A1973B" w14:textId="77777777" w:rsidR="00F23371" w:rsidRDefault="00F23371" w:rsidP="001B1EAB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Поле 10" o:spid="_x0000_s1029" type="#_x0000_t202" style="position:absolute;left:10477;top:5810;width:6763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080CD3F9" w14:textId="77777777" w:rsidR="00F23371" w:rsidRPr="00524702" w:rsidRDefault="00F23371" w:rsidP="001B1EAB">
                          <w:pPr>
                            <w:rPr>
                              <w:i/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оле 9" o:spid="_x0000_s1030" type="#_x0000_t202" style="position:absolute;left:6286;top:5810;width:4191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" fillcolor="white [3201]" stroked="f" strokeweight=".5pt">
                    <v:textbox>
                      <w:txbxContent>
                        <w:p w14:paraId="1F44A8E5" w14:textId="77777777" w:rsidR="00F23371" w:rsidRPr="00E53988" w:rsidRDefault="00F23371" w:rsidP="001B1EAB">
                          <w:pPr>
                            <w:rPr>
                              <w:i/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оле 8" o:spid="_x0000_s1031" type="#_x0000_t202" style="position:absolute;left:666;top:5715;width:2191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0E71A361" w14:textId="77777777" w:rsidR="00F23371" w:rsidRPr="00524702" w:rsidRDefault="00F23371" w:rsidP="001B1EAB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524702">
                            <w:rPr>
                              <w:i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line id="Прямая соединительная линия 2" o:spid="_x0000_s1032" style="position:absolute;visibility:visible;mso-wrap-style:square" from="2571,5143" to="2571,66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" strokecolor="black [3213]"/>
                  <v:line id="Прямая соединительная линия 5" o:spid="_x0000_s1033" style="position:absolute;visibility:visible;mso-wrap-style:square" from="9144,5238" to="9144,67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" strokecolor="black [3213]"/>
                  <v:line id="Прямая соединительная линия 6" o:spid="_x0000_s1034" style="position:absolute;visibility:visible;mso-wrap-style:square" from="13049,5143" to="13049,66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" strokecolor="black [3213]"/>
                  <v:shape id="Дуга 11" o:spid="_x0000_s1035" style="position:absolute;left:9144;top:2667;width:3905;height:3143;visibility:visible;mso-wrap-style:square;v-text-anchor:middle" coordsize="390525,3143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" path="m,157163nsc,70364,87422,,195263,,303104,,390526,70364,390526,157163r-195263,l,157163xem,157163nfc,70364,87422,,195263,,303104,,390526,70364,390526,157163e" filled="f" strokecolor="black [3213]">
                    <v:path arrowok="t" o:connecttype="custom" o:connectlocs="0,157163;195263,0;390526,157163" o:connectangles="0,0,0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5" o:spid="_x0000_s1036" type="#_x0000_t32" style="position:absolute;top:5810;width:2981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" strokecolor="black [3213]">
                  <v:stroke endarrow="open"/>
                </v:shape>
                <w10:wrap type="topAndBottom"/>
              </v:group>
            </w:pict>
          </mc:Fallback>
        </mc:AlternateContent>
      </w:r>
      <w:r w:rsidRPr="00A37160">
        <w:t xml:space="preserve">2.3.6 При этом полагаем, 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A37160">
        <w:t xml:space="preserve"> – детерминистическая функция</w:t>
      </w:r>
      <w:r w:rsidRPr="00A37160">
        <w:rPr>
          <w:vertAlign w:val="superscript"/>
        </w:rPr>
        <w:footnoteReference w:id="11"/>
      </w:r>
      <w:r w:rsidRPr="00A37160">
        <w:t xml:space="preserve">. При наличии нескольких  спредов на разные сроки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A37160">
        <w:rPr>
          <w:i/>
          <w:vertAlign w:val="subscript"/>
        </w:rPr>
        <w:t xml:space="preserve"> </w:t>
      </w:r>
      <w:r w:rsidRPr="00A37160">
        <w:t xml:space="preserve">калибруется соответствующим образом (например, как кусочно-линейная функция) так, чтобы модель позволяла производить точную оценку существующих рыночных контрактов CDS. При наличии только одного спреда полагаем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</m:t>
        </m:r>
      </m:oMath>
      <w:r w:rsidRPr="00A37160">
        <w:t>.</w:t>
      </w:r>
    </w:p>
    <w:p w14:paraId="49EE966D" w14:textId="77777777" w:rsidR="001B1EAB" w:rsidRPr="00A37160" w:rsidRDefault="001B1EAB" w:rsidP="001B1EAB">
      <w:pPr>
        <w:spacing w:before="120" w:after="120"/>
      </w:pPr>
    </w:p>
    <w:p w14:paraId="610DB4C7" w14:textId="77777777"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>2.3.7 В этом случае из (4) и (5) получаем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43"/>
        <w:gridCol w:w="912"/>
      </w:tblGrid>
      <w:tr w:rsidR="001B1EAB" w:rsidRPr="00A37160" w14:paraId="6177D2A8" w14:textId="77777777" w:rsidTr="00A30756">
        <w:trPr>
          <w:trHeight w:val="824"/>
        </w:trPr>
        <w:tc>
          <w:tcPr>
            <w:tcW w:w="8545" w:type="dxa"/>
          </w:tcPr>
          <w:p w14:paraId="65DD26AF" w14:textId="77777777" w:rsidR="001B1EAB" w:rsidRPr="00A37160" w:rsidRDefault="001B1EAB" w:rsidP="00C468AF">
            <w:pPr>
              <w:ind w:left="3261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λ=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 s∙τ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919" w:type="dxa"/>
          </w:tcPr>
          <w:p w14:paraId="7021F318" w14:textId="77777777" w:rsidR="001B1EAB" w:rsidRPr="00A37160" w:rsidRDefault="001B1EAB" w:rsidP="00A30756">
            <w:pPr>
              <w:jc w:val="right"/>
              <w:rPr>
                <w:rFonts w:eastAsiaTheme="minorEastAsia"/>
              </w:rPr>
            </w:pPr>
            <w:r w:rsidRPr="00A37160">
              <w:rPr>
                <w:rFonts w:eastAsiaTheme="minorEastAsia"/>
              </w:rPr>
              <w:t>(6)</w:t>
            </w:r>
          </w:p>
        </w:tc>
      </w:tr>
    </w:tbl>
    <w:p w14:paraId="4CD96972" w14:textId="77777777" w:rsidR="001B1EAB" w:rsidRPr="00A37160" w:rsidRDefault="001B1EAB" w:rsidP="001B1EAB">
      <w:pPr>
        <w:spacing w:before="120" w:after="120"/>
        <w:jc w:val="both"/>
      </w:pPr>
      <w:r w:rsidRPr="00A37160">
        <w:t>где</w:t>
      </w:r>
    </w:p>
    <w:p w14:paraId="4BAF2244" w14:textId="77777777" w:rsidR="001B1EAB" w:rsidRPr="00A37160" w:rsidRDefault="001B1EAB" w:rsidP="001B1EAB">
      <w:pPr>
        <w:spacing w:before="120" w:after="120"/>
        <w:jc w:val="both"/>
        <w:rPr>
          <w:i/>
        </w:rPr>
      </w:pPr>
      <m:oMath>
        <m:r>
          <w:rPr>
            <w:rFonts w:ascii="Cambria Math" w:hAnsi="Cambria Math"/>
            <w:lang w:val="en-US"/>
          </w:rPr>
          <m:t>λ</m:t>
        </m:r>
      </m:oMath>
      <w:r w:rsidRPr="00A37160">
        <w:rPr>
          <w:i/>
        </w:rPr>
        <w:t xml:space="preserve"> – </w:t>
      </w:r>
      <w:r w:rsidRPr="00A37160">
        <w:t>интенсивность дефолта,</w:t>
      </w:r>
    </w:p>
    <w:p w14:paraId="18C25B1B" w14:textId="77777777" w:rsidR="001B1EAB" w:rsidRPr="00A37160" w:rsidRDefault="001B1EAB" w:rsidP="001B1EAB">
      <w:pPr>
        <w:spacing w:before="120" w:after="120"/>
        <w:jc w:val="both"/>
        <w:rPr>
          <w:i/>
        </w:rPr>
      </w:pPr>
      <m:oMath>
        <m:r>
          <w:rPr>
            <w:rFonts w:ascii="Cambria Math" w:hAnsi="Cambria Math"/>
            <w:lang w:val="en-US"/>
          </w:rPr>
          <m:t>τ</m:t>
        </m:r>
      </m:oMath>
      <w:r w:rsidRPr="00A37160">
        <w:rPr>
          <w:i/>
        </w:rPr>
        <w:t xml:space="preserve"> – </w:t>
      </w:r>
      <w:r w:rsidRPr="00A37160">
        <w:t xml:space="preserve">(предполагаемый) период между выплатами по (предполагаемому) </w:t>
      </w:r>
      <w:r w:rsidRPr="00A37160">
        <w:rPr>
          <w:lang w:val="en-US"/>
        </w:rPr>
        <w:t>CDS</w:t>
      </w:r>
      <w:r w:rsidRPr="00A37160">
        <w:t>,</w:t>
      </w:r>
    </w:p>
    <w:p w14:paraId="732DCA76" w14:textId="77777777" w:rsidR="001B1EAB" w:rsidRPr="00A37160" w:rsidRDefault="001B1EAB" w:rsidP="001B1EAB">
      <w:pPr>
        <w:spacing w:before="120" w:after="120"/>
        <w:jc w:val="both"/>
        <w:rPr>
          <w:i/>
        </w:rPr>
      </w:pPr>
      <m:oMath>
        <m:r>
          <w:rPr>
            <w:rFonts w:ascii="Cambria Math" w:hAnsi="Cambria Math"/>
            <w:lang w:val="en-US"/>
          </w:rPr>
          <m:t>s</m:t>
        </m:r>
      </m:oMath>
      <w:r w:rsidRPr="00A37160">
        <w:rPr>
          <w:i/>
        </w:rPr>
        <w:t xml:space="preserve"> – </w:t>
      </w:r>
      <w:r w:rsidRPr="00A37160">
        <w:rPr>
          <w:lang w:val="en-US"/>
        </w:rPr>
        <w:t>CDS</w:t>
      </w:r>
      <w:r w:rsidRPr="00A37160">
        <w:t xml:space="preserve"> спред,</w:t>
      </w:r>
    </w:p>
    <w:p w14:paraId="3EBCFECA" w14:textId="77777777" w:rsidR="001B1EAB" w:rsidRPr="00A37160" w:rsidRDefault="00DA21A1" w:rsidP="001B1EAB">
      <w:pPr>
        <w:spacing w:before="120" w:after="120"/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1B1EAB" w:rsidRPr="00A37160">
        <w:rPr>
          <w:i/>
        </w:rPr>
        <w:t xml:space="preserve"> – </w:t>
      </w:r>
      <w:r w:rsidR="001B1EAB" w:rsidRPr="00A37160">
        <w:rPr>
          <w:lang w:val="en-US"/>
        </w:rPr>
        <w:t>recovery</w:t>
      </w:r>
      <w:r w:rsidR="001B1EAB" w:rsidRPr="00A37160">
        <w:t xml:space="preserve"> </w:t>
      </w:r>
      <w:r w:rsidR="001B1EAB" w:rsidRPr="00A37160">
        <w:rPr>
          <w:lang w:val="en-US"/>
        </w:rPr>
        <w:t>rate</w:t>
      </w:r>
      <w:r w:rsidR="001B1EAB" w:rsidRPr="00A37160">
        <w:t xml:space="preserve"> для </w:t>
      </w:r>
      <w:r w:rsidR="001B1EAB" w:rsidRPr="00A37160">
        <w:rPr>
          <w:lang w:val="en-US"/>
        </w:rPr>
        <w:t>CDS</w:t>
      </w:r>
      <w:r w:rsidR="001B1EAB" w:rsidRPr="00A37160">
        <w:t xml:space="preserve"> (процент от номинала).</w:t>
      </w:r>
    </w:p>
    <w:p w14:paraId="738750D7" w14:textId="77777777" w:rsidR="001B1EAB" w:rsidRPr="00D05DD2" w:rsidRDefault="00FE795B" w:rsidP="001B1EAB">
      <w:r>
        <w:t xml:space="preserve">2.4 </w:t>
      </w:r>
      <w:r w:rsidRPr="00D05DD2">
        <w:t xml:space="preserve">В случае наличия на рынке торгуемых </w:t>
      </w:r>
      <w:r w:rsidR="007B0C0A" w:rsidRPr="00D05DD2">
        <w:t>инструментов</w:t>
      </w:r>
      <w:r w:rsidRPr="00D05DD2">
        <w:t xml:space="preserve"> на </w:t>
      </w:r>
      <w:r w:rsidRPr="00D05DD2">
        <w:rPr>
          <w:lang w:val="en-US"/>
        </w:rPr>
        <w:t>LGD</w:t>
      </w:r>
      <w:r w:rsidRPr="00D05DD2">
        <w:t xml:space="preserve">  по </w:t>
      </w:r>
      <w:r w:rsidR="007B0C0A" w:rsidRPr="00D05DD2">
        <w:t>контрагенту</w:t>
      </w:r>
      <w:r w:rsidRPr="00D05DD2">
        <w:t xml:space="preserve"> ( </w:t>
      </w:r>
      <w:r w:rsidRPr="00D05DD2">
        <w:rPr>
          <w:lang w:val="en-US"/>
        </w:rPr>
        <w:t>Recovery</w:t>
      </w:r>
      <w:r w:rsidRPr="00D05DD2">
        <w:t xml:space="preserve"> </w:t>
      </w:r>
      <w:r w:rsidRPr="00D05DD2">
        <w:rPr>
          <w:lang w:val="en-US"/>
        </w:rPr>
        <w:t>Locks</w:t>
      </w:r>
      <w:r w:rsidRPr="00D05DD2">
        <w:t xml:space="preserve">), их применение для расчета </w:t>
      </w:r>
      <w:r w:rsidRPr="00D05DD2">
        <w:rPr>
          <w:lang w:val="en-US"/>
        </w:rPr>
        <w:t>PD</w:t>
      </w:r>
      <w:r w:rsidRPr="00D05DD2">
        <w:t xml:space="preserve">  для целей </w:t>
      </w:r>
      <w:r w:rsidRPr="00D05DD2">
        <w:rPr>
          <w:lang w:val="en-US"/>
        </w:rPr>
        <w:t>CVA</w:t>
      </w:r>
      <w:r w:rsidRPr="00D05DD2">
        <w:t xml:space="preserve"> необходимо согласовывать отдельно </w:t>
      </w:r>
      <w:r w:rsidR="00227E12" w:rsidRPr="00D05DD2">
        <w:t>решением подразделений, указанных в пункте 5.2</w:t>
      </w:r>
      <w:r w:rsidRPr="00D05DD2">
        <w:t xml:space="preserve"> </w:t>
      </w:r>
    </w:p>
    <w:p w14:paraId="2935308F" w14:textId="77777777" w:rsidR="00BE70D1" w:rsidRPr="0059028C" w:rsidRDefault="00BE70D1" w:rsidP="001B1EAB">
      <w:pPr>
        <w:rPr>
          <w:b/>
          <w:bCs/>
          <w:iCs/>
          <w:lang w:eastAsia="en-US"/>
        </w:rPr>
      </w:pPr>
    </w:p>
    <w:p w14:paraId="78949984" w14:textId="77777777" w:rsidR="00BE70D1" w:rsidRPr="0059028C" w:rsidRDefault="00BE70D1" w:rsidP="001B1EAB">
      <w:pPr>
        <w:rPr>
          <w:b/>
          <w:bCs/>
          <w:iCs/>
          <w:lang w:eastAsia="en-US"/>
        </w:rPr>
      </w:pPr>
    </w:p>
    <w:p w14:paraId="77D2464D" w14:textId="77777777" w:rsidR="00BE70D1" w:rsidRPr="0059028C" w:rsidRDefault="00BE70D1" w:rsidP="001B1EAB">
      <w:pPr>
        <w:rPr>
          <w:b/>
          <w:bCs/>
          <w:iCs/>
          <w:lang w:eastAsia="en-US"/>
        </w:rPr>
      </w:pPr>
    </w:p>
    <w:p w14:paraId="58DFE0CC" w14:textId="77777777" w:rsidR="001B1EAB" w:rsidRPr="00BF5349" w:rsidRDefault="001B1EAB" w:rsidP="001B1EAB">
      <w:pPr>
        <w:pStyle w:val="1"/>
        <w:keepLines w:val="0"/>
        <w:numPr>
          <w:ilvl w:val="0"/>
          <w:numId w:val="1"/>
        </w:numPr>
        <w:pBdr>
          <w:bottom w:val="single" w:sz="4" w:space="0" w:color="auto"/>
        </w:pBdr>
        <w:autoSpaceDE w:val="0"/>
        <w:autoSpaceDN w:val="0"/>
        <w:spacing w:before="0" w:after="240"/>
        <w:jc w:val="both"/>
        <w:rPr>
          <w:rFonts w:ascii="Times New Roman" w:hAnsi="Times New Roman" w:cs="Arial"/>
          <w:color w:val="auto"/>
          <w:kern w:val="32"/>
        </w:rPr>
      </w:pPr>
      <w:bookmarkStart w:id="16" w:name="_Ref359004868"/>
      <w:bookmarkStart w:id="17" w:name="_Ref408907341"/>
      <w:bookmarkStart w:id="18" w:name="_Ref408907343"/>
      <w:bookmarkStart w:id="19" w:name="_Ref408907416"/>
      <w:bookmarkStart w:id="20" w:name="_Toc470105866"/>
      <w:r w:rsidRPr="00BF5349">
        <w:rPr>
          <w:rFonts w:ascii="Times New Roman" w:hAnsi="Times New Roman" w:cs="Arial"/>
          <w:color w:val="auto"/>
          <w:kern w:val="32"/>
        </w:rPr>
        <w:t>Моделирование</w:t>
      </w:r>
      <w:bookmarkEnd w:id="16"/>
      <w:r w:rsidRPr="00BF5349">
        <w:rPr>
          <w:rFonts w:ascii="Times New Roman" w:hAnsi="Times New Roman" w:cs="Arial"/>
          <w:color w:val="auto"/>
          <w:kern w:val="32"/>
        </w:rPr>
        <w:t xml:space="preserve"> риск факторов</w:t>
      </w:r>
      <w:bookmarkEnd w:id="17"/>
      <w:bookmarkEnd w:id="18"/>
      <w:bookmarkEnd w:id="19"/>
      <w:bookmarkEnd w:id="20"/>
      <w:r w:rsidRPr="00BF5349">
        <w:rPr>
          <w:rFonts w:ascii="Times New Roman" w:hAnsi="Times New Roman" w:cs="Arial"/>
          <w:color w:val="auto"/>
          <w:kern w:val="32"/>
        </w:rPr>
        <w:t xml:space="preserve"> </w:t>
      </w:r>
    </w:p>
    <w:p w14:paraId="1FBFD072" w14:textId="77777777" w:rsidR="001B1EAB" w:rsidRPr="00A37160" w:rsidRDefault="00BF5349" w:rsidP="008D5876">
      <w:pPr>
        <w:pStyle w:val="a7"/>
        <w:spacing w:before="120" w:after="120"/>
        <w:ind w:left="0"/>
        <w:jc w:val="both"/>
      </w:pPr>
      <w:bookmarkStart w:id="21" w:name="_Ref408910922"/>
      <w:r w:rsidRPr="00BF5349">
        <w:t>Моделирование поведения риск факторов происходит методом Монте-Карло. Моделирование риск факторов происходит совместно, что позволяет рассчитать стоимость всего портфеля в каждый момент времени. Детали моделирования для каждого из риск факторов  указываются в Профиле моде</w:t>
      </w:r>
      <w:r>
        <w:t>лирования риск факторов для CVA</w:t>
      </w:r>
      <w:r w:rsidRPr="00BF5349">
        <w:t xml:space="preserve">. Шаблон профиля  моделирования риск факторов для CVA </w:t>
      </w:r>
      <w:r>
        <w:t xml:space="preserve"> Приложении 8</w:t>
      </w:r>
      <w:r w:rsidRPr="00BF5349">
        <w:t xml:space="preserve">. </w:t>
      </w:r>
      <w:bookmarkEnd w:id="21"/>
    </w:p>
    <w:p w14:paraId="1CAC7331" w14:textId="77777777" w:rsidR="001B1EAB" w:rsidRPr="00A37160" w:rsidRDefault="001B1EAB" w:rsidP="001B1EAB">
      <w:pPr>
        <w:pStyle w:val="a7"/>
        <w:numPr>
          <w:ilvl w:val="1"/>
          <w:numId w:val="1"/>
        </w:numPr>
        <w:spacing w:before="120" w:after="120"/>
        <w:ind w:left="0" w:firstLine="0"/>
        <w:jc w:val="both"/>
      </w:pPr>
      <w:r w:rsidRPr="00A37160">
        <w:t xml:space="preserve">В рамках данной методики для моделирования динамики риск-факторов применяется следующая </w:t>
      </w:r>
      <w:r w:rsidR="00BF5349" w:rsidRPr="00A37160">
        <w:t>многофакторн</w:t>
      </w:r>
      <w:r w:rsidR="00BF5349">
        <w:t>ая</w:t>
      </w:r>
      <w:r w:rsidR="00BF5349" w:rsidRPr="00A37160">
        <w:t xml:space="preserve"> модель размерности </w:t>
      </w:r>
      <w:r w:rsidR="00BF5349" w:rsidRPr="00A37160">
        <w:rPr>
          <w:lang w:val="en-US"/>
        </w:rPr>
        <w:t>d</w:t>
      </w:r>
      <w:r w:rsidR="00F42552">
        <w:rPr>
          <w:rStyle w:val="ac"/>
          <w:lang w:val="en-US"/>
        </w:rPr>
        <w:footnoteReference w:id="12"/>
      </w:r>
      <w:r w:rsidRPr="00A37160">
        <w:t>:</w:t>
      </w:r>
    </w:p>
    <w:p w14:paraId="1ECBE71C" w14:textId="77777777" w:rsidR="00BF5349" w:rsidRPr="008D5876" w:rsidRDefault="00DA21A1" w:rsidP="008D5876">
      <w:pPr>
        <w:spacing w:before="120" w:after="120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dt</m:t>
        </m:r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BF5349" w:rsidRPr="008D5876">
        <w:rPr>
          <w:lang w:val="en-US"/>
        </w:rPr>
        <w:t>(t)</w:t>
      </w:r>
      <w:r w:rsidR="00BF5349" w:rsidRPr="008D5876">
        <w:rPr>
          <w:lang w:val="en-US"/>
        </w:rPr>
        <w:tab/>
      </w:r>
      <w:r w:rsidR="00BF5349" w:rsidRPr="008D5876">
        <w:rPr>
          <w:lang w:val="en-US"/>
        </w:rPr>
        <w:tab/>
      </w:r>
      <w:r w:rsidR="00BF5349" w:rsidRPr="008D5876">
        <w:rPr>
          <w:lang w:val="en-US"/>
        </w:rPr>
        <w:tab/>
      </w:r>
      <w:r w:rsidR="00BF5349" w:rsidRPr="008D5876">
        <w:rPr>
          <w:lang w:val="en-US"/>
        </w:rPr>
        <w:tab/>
        <w:t xml:space="preserve">        (7)</w:t>
      </w:r>
    </w:p>
    <w:p w14:paraId="0F6DDB84" w14:textId="77777777" w:rsidR="001B1EAB" w:rsidRPr="00A37160" w:rsidRDefault="001B1EAB" w:rsidP="001B1EAB">
      <w:pPr>
        <w:spacing w:before="120" w:after="120"/>
        <w:ind w:left="708"/>
        <w:jc w:val="both"/>
      </w:pPr>
      <w:r w:rsidRPr="00A37160">
        <w:t>где</w:t>
      </w:r>
    </w:p>
    <w:p w14:paraId="048B0F3A" w14:textId="77777777" w:rsidR="001B1EAB" w:rsidRPr="00A37160" w:rsidRDefault="001B1EAB" w:rsidP="001B1EAB">
      <w:pPr>
        <w:spacing w:before="120" w:after="120"/>
        <w:ind w:left="708" w:firstLine="708"/>
        <w:jc w:val="both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37160">
        <w:t xml:space="preserve"> – риск</w:t>
      </w:r>
      <w:r w:rsidR="00037F0B" w:rsidRPr="00C26FF3">
        <w:t xml:space="preserve"> </w:t>
      </w:r>
      <w:r w:rsidRPr="00A37160">
        <w:t xml:space="preserve">фактор в момент времени </w:t>
      </w:r>
      <w:r w:rsidRPr="00A37160">
        <w:rPr>
          <w:lang w:val="en-US"/>
        </w:rPr>
        <w:t>t</w:t>
      </w:r>
      <m:oMath>
        <m:r>
          <m:rPr>
            <m:sty m:val="p"/>
          </m:rPr>
          <w:rPr>
            <w:rFonts w:ascii="Cambria Math" w:hAnsi="Cambria Math" w:cs="Calibri"/>
          </w:rPr>
          <m:t>,</m:t>
        </m:r>
      </m:oMath>
      <w:r w:rsidRPr="00A37160">
        <w:t xml:space="preserve"> </w:t>
      </w:r>
      <w:r w:rsidR="00BF5349" w:rsidRPr="00A37160">
        <w:t xml:space="preserve">представляет собой вектор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            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>(t))</m:t>
        </m:r>
      </m:oMath>
      <w:r w:rsidR="00BF5349" w:rsidRPr="00A37160">
        <w:t xml:space="preserve"> с соответствующим дрифтом и волатильностью</w:t>
      </w:r>
    </w:p>
    <w:p w14:paraId="65D3E75B" w14:textId="77777777" w:rsidR="00BF5349" w:rsidRPr="00BF5349" w:rsidRDefault="001B1EAB">
      <w:pPr>
        <w:spacing w:before="120" w:after="120"/>
        <w:ind w:left="708" w:firstLine="708"/>
        <w:jc w:val="both"/>
      </w:pPr>
      <m:oMath>
        <m:r>
          <w:rPr>
            <w:rFonts w:ascii="Cambria Math" w:hAnsi="Cambria Math"/>
            <w:lang w:val="en-US"/>
          </w:rPr>
          <m:t>σ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A37160">
        <w:t xml:space="preserve"> – волатильность риск</w:t>
      </w:r>
      <w:r w:rsidR="00037F0B" w:rsidRPr="00C26FF3">
        <w:t xml:space="preserve"> </w:t>
      </w:r>
      <w:r w:rsidRPr="00A37160">
        <w:t xml:space="preserve">фактора, </w:t>
      </w:r>
      <m:oMath>
        <m:r>
          <w:rPr>
            <w:rFonts w:ascii="Cambria Math" w:hAnsi="Cambria Math"/>
          </w:rPr>
          <m:t xml:space="preserve">                           </m:t>
        </m:r>
      </m:oMath>
    </w:p>
    <w:p w14:paraId="0D5F6C3F" w14:textId="77777777" w:rsidR="001B1EAB" w:rsidRPr="00A37160" w:rsidRDefault="00DA21A1" w:rsidP="001B1EAB">
      <w:pPr>
        <w:spacing w:before="120" w:after="120"/>
        <w:ind w:left="708" w:firstLine="708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1B1EAB" w:rsidRPr="00A37160">
        <w:t xml:space="preserve"> –</w:t>
      </w:r>
      <w:r w:rsidR="00BF5349"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X1</m:t>
            </m:r>
          </m:sub>
        </m:sSub>
        <m:r>
          <w:rPr>
            <w:rFonts w:ascii="Cambria Math" w:hAnsi="Cambria Math"/>
          </w:rPr>
          <m:t xml:space="preserve">(t),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X2</m:t>
            </m:r>
          </m:sub>
        </m:sSub>
        <m:r>
          <w:rPr>
            <w:rFonts w:ascii="Cambria Math" w:hAnsi="Cambria Math"/>
          </w:rPr>
          <m:t xml:space="preserve">(t),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Xd</m:t>
            </m:r>
          </m:sub>
        </m:sSub>
        <m:r>
          <w:rPr>
            <w:rFonts w:ascii="Cambria Math" w:hAnsi="Cambria Math"/>
          </w:rPr>
          <m:t>(t))</m:t>
        </m:r>
      </m:oMath>
      <w:r w:rsidR="00BF5349" w:rsidRPr="00A37160">
        <w:t xml:space="preserve"> – вектор броуновских движений</w:t>
      </w:r>
      <w:r w:rsidR="00BF5349">
        <w:t xml:space="preserve"> </w:t>
      </w:r>
      <w:r w:rsidR="00BF5349" w:rsidRPr="00A37160">
        <w:t xml:space="preserve">где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F5349" w:rsidRPr="00A37160">
        <w:t>(</w:t>
      </w:r>
      <w:r w:rsidR="00BF5349" w:rsidRPr="00A37160">
        <w:rPr>
          <w:lang w:val="en-US"/>
        </w:rPr>
        <w:t>t</w:t>
      </w:r>
      <w:r w:rsidR="00BF5349" w:rsidRPr="00A37160">
        <w:t>)</w:t>
      </w:r>
      <w:r w:rsidR="00BF5349" w:rsidRPr="00A37160">
        <w:rPr>
          <w:lang w:val="en-US"/>
        </w:rPr>
        <w:t>dt</w:t>
      </w:r>
    </w:p>
    <w:p w14:paraId="20C86CBA" w14:textId="77777777" w:rsidR="001B1EAB" w:rsidRPr="00A37160" w:rsidRDefault="001B1EAB" w:rsidP="001B1EAB">
      <w:pPr>
        <w:spacing w:before="120" w:after="120"/>
        <w:ind w:left="708" w:firstLine="708"/>
        <w:jc w:val="both"/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 w:rsidRPr="00A37160">
        <w:t xml:space="preserve"> – дрифт процесса эволюции риск-фактора.</w:t>
      </w:r>
    </w:p>
    <w:p w14:paraId="43FFEC1E" w14:textId="77777777" w:rsidR="001B1EAB" w:rsidRPr="00A37160" w:rsidRDefault="001B1EAB" w:rsidP="001B1EAB">
      <w:pPr>
        <w:spacing w:before="120" w:after="120"/>
        <w:jc w:val="both"/>
      </w:pPr>
    </w:p>
    <w:p w14:paraId="4C121EDA" w14:textId="77777777" w:rsidR="001B1EAB" w:rsidRPr="00A37160" w:rsidRDefault="001B1EAB" w:rsidP="001B1EAB">
      <w:pPr>
        <w:spacing w:before="120" w:after="120"/>
        <w:jc w:val="both"/>
      </w:pPr>
    </w:p>
    <w:p w14:paraId="6E3676DF" w14:textId="77777777" w:rsidR="001B1EAB" w:rsidRPr="00A37160" w:rsidRDefault="001B1EAB" w:rsidP="001B1EAB">
      <w:pPr>
        <w:pStyle w:val="1"/>
        <w:keepLines w:val="0"/>
        <w:numPr>
          <w:ilvl w:val="0"/>
          <w:numId w:val="1"/>
        </w:numPr>
        <w:pBdr>
          <w:bottom w:val="single" w:sz="4" w:space="0" w:color="auto"/>
        </w:pBdr>
        <w:autoSpaceDE w:val="0"/>
        <w:autoSpaceDN w:val="0"/>
        <w:spacing w:before="0" w:after="240"/>
        <w:jc w:val="both"/>
        <w:rPr>
          <w:rFonts w:ascii="Times New Roman" w:hAnsi="Times New Roman" w:cs="Arial"/>
          <w:color w:val="auto"/>
          <w:kern w:val="32"/>
        </w:rPr>
      </w:pPr>
      <w:bookmarkStart w:id="22" w:name="_Toc366519406"/>
      <w:bookmarkStart w:id="23" w:name="_Toc366519407"/>
      <w:bookmarkStart w:id="24" w:name="_Toc366519408"/>
      <w:bookmarkStart w:id="25" w:name="_Toc366519409"/>
      <w:bookmarkStart w:id="26" w:name="_Toc366519410"/>
      <w:bookmarkStart w:id="27" w:name="_Toc366519414"/>
      <w:bookmarkStart w:id="28" w:name="_Toc366519415"/>
      <w:bookmarkStart w:id="29" w:name="_Toc366519416"/>
      <w:bookmarkStart w:id="30" w:name="_Toc366519417"/>
      <w:bookmarkStart w:id="31" w:name="_Toc366519420"/>
      <w:bookmarkStart w:id="32" w:name="_Toc366519422"/>
      <w:bookmarkStart w:id="33" w:name="_Toc366519423"/>
      <w:bookmarkStart w:id="34" w:name="_Toc366519424"/>
      <w:bookmarkStart w:id="35" w:name="_Toc366519426"/>
      <w:bookmarkStart w:id="36" w:name="_Toc366519429"/>
      <w:bookmarkStart w:id="37" w:name="_Toc366519431"/>
      <w:bookmarkStart w:id="38" w:name="_Toc366519437"/>
      <w:bookmarkStart w:id="39" w:name="_Ref365541615"/>
      <w:bookmarkStart w:id="40" w:name="_Toc470105867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A37160">
        <w:rPr>
          <w:rFonts w:ascii="Times New Roman" w:hAnsi="Times New Roman" w:cs="Arial"/>
          <w:color w:val="auto"/>
          <w:kern w:val="32"/>
        </w:rPr>
        <w:t xml:space="preserve">Расчет CVA , </w:t>
      </w:r>
      <w:r w:rsidRPr="00A37160">
        <w:rPr>
          <w:rFonts w:ascii="Times New Roman" w:hAnsi="Times New Roman" w:cs="Arial"/>
          <w:color w:val="auto"/>
          <w:kern w:val="32"/>
          <w:lang w:val="en-US"/>
        </w:rPr>
        <w:t>DVA</w:t>
      </w:r>
      <w:bookmarkEnd w:id="39"/>
      <w:r w:rsidR="005B2851">
        <w:rPr>
          <w:rFonts w:ascii="Times New Roman" w:hAnsi="Times New Roman" w:cs="Arial"/>
          <w:color w:val="auto"/>
          <w:kern w:val="32"/>
        </w:rPr>
        <w:t xml:space="preserve">, </w:t>
      </w:r>
      <w:r w:rsidR="00182177">
        <w:rPr>
          <w:rFonts w:ascii="Times New Roman" w:hAnsi="Times New Roman" w:cs="Arial"/>
          <w:color w:val="auto"/>
          <w:kern w:val="32"/>
          <w:lang w:val="en-US"/>
        </w:rPr>
        <w:t>LGD</w:t>
      </w:r>
      <w:bookmarkEnd w:id="40"/>
    </w:p>
    <w:p w14:paraId="3A7B3582" w14:textId="77777777" w:rsidR="00CF5FB9" w:rsidRPr="00A9632B" w:rsidRDefault="001B1EAB" w:rsidP="00CF5FB9">
      <w:pPr>
        <w:pStyle w:val="a7"/>
        <w:numPr>
          <w:ilvl w:val="1"/>
          <w:numId w:val="19"/>
        </w:numPr>
        <w:spacing w:before="120" w:after="120"/>
        <w:jc w:val="both"/>
      </w:pPr>
      <w:r w:rsidRPr="00A37160">
        <w:t>В случае если все риск</w:t>
      </w:r>
      <w:r w:rsidR="00037F0B" w:rsidRPr="00C26FF3">
        <w:t xml:space="preserve"> </w:t>
      </w:r>
      <w:r w:rsidRPr="00A37160">
        <w:t xml:space="preserve">факторы, необходимые для оценки стоимости </w:t>
      </w:r>
      <w:r w:rsidR="00E47022">
        <w:t xml:space="preserve"> </w:t>
      </w:r>
      <w:r w:rsidRPr="00A37160">
        <w:t>V(t)</w:t>
      </w:r>
      <w:r w:rsidRPr="00A37160">
        <w:rPr>
          <w:rStyle w:val="ac"/>
        </w:rPr>
        <w:footnoteReference w:id="13"/>
      </w:r>
      <w:r w:rsidRPr="00A37160">
        <w:t xml:space="preserve">, описываются моделью из главы </w:t>
      </w:r>
      <w:r w:rsidRPr="00A37160">
        <w:fldChar w:fldCharType="begin"/>
      </w:r>
      <w:r w:rsidRPr="00A37160">
        <w:instrText xml:space="preserve"> REF _Ref408907341 \r \h </w:instrText>
      </w:r>
      <w:r w:rsidRPr="00A37160">
        <w:fldChar w:fldCharType="separate"/>
      </w:r>
      <w:r w:rsidR="005112C9">
        <w:t>3</w:t>
      </w:r>
      <w:r w:rsidRPr="00A37160">
        <w:fldChar w:fldCharType="end"/>
      </w:r>
      <w:r w:rsidRPr="00A37160">
        <w:t xml:space="preserve">, тогда CVA и  DVA рассчитывается </w:t>
      </w:r>
      <w:r w:rsidRPr="00BF5349">
        <w:t>по формулам (2.1), (3.1)</w:t>
      </w:r>
      <w:r w:rsidR="00CF5FB9" w:rsidRPr="00BF5349">
        <w:t>, если ниже не оговорено иное</w:t>
      </w:r>
      <w:r w:rsidRPr="00BF5349">
        <w:t>.</w:t>
      </w:r>
      <w:r w:rsidR="00CF5FB9" w:rsidRPr="00BF5349">
        <w:t xml:space="preserve"> Примеры, где в качестве риск фактора выступают валютный курс и процентные ставки и товары рассмотрены в</w:t>
      </w:r>
      <w:r w:rsidR="00CF5FB9" w:rsidRPr="00A37160">
        <w:t xml:space="preserve"> </w:t>
      </w:r>
      <w:r w:rsidR="00CF5FB9" w:rsidRPr="00A37160">
        <w:fldChar w:fldCharType="begin"/>
      </w:r>
      <w:r w:rsidR="00CF5FB9" w:rsidRPr="00A37160">
        <w:instrText xml:space="preserve"> REF _Ref408927477 \h  \* MERGEFORMAT </w:instrText>
      </w:r>
      <w:r w:rsidR="00CF5FB9" w:rsidRPr="00A37160">
        <w:fldChar w:fldCharType="separate"/>
      </w:r>
      <w:r w:rsidR="005112C9" w:rsidRPr="00033828">
        <w:t>Приложение №</w:t>
      </w:r>
      <w:r w:rsidR="00CF5FB9" w:rsidRPr="00A37160">
        <w:fldChar w:fldCharType="end"/>
      </w:r>
      <w:r w:rsidR="00CF5FB9" w:rsidRPr="00A37160">
        <w:t>.</w:t>
      </w:r>
    </w:p>
    <w:p w14:paraId="23C096AB" w14:textId="77777777" w:rsidR="00A9632B" w:rsidRPr="00F5490D" w:rsidRDefault="00A9632B" w:rsidP="00E47022">
      <w:pPr>
        <w:pStyle w:val="a7"/>
        <w:numPr>
          <w:ilvl w:val="1"/>
          <w:numId w:val="19"/>
        </w:numPr>
        <w:jc w:val="both"/>
      </w:pPr>
      <w:r>
        <w:t>В случае</w:t>
      </w:r>
      <w:r w:rsidRPr="00A9632B">
        <w:t xml:space="preserve"> </w:t>
      </w:r>
      <w:r>
        <w:t>если контрагент имеет внутренний рейтинг 26</w:t>
      </w:r>
      <w:r w:rsidR="00E47022">
        <w:rPr>
          <w:rStyle w:val="ac"/>
        </w:rPr>
        <w:footnoteReference w:id="14"/>
      </w:r>
      <w:r>
        <w:t>, то</w:t>
      </w:r>
      <w:r w:rsidRPr="00F5490D">
        <w:t xml:space="preserve"> </w:t>
      </w:r>
      <w:r w:rsidRPr="00E47022">
        <w:rPr>
          <w:lang w:val="en-US"/>
        </w:rPr>
        <w:t>CVA</w:t>
      </w:r>
      <w:r w:rsidRPr="00F5490D">
        <w:t xml:space="preserve"> резерв рассчитывается по формуле:</w:t>
      </w:r>
    </w:p>
    <w:p w14:paraId="2E60DAD0" w14:textId="77777777" w:rsidR="00A9632B" w:rsidRPr="00E47022" w:rsidRDefault="00E47022" w:rsidP="00E47022">
      <w:pPr>
        <w:tabs>
          <w:tab w:val="left" w:pos="3160"/>
          <w:tab w:val="center" w:pos="5037"/>
        </w:tabs>
        <w:rPr>
          <w:lang w:val="en-US"/>
        </w:rPr>
      </w:pPr>
      <w:r w:rsidRPr="00351EDD">
        <w:t xml:space="preserve">                                                   </w:t>
      </w:r>
      <w:r w:rsidR="00A9632B" w:rsidRPr="00E47022">
        <w:rPr>
          <w:lang w:val="en-US"/>
        </w:rPr>
        <w:t xml:space="preserve">BCVA = max(MtM ,0) ×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LGD</m:t>
            </m:r>
          </m:e>
          <m:sub>
            <m:r>
              <w:rPr>
                <w:rFonts w:ascii="Cambria Math" w:hAnsi="Cambria Math"/>
                <w:lang w:val="en-US"/>
              </w:rPr>
              <m:t>default</m:t>
            </m:r>
          </m:sub>
        </m:sSub>
      </m:oMath>
    </w:p>
    <w:p w14:paraId="54B73C59" w14:textId="77777777" w:rsidR="00A9632B" w:rsidRDefault="00DA21A1" w:rsidP="00E47022">
      <w:pPr>
        <w:ind w:left="284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LGD</m:t>
            </m:r>
          </m:e>
          <m:sub>
            <m:r>
              <w:rPr>
                <w:rFonts w:ascii="Cambria Math" w:hAnsi="Cambria Math"/>
                <w:lang w:val="en-US"/>
              </w:rPr>
              <m:t>default</m:t>
            </m:r>
          </m:sub>
        </m:sSub>
      </m:oMath>
      <w:r w:rsidR="00A9632B" w:rsidRPr="00F5490D">
        <w:t xml:space="preserve">- уровень потерь при дефолте, который определяется в каждом случае </w:t>
      </w:r>
      <w:r w:rsidR="00A9632B" w:rsidRPr="002C068D">
        <w:t>решением уполномоченн</w:t>
      </w:r>
      <w:r w:rsidR="00112478">
        <w:t>ого</w:t>
      </w:r>
      <w:r w:rsidR="00A9632B" w:rsidRPr="002C068D">
        <w:t xml:space="preserve"> коллегиальн</w:t>
      </w:r>
      <w:r w:rsidR="00112478">
        <w:t>ого</w:t>
      </w:r>
      <w:r w:rsidR="00A9632B" w:rsidRPr="002C068D">
        <w:t xml:space="preserve"> орган</w:t>
      </w:r>
      <w:r w:rsidR="00112478">
        <w:t>а</w:t>
      </w:r>
      <w:r w:rsidR="00A9632B" w:rsidRPr="002C068D">
        <w:t xml:space="preserve"> </w:t>
      </w:r>
      <w:r w:rsidR="00786319">
        <w:t>ПАО Сбербанк.</w:t>
      </w:r>
    </w:p>
    <w:p w14:paraId="1492F38F" w14:textId="77777777" w:rsidR="00E47022" w:rsidRPr="00E47022" w:rsidRDefault="00E47022" w:rsidP="00E47022">
      <w:pPr>
        <w:ind w:left="284"/>
        <w:jc w:val="both"/>
        <w:rPr>
          <w:i/>
        </w:rPr>
      </w:pPr>
      <w:r w:rsidRPr="00E47022">
        <w:rPr>
          <w:lang w:val="en-US"/>
        </w:rPr>
        <w:t>MtM</w:t>
      </w:r>
      <w:r>
        <w:t xml:space="preserve"> -  текущая стоимость.</w:t>
      </w:r>
    </w:p>
    <w:p w14:paraId="64966487" w14:textId="77777777" w:rsidR="00112478" w:rsidRDefault="00112478" w:rsidP="00E47022">
      <w:pPr>
        <w:ind w:left="284"/>
        <w:jc w:val="both"/>
      </w:pPr>
    </w:p>
    <w:p w14:paraId="789B75FE" w14:textId="77777777" w:rsidR="00A9632B" w:rsidRPr="00A53352" w:rsidRDefault="00A9632B" w:rsidP="00E47022">
      <w:pPr>
        <w:ind w:left="284"/>
        <w:jc w:val="both"/>
      </w:pPr>
      <w:r>
        <w:t>До</w:t>
      </w:r>
      <w:r w:rsidRPr="00D30C88">
        <w:t xml:space="preserve"> </w:t>
      </w:r>
      <w:r w:rsidRPr="00EF734F">
        <w:t>принятия решения коллегиальным органом</w:t>
      </w:r>
      <w:r w:rsidRPr="00D30C88">
        <w:t xml:space="preserve"> </w:t>
      </w:r>
      <w:r>
        <w:t xml:space="preserve">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LGD</m:t>
            </m:r>
          </m:e>
          <m:sub>
            <m:r>
              <w:rPr>
                <w:rFonts w:ascii="Cambria Math" w:hAnsi="Cambria Math"/>
                <w:lang w:val="en-US"/>
              </w:rPr>
              <m:t>default</m:t>
            </m:r>
          </m:sub>
        </m:sSub>
      </m:oMath>
      <w:r>
        <w:t xml:space="preserve"> согласно данному пункту</w:t>
      </w:r>
      <w:r w:rsidRPr="00EF734F">
        <w:t xml:space="preserve">, LGD используется согласно </w:t>
      </w:r>
      <w:r>
        <w:t xml:space="preserve">пункту </w:t>
      </w:r>
      <w:r w:rsidR="003D6150" w:rsidRPr="00D05DD2">
        <w:t xml:space="preserve">4.5 </w:t>
      </w:r>
      <w:r w:rsidR="003D6150">
        <w:t>или 4.6 в зависимости от типа залога</w:t>
      </w:r>
      <w:r>
        <w:t xml:space="preserve"> </w:t>
      </w:r>
    </w:p>
    <w:p w14:paraId="7F0A8123" w14:textId="77777777" w:rsidR="00A9632B" w:rsidRPr="00A37160" w:rsidRDefault="00A9632B" w:rsidP="00E47022">
      <w:pPr>
        <w:pStyle w:val="a7"/>
        <w:spacing w:before="120" w:after="120"/>
        <w:ind w:left="0"/>
        <w:jc w:val="both"/>
      </w:pPr>
    </w:p>
    <w:p w14:paraId="51092342" w14:textId="77777777" w:rsidR="001B1EAB" w:rsidRPr="00A37160" w:rsidRDefault="001B1EAB" w:rsidP="00E47022">
      <w:pPr>
        <w:pStyle w:val="a7"/>
        <w:numPr>
          <w:ilvl w:val="1"/>
          <w:numId w:val="19"/>
        </w:numPr>
        <w:autoSpaceDE w:val="0"/>
        <w:autoSpaceDN w:val="0"/>
        <w:spacing w:before="120" w:after="120"/>
        <w:jc w:val="both"/>
      </w:pPr>
      <w:r w:rsidRPr="00A37160">
        <w:t xml:space="preserve">При наличии обеспечения в рамках договора неттинга </w:t>
      </w:r>
      <w:r w:rsidRPr="00A37160">
        <w:rPr>
          <w:lang w:val="en-US"/>
        </w:rPr>
        <w:t>ISDA</w:t>
      </w:r>
      <w:r w:rsidRPr="00A37160">
        <w:t xml:space="preserve"> </w:t>
      </w:r>
      <w:r w:rsidR="00D37F01" w:rsidRPr="00A37160">
        <w:rPr>
          <w:lang w:val="en-US"/>
        </w:rPr>
        <w:t>C</w:t>
      </w:r>
      <w:r w:rsidR="00D37F01">
        <w:rPr>
          <w:lang w:val="en-US"/>
        </w:rPr>
        <w:t>S</w:t>
      </w:r>
      <w:r w:rsidR="00D37F01" w:rsidRPr="00A37160">
        <w:rPr>
          <w:lang w:val="en-US"/>
        </w:rPr>
        <w:t>A</w:t>
      </w:r>
      <w:r w:rsidR="006E7350">
        <w:rPr>
          <w:rStyle w:val="ac"/>
          <w:lang w:val="en-US"/>
        </w:rPr>
        <w:footnoteReference w:id="15"/>
      </w:r>
      <w:r w:rsidR="00B545F7" w:rsidRPr="00A37160">
        <w:t xml:space="preserve"> </w:t>
      </w:r>
      <w:r w:rsidRPr="00A37160">
        <w:t xml:space="preserve">величина, подверженная кредитному риску, уменьшается на размер обеспечения. Таким образом, значения </w:t>
      </w:r>
      <w:r w:rsidRPr="00A37160">
        <w:rPr>
          <w:lang w:val="en-US"/>
        </w:rPr>
        <w:t>EPE</w:t>
      </w:r>
      <w:r w:rsidRPr="00A37160">
        <w:t xml:space="preserve"> и </w:t>
      </w:r>
      <w:r w:rsidRPr="00A37160">
        <w:rPr>
          <w:lang w:val="en-US"/>
        </w:rPr>
        <w:t>ENE</w:t>
      </w:r>
      <w:r w:rsidRPr="00A37160">
        <w:t xml:space="preserve"> рассчитываются как:</w:t>
      </w:r>
    </w:p>
    <w:p w14:paraId="669A8B71" w14:textId="77777777" w:rsidR="001B1EAB" w:rsidRPr="00A37160" w:rsidRDefault="001B1EAB" w:rsidP="001B1EAB">
      <w:pPr>
        <w:autoSpaceDE w:val="0"/>
        <w:autoSpaceDN w:val="0"/>
        <w:spacing w:after="240"/>
        <w:ind w:left="1701"/>
        <w:jc w:val="both"/>
      </w:pPr>
      <m:oMath>
        <m:r>
          <w:rPr>
            <w:rFonts w:ascii="Cambria Math" w:hAnsi="Cambria Math"/>
            <w:lang w:val="en-US"/>
          </w:rPr>
          <w:lastRenderedPageBreak/>
          <m:t>EPE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Q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,0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Pr="00A37160">
        <w:tab/>
      </w:r>
      <w:r w:rsidRPr="00A37160">
        <w:tab/>
      </w:r>
      <w:r w:rsidRPr="00A37160">
        <w:tab/>
      </w:r>
      <w:r w:rsidRPr="00A37160">
        <w:tab/>
      </w:r>
      <w:r w:rsidRPr="00A37160">
        <w:tab/>
        <w:t xml:space="preserve">         </w:t>
      </w:r>
    </w:p>
    <w:p w14:paraId="51E4608A" w14:textId="77777777" w:rsidR="001B1EAB" w:rsidRPr="00A37160" w:rsidRDefault="001B1EAB" w:rsidP="001B1EAB">
      <w:pPr>
        <w:autoSpaceDE w:val="0"/>
        <w:autoSpaceDN w:val="0"/>
        <w:spacing w:after="240"/>
        <w:ind w:left="1701"/>
        <w:jc w:val="both"/>
      </w:pPr>
      <m:oMath>
        <m:r>
          <w:rPr>
            <w:rFonts w:ascii="Cambria Math" w:hAnsi="Cambria Math"/>
            <w:lang w:val="en-US"/>
          </w:rPr>
          <m:t>ENE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Q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,0</m:t>
                </m:r>
              </m:e>
            </m:d>
          </m:e>
        </m:func>
      </m:oMath>
      <w:r w:rsidRPr="00A37160">
        <w:t>)</w:t>
      </w:r>
      <w:r w:rsidRPr="00A37160">
        <w:tab/>
      </w:r>
      <w:r w:rsidRPr="00A37160">
        <w:tab/>
      </w:r>
      <w:r w:rsidRPr="00A37160">
        <w:tab/>
      </w:r>
      <w:r w:rsidRPr="00A37160">
        <w:tab/>
      </w:r>
      <w:r w:rsidRPr="00A37160">
        <w:tab/>
        <w:t xml:space="preserve">         </w:t>
      </w:r>
    </w:p>
    <w:p w14:paraId="41587CF4" w14:textId="77777777" w:rsidR="001B1EAB" w:rsidRPr="00A37160" w:rsidRDefault="001B1EAB" w:rsidP="008A0996">
      <w:pPr>
        <w:tabs>
          <w:tab w:val="left" w:pos="8140"/>
        </w:tabs>
        <w:spacing w:after="120"/>
        <w:ind w:firstLine="1134"/>
        <w:jc w:val="both"/>
      </w:pPr>
      <w:r w:rsidRPr="00A37160">
        <w:t xml:space="preserve">где </w:t>
      </w:r>
      <w:r w:rsidR="008A0996" w:rsidRPr="00A37160">
        <w:tab/>
      </w:r>
    </w:p>
    <w:p w14:paraId="7ABE68EA" w14:textId="77777777" w:rsidR="001B1EAB" w:rsidRPr="00351EDD" w:rsidRDefault="001B1EAB" w:rsidP="001B1EAB">
      <w:pPr>
        <w:spacing w:after="120"/>
        <w:ind w:left="1134"/>
        <w:jc w:val="both"/>
      </w:pPr>
      <m:oMath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Pr="00A37160">
        <w:t xml:space="preserve"> – размер обеспечения на момент наступления события дефолта.</w:t>
      </w:r>
    </w:p>
    <w:p w14:paraId="75CBD5C3" w14:textId="77777777" w:rsidR="00483B39" w:rsidRPr="00483B39" w:rsidRDefault="00E47022" w:rsidP="00483B39">
      <w:pPr>
        <w:spacing w:after="120"/>
        <w:jc w:val="both"/>
      </w:pPr>
      <w:r>
        <w:t xml:space="preserve">       </w:t>
      </w:r>
      <w:r w:rsidR="00483B39">
        <w:t xml:space="preserve">При этом </w:t>
      </w:r>
      <w:r w:rsidR="00483B39">
        <w:rPr>
          <w:lang w:val="en-US"/>
        </w:rPr>
        <w:t>LGD</w:t>
      </w:r>
      <w:r w:rsidR="00483B39" w:rsidRPr="00483B39">
        <w:t xml:space="preserve"> </w:t>
      </w:r>
      <w:r w:rsidR="00483B39">
        <w:t xml:space="preserve"> для расчета </w:t>
      </w:r>
      <w:r w:rsidR="00483B39">
        <w:rPr>
          <w:lang w:val="en-US"/>
        </w:rPr>
        <w:t>CVA</w:t>
      </w:r>
      <w:r w:rsidR="00483B39" w:rsidRPr="00483B39">
        <w:t xml:space="preserve"> </w:t>
      </w:r>
      <w:r w:rsidR="00483B39">
        <w:t xml:space="preserve"> необходимо брать без учета обеспечения. </w:t>
      </w:r>
    </w:p>
    <w:p w14:paraId="27D48451" w14:textId="77777777" w:rsidR="001B1EAB" w:rsidRDefault="001B1EAB" w:rsidP="00E47022">
      <w:pPr>
        <w:pStyle w:val="a7"/>
        <w:numPr>
          <w:ilvl w:val="1"/>
          <w:numId w:val="19"/>
        </w:numPr>
        <w:autoSpaceDE w:val="0"/>
        <w:autoSpaceDN w:val="0"/>
        <w:spacing w:before="120" w:after="120"/>
        <w:jc w:val="both"/>
      </w:pPr>
      <w:r w:rsidRPr="00A37160">
        <w:t xml:space="preserve">Соответственно, приведенная ожидаемая стоимость величины, подверженной кредитному риску (т.е. </w:t>
      </w:r>
      <w:r w:rsidRPr="00E47022">
        <w:rPr>
          <w:i/>
          <w:lang w:val="en-US"/>
        </w:rPr>
        <w:t>epe</w:t>
      </w:r>
      <w:r w:rsidRPr="00A37160">
        <w:t xml:space="preserve"> и </w:t>
      </w:r>
      <w:r w:rsidRPr="00E47022">
        <w:rPr>
          <w:i/>
          <w:lang w:val="en-US"/>
        </w:rPr>
        <w:t>ene</w:t>
      </w:r>
      <w:r w:rsidRPr="00A37160">
        <w:t>) в формулах (2) и (3) должна принимать во внимание уровень обеспечения.</w:t>
      </w:r>
    </w:p>
    <w:p w14:paraId="1EE4CF40" w14:textId="77777777" w:rsidR="00182177" w:rsidRPr="00A37160" w:rsidRDefault="00182177" w:rsidP="00E47022">
      <w:pPr>
        <w:pStyle w:val="a7"/>
        <w:numPr>
          <w:ilvl w:val="1"/>
          <w:numId w:val="19"/>
        </w:numPr>
        <w:autoSpaceDE w:val="0"/>
        <w:autoSpaceDN w:val="0"/>
        <w:spacing w:before="120" w:after="120"/>
        <w:jc w:val="both"/>
      </w:pPr>
      <w:r>
        <w:t>При отсутствии обеспечения или если  обеспечение  учитывается согласно пункту 4.</w:t>
      </w:r>
      <w:r w:rsidR="00D05DD2" w:rsidRPr="00D55DFD">
        <w:t>2</w:t>
      </w:r>
      <w:r>
        <w:t xml:space="preserve">, используется  </w:t>
      </w:r>
      <w:r>
        <w:rPr>
          <w:lang w:val="en-US"/>
        </w:rPr>
        <w:t>LGD</w:t>
      </w:r>
      <w:r w:rsidRPr="0059028C">
        <w:t xml:space="preserve"> </w:t>
      </w:r>
      <w:r w:rsidRPr="00182177">
        <w:t xml:space="preserve"> </w:t>
      </w:r>
      <w:r>
        <w:t>согласно пункту 2.3.3.</w:t>
      </w:r>
    </w:p>
    <w:p w14:paraId="4AEF8A17" w14:textId="77777777" w:rsidR="00B545F7" w:rsidRPr="00A37160" w:rsidRDefault="00B545F7" w:rsidP="00E47022">
      <w:pPr>
        <w:pStyle w:val="a7"/>
        <w:numPr>
          <w:ilvl w:val="1"/>
          <w:numId w:val="19"/>
        </w:numPr>
        <w:spacing w:after="200" w:line="276" w:lineRule="auto"/>
      </w:pPr>
      <w:r w:rsidRPr="00A37160">
        <w:t xml:space="preserve">При наличии обеспечения не в рамках договора </w:t>
      </w:r>
      <w:r w:rsidRPr="00A37160">
        <w:rPr>
          <w:lang w:val="en-US"/>
        </w:rPr>
        <w:t>ISDA</w:t>
      </w:r>
      <w:r w:rsidRPr="00A37160">
        <w:t xml:space="preserve"> </w:t>
      </w:r>
      <w:r w:rsidR="00D37F01" w:rsidRPr="00A37160">
        <w:rPr>
          <w:lang w:val="en-US"/>
        </w:rPr>
        <w:t>C</w:t>
      </w:r>
      <w:r w:rsidR="00D37F01">
        <w:rPr>
          <w:lang w:val="en-US"/>
        </w:rPr>
        <w:t>S</w:t>
      </w:r>
      <w:r w:rsidR="00D37F01" w:rsidRPr="00A37160">
        <w:rPr>
          <w:lang w:val="en-US"/>
        </w:rPr>
        <w:t>A</w:t>
      </w:r>
      <w:r w:rsidR="00D37F01">
        <w:t xml:space="preserve"> </w:t>
      </w:r>
      <w:r w:rsidR="00E77A2F">
        <w:t>и если обеспечение не учитывается согласно пункту 2.3.3.</w:t>
      </w:r>
      <w:r w:rsidRPr="00A37160">
        <w:t xml:space="preserve"> </w:t>
      </w:r>
      <w:r w:rsidR="008D5876" w:rsidRPr="00A37160">
        <w:t xml:space="preserve">рассчитывается </w:t>
      </w:r>
      <w:r w:rsidR="005D5ED9">
        <w:t xml:space="preserve">по </w:t>
      </w:r>
      <w:r w:rsidR="008D5876" w:rsidRPr="00BF5349">
        <w:t>формул</w:t>
      </w:r>
      <w:r w:rsidR="005D5ED9">
        <w:t>е</w:t>
      </w:r>
      <w:r w:rsidR="008D5876" w:rsidRPr="00BF5349">
        <w:t xml:space="preserve"> (2.1)</w:t>
      </w:r>
      <w:r w:rsidR="008D5876">
        <w:t>, а именно</w:t>
      </w:r>
      <w:r w:rsidR="008D5876" w:rsidRPr="001929F4">
        <w:t xml:space="preserve">: </w:t>
      </w:r>
    </w:p>
    <w:p w14:paraId="629164E7" w14:textId="77777777" w:rsidR="00B545F7" w:rsidRPr="00A37160" w:rsidRDefault="00B545F7" w:rsidP="00B545F7">
      <w:pPr>
        <w:pStyle w:val="a7"/>
        <w:spacing w:after="200" w:line="276" w:lineRule="auto"/>
        <w:ind w:left="360"/>
      </w:pPr>
      <m:oMathPara>
        <m:oMath>
          <m:r>
            <w:rPr>
              <w:rFonts w:ascii="Cambria Math" w:hAnsi="Cambria Math"/>
              <w:lang w:val="en-US"/>
            </w:rPr>
            <m:t>CVA=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lang w:val="en-US"/>
                </w:rPr>
                <m:t>epe(t)p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14:paraId="7ED8D5DE" w14:textId="77777777" w:rsidR="001B1EAB" w:rsidRDefault="001B1EAB" w:rsidP="00B545F7">
      <w:pPr>
        <w:pStyle w:val="a7"/>
        <w:spacing w:after="200" w:line="276" w:lineRule="auto"/>
        <w:ind w:left="360"/>
      </w:pPr>
      <w:r w:rsidRPr="00A37160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sub>
        </m:sSub>
      </m:oMath>
      <w:r w:rsidRPr="00A37160">
        <w:t xml:space="preserve"> - величина возмещения recovery rate по сделкам в рамках договора обеспечения,</w:t>
      </w:r>
      <w:r w:rsidR="00A30756" w:rsidRPr="00A37160">
        <w:t xml:space="preserve"> </w:t>
      </w:r>
      <w:r w:rsidRPr="00A37160">
        <w:t xml:space="preserve"> далее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1- 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v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LGD</m:t>
            </m:r>
          </m:e>
          <m:sub>
            <m:r>
              <w:rPr>
                <w:rFonts w:ascii="Cambria Math" w:hAnsi="Cambria Math"/>
                <w:lang w:val="en-US"/>
              </w:rPr>
              <m:t>collateral</m:t>
            </m:r>
          </m:sub>
        </m:sSub>
      </m:oMath>
      <w:r w:rsidR="001064C8">
        <w:t>.</w:t>
      </w:r>
    </w:p>
    <w:p w14:paraId="5F91B1B0" w14:textId="77777777" w:rsidR="00182177" w:rsidRPr="0059028C" w:rsidRDefault="00DA21A1" w:rsidP="00182177">
      <w:pPr>
        <w:pStyle w:val="a7"/>
        <w:spacing w:after="200" w:line="276" w:lineRule="auto"/>
        <w:ind w:left="36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LGD</m:t>
              </m:r>
            </m:e>
            <m:sub>
              <m:r>
                <w:rPr>
                  <w:rFonts w:ascii="Cambria Math" w:hAnsi="Cambria Math"/>
                  <w:lang w:val="en-US"/>
                </w:rPr>
                <m:t>collateral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LGD</m:t>
              </m:r>
            </m:e>
            <m:sub>
              <m:r>
                <w:rPr>
                  <w:rFonts w:ascii="Cambria Math" w:hAnsi="Cambria Math"/>
                  <w:lang w:val="en-US"/>
                </w:rPr>
                <m:t>market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LGD</m:t>
              </m:r>
              <m:r>
                <w:rPr>
                  <w:rFonts w:ascii="Cambria Math" w:hAnsi="Cambria Math"/>
                  <w:lang w:val="en-US"/>
                </w:rPr>
                <m:t>internal</m:t>
              </m:r>
            </m:e>
            <m:sub>
              <m:r>
                <w:rPr>
                  <w:rFonts w:ascii="Cambria Math" w:hAnsi="Cambria Math"/>
                  <w:lang w:val="en-US"/>
                </w:rPr>
                <m:t>uncollateral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+LGDinternal</m:t>
              </m:r>
            </m:e>
            <m:sub>
              <m:r>
                <w:rPr>
                  <w:rFonts w:ascii="Cambria Math" w:hAnsi="Cambria Math"/>
                  <w:lang w:val="en-US"/>
                </w:rPr>
                <m:t>collateral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735A9981" w14:textId="77777777" w:rsidR="00182177" w:rsidRPr="001064C8" w:rsidRDefault="00DA21A1" w:rsidP="00182177">
      <w:pPr>
        <w:pStyle w:val="a7"/>
        <w:spacing w:after="200" w:line="276" w:lineRule="auto"/>
        <w:ind w:left="360"/>
        <w:rPr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LGD</m:t>
            </m:r>
          </m:e>
          <m:sub>
            <m:r>
              <w:rPr>
                <w:rFonts w:ascii="Cambria Math" w:hAnsi="Cambria Math"/>
                <w:lang w:val="en-US"/>
              </w:rPr>
              <m:t>market</m:t>
            </m:r>
          </m:sub>
        </m:sSub>
        <m:r>
          <w:rPr>
            <w:rFonts w:ascii="Cambria Math" w:hAnsi="Cambria Math"/>
          </w:rPr>
          <m:t xml:space="preserve">-  </m:t>
        </m:r>
      </m:oMath>
      <w:r w:rsidR="00182177" w:rsidRPr="00A37160">
        <w:rPr>
          <w:lang w:val="en-US"/>
        </w:rPr>
        <w:t>recovery</w:t>
      </w:r>
      <w:r w:rsidR="00182177" w:rsidRPr="00A37160">
        <w:t xml:space="preserve"> </w:t>
      </w:r>
      <w:r w:rsidR="00182177" w:rsidRPr="00A37160">
        <w:rPr>
          <w:lang w:val="en-US"/>
        </w:rPr>
        <w:t>rate</w:t>
      </w:r>
      <w:r w:rsidR="00182177" w:rsidRPr="00A37160">
        <w:t xml:space="preserve"> для </w:t>
      </w:r>
      <w:r w:rsidR="00182177" w:rsidRPr="00A37160">
        <w:rPr>
          <w:lang w:val="en-US"/>
        </w:rPr>
        <w:t>CDS</w:t>
      </w:r>
      <w:r w:rsidR="00CF5304">
        <w:t xml:space="preserve"> на контрагента</w:t>
      </w:r>
      <w:r w:rsidR="00182177" w:rsidRPr="00A37160">
        <w:t xml:space="preserve">, определяемая как процент от номинала по </w:t>
      </w:r>
      <w:r w:rsidR="00182177" w:rsidRPr="00A37160">
        <w:rPr>
          <w:lang w:val="en-US"/>
        </w:rPr>
        <w:t>CDS</w:t>
      </w:r>
      <w:r w:rsidR="00D740C9">
        <w:t>, согласно пункту 2.3.3.</w:t>
      </w:r>
    </w:p>
    <w:p w14:paraId="75BFF1A1" w14:textId="77777777" w:rsidR="00182177" w:rsidRDefault="00DA21A1" w:rsidP="00B545F7">
      <w:pPr>
        <w:pStyle w:val="a7"/>
        <w:spacing w:after="200" w:line="276" w:lineRule="auto"/>
        <w:ind w:left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LGDinternal</m:t>
            </m:r>
          </m:e>
          <m:sub>
            <m:r>
              <w:rPr>
                <w:rFonts w:ascii="Cambria Math" w:hAnsi="Cambria Math"/>
                <w:lang w:val="en-US"/>
              </w:rPr>
              <m:t>uncollateral</m:t>
            </m:r>
          </m:sub>
        </m:sSub>
      </m:oMath>
      <w:r w:rsidR="00182177" w:rsidRPr="0059028C">
        <w:rPr>
          <w:i/>
        </w:rPr>
        <w:t xml:space="preserve"> -  </w:t>
      </w:r>
      <w:r w:rsidR="00182177" w:rsidRPr="00A37160">
        <w:t>определяется согласно</w:t>
      </w:r>
      <w:r w:rsidR="001064C8">
        <w:t xml:space="preserve">  </w:t>
      </w:r>
      <w:r w:rsidR="00182177" w:rsidRPr="00A37160">
        <w:t xml:space="preserve"> методики </w:t>
      </w:r>
      <w:r w:rsidR="00182177" w:rsidRPr="00483B39">
        <w:t>/</w:t>
      </w:r>
      <w:r w:rsidR="00DB5088">
        <w:t>1</w:t>
      </w:r>
      <w:r w:rsidR="00182177" w:rsidRPr="00483B39">
        <w:t xml:space="preserve">/ </w:t>
      </w:r>
      <w:r w:rsidR="00182177">
        <w:t xml:space="preserve">или </w:t>
      </w:r>
      <w:r w:rsidR="00182177" w:rsidRPr="00483B39">
        <w:t>/</w:t>
      </w:r>
      <w:r w:rsidR="00DB5088">
        <w:t>2</w:t>
      </w:r>
      <w:r w:rsidR="00182177" w:rsidRPr="00483B39">
        <w:t>/</w:t>
      </w:r>
      <w:r w:rsidR="00182177">
        <w:t xml:space="preserve">, </w:t>
      </w:r>
      <w:r w:rsidR="001064C8">
        <w:t xml:space="preserve">и </w:t>
      </w:r>
      <w:r w:rsidR="00E77A2F">
        <w:t>рассчитанное</w:t>
      </w:r>
      <w:r w:rsidR="00182177">
        <w:t xml:space="preserve"> без учета </w:t>
      </w:r>
      <w:r w:rsidR="001064C8">
        <w:t>обеспечения по договору.</w:t>
      </w:r>
    </w:p>
    <w:p w14:paraId="5FA5B2C9" w14:textId="77777777" w:rsidR="001064C8" w:rsidRPr="00D37F01" w:rsidRDefault="00DA21A1" w:rsidP="007B0C0A">
      <w:pPr>
        <w:pStyle w:val="a7"/>
        <w:spacing w:after="200" w:line="276" w:lineRule="auto"/>
        <w:ind w:left="36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LGDinternal</m:t>
            </m:r>
          </m:e>
          <m:sub>
            <m:r>
              <w:rPr>
                <w:rFonts w:ascii="Cambria Math" w:hAnsi="Cambria Math"/>
                <w:lang w:val="en-US"/>
              </w:rPr>
              <m:t>collateral</m:t>
            </m:r>
          </m:sub>
        </m:sSub>
      </m:oMath>
      <w:r w:rsidR="00182177">
        <w:rPr>
          <w:i/>
        </w:rPr>
        <w:t xml:space="preserve"> </w:t>
      </w:r>
      <w:r w:rsidR="00182177" w:rsidRPr="009A18DA">
        <w:rPr>
          <w:i/>
        </w:rPr>
        <w:t xml:space="preserve">-  </w:t>
      </w:r>
      <w:r w:rsidR="00182177" w:rsidRPr="00A37160">
        <w:t xml:space="preserve">определяется согласно  методики </w:t>
      </w:r>
      <w:r w:rsidR="00182177" w:rsidRPr="00483B39">
        <w:t>/</w:t>
      </w:r>
      <w:r w:rsidR="00DB5088">
        <w:t>1</w:t>
      </w:r>
      <w:r w:rsidR="00182177" w:rsidRPr="00483B39">
        <w:t xml:space="preserve">/ </w:t>
      </w:r>
      <w:r w:rsidR="00182177">
        <w:t xml:space="preserve">или </w:t>
      </w:r>
      <w:r w:rsidR="00182177" w:rsidRPr="00483B39">
        <w:t>/</w:t>
      </w:r>
      <w:r w:rsidR="00DB5088">
        <w:t>2</w:t>
      </w:r>
      <w:r w:rsidR="00182177" w:rsidRPr="00483B39">
        <w:t>/</w:t>
      </w:r>
      <w:r w:rsidR="00182177">
        <w:t xml:space="preserve">, </w:t>
      </w:r>
      <w:r w:rsidR="00E77A2F">
        <w:t>рассчитанное</w:t>
      </w:r>
      <w:r w:rsidR="00182177">
        <w:t xml:space="preserve"> с учетом обеспечения</w:t>
      </w:r>
      <w:r w:rsidR="001064C8">
        <w:t xml:space="preserve"> по договору.</w:t>
      </w:r>
    </w:p>
    <w:p w14:paraId="72C8A840" w14:textId="77777777" w:rsidR="00FB1475" w:rsidRPr="00D05DD2" w:rsidRDefault="00DA21A1" w:rsidP="007B0C0A">
      <w:pPr>
        <w:pStyle w:val="a7"/>
        <w:spacing w:after="200" w:line="276" w:lineRule="auto"/>
        <w:ind w:left="360"/>
        <w:jc w:val="both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LGDinternal</m:t>
            </m:r>
          </m:e>
          <m:sub>
            <m:r>
              <w:rPr>
                <w:rFonts w:ascii="Cambria Math" w:hAnsi="Cambria Math"/>
                <w:lang w:val="en-US"/>
              </w:rPr>
              <m:t>collateral</m:t>
            </m:r>
          </m:sub>
        </m:sSub>
      </m:oMath>
      <w:r w:rsidR="00B545F7" w:rsidRPr="00A37160">
        <w:t xml:space="preserve"> </w:t>
      </w:r>
      <w:r w:rsidR="00182177"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LGDinternal</m:t>
            </m:r>
          </m:e>
          <m:sub>
            <m:r>
              <w:rPr>
                <w:rFonts w:ascii="Cambria Math" w:hAnsi="Cambria Math"/>
                <w:lang w:val="en-US"/>
              </w:rPr>
              <m:t>uncollateral</m:t>
            </m:r>
          </m:sub>
        </m:sSub>
      </m:oMath>
      <w:r w:rsidR="00B545F7" w:rsidRPr="00A37160">
        <w:t xml:space="preserve">- определяется согласно  методики </w:t>
      </w:r>
      <w:r w:rsidR="00483B39" w:rsidRPr="00483B39">
        <w:t>/</w:t>
      </w:r>
      <w:r w:rsidR="00DB5088">
        <w:t>1</w:t>
      </w:r>
      <w:r w:rsidR="00483B39" w:rsidRPr="00483B39">
        <w:t xml:space="preserve">/ </w:t>
      </w:r>
      <w:r w:rsidR="00483B39">
        <w:t xml:space="preserve">или </w:t>
      </w:r>
      <w:r w:rsidR="00483B39" w:rsidRPr="00483B39">
        <w:t>/</w:t>
      </w:r>
      <w:r w:rsidR="00DB5088">
        <w:t>2</w:t>
      </w:r>
      <w:r w:rsidR="00483B39" w:rsidRPr="00483B39">
        <w:t>/</w:t>
      </w:r>
      <w:r w:rsidR="00B545F7" w:rsidRPr="00A37160">
        <w:rPr>
          <w:rStyle w:val="ac"/>
        </w:rPr>
        <w:footnoteReference w:id="16"/>
      </w:r>
      <w:r w:rsidR="00483B39">
        <w:t xml:space="preserve"> согласно их области применения</w:t>
      </w:r>
      <w:r w:rsidR="00B545F7" w:rsidRPr="00A37160">
        <w:t>. При этом в качестве стоимости под риском дефолта (</w:t>
      </w:r>
      <w:r w:rsidR="00B665D3" w:rsidRPr="00A37160">
        <w:rPr>
          <w:lang w:val="en-US"/>
        </w:rPr>
        <w:t>E</w:t>
      </w:r>
      <w:r w:rsidR="00B665D3">
        <w:rPr>
          <w:lang w:val="en-US"/>
        </w:rPr>
        <w:t>A</w:t>
      </w:r>
      <w:r w:rsidR="00B665D3" w:rsidRPr="00A37160">
        <w:rPr>
          <w:lang w:val="en-US"/>
        </w:rPr>
        <w:t>D</w:t>
      </w:r>
      <w:r w:rsidR="00B545F7" w:rsidRPr="00A37160">
        <w:t xml:space="preserve">)  для расчета </w:t>
      </w:r>
      <w:r w:rsidR="00B545F7" w:rsidRPr="00A37160">
        <w:rPr>
          <w:lang w:val="en-US"/>
        </w:rPr>
        <w:t>LGD</w:t>
      </w:r>
      <w:r w:rsidR="00B545F7" w:rsidRPr="00A37160">
        <w:t xml:space="preserve"> для  деривативных сделок</w:t>
      </w:r>
      <w:r w:rsidR="00B545F7" w:rsidRPr="00A37160">
        <w:rPr>
          <w:b/>
        </w:rPr>
        <w:t xml:space="preserve"> </w:t>
      </w:r>
      <w:r w:rsidR="00B545F7" w:rsidRPr="00A37160">
        <w:t xml:space="preserve"> принимается </w:t>
      </w:r>
      <w:r w:rsidR="00B545F7" w:rsidRPr="00A37160">
        <w:rPr>
          <w:lang w:val="en-US"/>
        </w:rPr>
        <w:t>PFE</w:t>
      </w:r>
      <w:r w:rsidR="00B545F7" w:rsidRPr="00A37160">
        <w:t xml:space="preserve"> сделок заключенных в рамках договора обеспечения .  В случае, если  стоимость сделок, входящих в договор </w:t>
      </w:r>
      <w:r w:rsidR="00B545F7" w:rsidRPr="00D05DD2">
        <w:rPr>
          <w:color w:val="000000" w:themeColor="text1"/>
        </w:rPr>
        <w:t xml:space="preserve">превышает рассчитанный </w:t>
      </w:r>
      <w:r w:rsidR="00B545F7" w:rsidRPr="00D05DD2">
        <w:rPr>
          <w:color w:val="000000" w:themeColor="text1"/>
          <w:lang w:val="en-US"/>
        </w:rPr>
        <w:t>PFE</w:t>
      </w:r>
      <w:r w:rsidR="00B545F7" w:rsidRPr="00D05DD2">
        <w:rPr>
          <w:color w:val="000000" w:themeColor="text1"/>
        </w:rPr>
        <w:t xml:space="preserve">,  необходимо провести  перерасчет </w:t>
      </w:r>
      <w:r w:rsidR="00B545F7" w:rsidRPr="00D05DD2">
        <w:rPr>
          <w:color w:val="000000" w:themeColor="text1"/>
          <w:lang w:val="en-US"/>
        </w:rPr>
        <w:t>PFE</w:t>
      </w:r>
      <w:r w:rsidR="00B545F7" w:rsidRPr="00D05DD2">
        <w:rPr>
          <w:color w:val="000000" w:themeColor="text1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LGD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collateral</m:t>
            </m:r>
          </m:sub>
        </m:sSub>
      </m:oMath>
      <w:r w:rsidR="00B545F7" w:rsidRPr="00D05DD2">
        <w:rPr>
          <w:color w:val="000000" w:themeColor="text1"/>
        </w:rPr>
        <w:t>.</w:t>
      </w:r>
      <w:r w:rsidR="00E14B7B" w:rsidRPr="00D05DD2">
        <w:rPr>
          <w:color w:val="000000" w:themeColor="text1"/>
        </w:rPr>
        <w:t xml:space="preserve"> </w:t>
      </w:r>
      <w:r w:rsidR="00481DFF" w:rsidRPr="00D05DD2">
        <w:rPr>
          <w:color w:val="000000" w:themeColor="text1"/>
        </w:rPr>
        <w:t xml:space="preserve">В отдельных случаях, для сделок со сложной структурой,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LGD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collateral</m:t>
            </m:r>
          </m:sub>
        </m:sSub>
      </m:oMath>
      <w:r w:rsidR="00481DFF" w:rsidRPr="00D05DD2">
        <w:rPr>
          <w:color w:val="000000" w:themeColor="text1"/>
        </w:rPr>
        <w:t xml:space="preserve"> может определяться </w:t>
      </w:r>
      <w:r w:rsidR="00227E12" w:rsidRPr="00D05DD2">
        <w:rPr>
          <w:color w:val="000000" w:themeColor="text1"/>
        </w:rPr>
        <w:t xml:space="preserve">отдельным решением подразделений, </w:t>
      </w:r>
      <w:r w:rsidR="00481DFF" w:rsidRPr="00D05DD2">
        <w:rPr>
          <w:color w:val="000000" w:themeColor="text1"/>
        </w:rPr>
        <w:t xml:space="preserve"> </w:t>
      </w:r>
      <w:r w:rsidR="00227E12" w:rsidRPr="00D05DD2">
        <w:rPr>
          <w:color w:val="000000" w:themeColor="text1"/>
        </w:rPr>
        <w:t>указанных в  пункте</w:t>
      </w:r>
      <w:r w:rsidR="00481DFF" w:rsidRPr="00D05DD2">
        <w:rPr>
          <w:color w:val="000000" w:themeColor="text1"/>
        </w:rPr>
        <w:t xml:space="preserve"> </w:t>
      </w:r>
      <w:r w:rsidR="00227E12" w:rsidRPr="00D05DD2">
        <w:rPr>
          <w:color w:val="000000" w:themeColor="text1"/>
        </w:rPr>
        <w:t>5</w:t>
      </w:r>
      <w:r w:rsidR="00481DFF" w:rsidRPr="00D05DD2">
        <w:rPr>
          <w:color w:val="000000" w:themeColor="text1"/>
        </w:rPr>
        <w:t xml:space="preserve">.2. </w:t>
      </w:r>
    </w:p>
    <w:p w14:paraId="16EB9A49" w14:textId="77777777" w:rsidR="00E14B7B" w:rsidRPr="001929F4" w:rsidRDefault="00E14B7B" w:rsidP="00E14B7B">
      <w:pPr>
        <w:pStyle w:val="a7"/>
        <w:spacing w:after="200" w:line="276" w:lineRule="auto"/>
        <w:ind w:left="360"/>
        <w:jc w:val="both"/>
        <w:rPr>
          <w:color w:val="000000" w:themeColor="text1"/>
        </w:rPr>
      </w:pPr>
      <w:r w:rsidRPr="001929F4">
        <w:t xml:space="preserve">4.6 </w:t>
      </w:r>
      <w:r>
        <w:t xml:space="preserve">Согласно пункту 2.1.3 показатель </w:t>
      </w:r>
      <w:r>
        <w:rPr>
          <w:lang w:val="en-US"/>
        </w:rPr>
        <w:t>CVA</w:t>
      </w:r>
      <w:r w:rsidRPr="001929F4">
        <w:t xml:space="preserve"> </w:t>
      </w:r>
      <w:r>
        <w:t xml:space="preserve"> является портфельной величиной и должен рассчитываться на портфельном уровне в разрезе договоров обеспечения</w:t>
      </w:r>
      <w:r w:rsidRPr="001929F4">
        <w:t>/</w:t>
      </w:r>
      <w:r>
        <w:t xml:space="preserve">договоров неттинга </w:t>
      </w:r>
      <w:r>
        <w:rPr>
          <w:lang w:val="en-US"/>
        </w:rPr>
        <w:t>ISDA</w:t>
      </w:r>
      <w:r w:rsidRPr="001929F4">
        <w:t xml:space="preserve">. </w:t>
      </w:r>
      <w:r>
        <w:t>Показатель</w:t>
      </w:r>
      <w:r w:rsidRPr="001929F4">
        <w:t xml:space="preserve"> </w:t>
      </w:r>
      <w:r w:rsidR="001453D3">
        <w:rPr>
          <w:lang w:val="en-US"/>
        </w:rPr>
        <w:t>CVA</w:t>
      </w:r>
      <w:r w:rsidR="001453D3" w:rsidRPr="001929F4">
        <w:t xml:space="preserve"> </w:t>
      </w:r>
      <w:r w:rsidR="001453D3">
        <w:t xml:space="preserve"> не аддитвная величина, то есть </w:t>
      </w:r>
      <w:r w:rsidR="001453D3">
        <w:rPr>
          <w:lang w:val="en-US"/>
        </w:rPr>
        <w:t>CVA</w:t>
      </w:r>
      <w:r w:rsidR="001453D3" w:rsidRPr="001929F4">
        <w:t xml:space="preserve"> </w:t>
      </w:r>
      <w:r w:rsidR="001453D3">
        <w:t xml:space="preserve">на портфель </w:t>
      </w:r>
      <w:r w:rsidR="001453D3">
        <w:lastRenderedPageBreak/>
        <w:t xml:space="preserve">сделок в общем случае не равен сумме </w:t>
      </w:r>
      <w:r w:rsidR="001453D3">
        <w:rPr>
          <w:lang w:val="en-US"/>
        </w:rPr>
        <w:t>CVA</w:t>
      </w:r>
      <w:r w:rsidR="001453D3">
        <w:t xml:space="preserve"> по сделкам. При необходимости разделения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CVA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  <m:r>
              <w:rPr>
                <w:rFonts w:ascii="Cambria Math" w:hAnsi="Cambria Math"/>
                <w:color w:val="000000" w:themeColor="text1"/>
              </w:rPr>
              <m:t>etting_set</m:t>
            </m:r>
          </m:sub>
        </m:sSub>
      </m:oMath>
      <w:r w:rsidR="00421890" w:rsidRPr="001929F4">
        <w:rPr>
          <w:color w:val="000000" w:themeColor="text1"/>
        </w:rPr>
        <w:t xml:space="preserve"> , который рассчитан </w:t>
      </w:r>
      <w:r w:rsidR="001453D3" w:rsidRPr="001929F4">
        <w:rPr>
          <w:color w:val="000000" w:themeColor="text1"/>
        </w:rPr>
        <w:t>на уровне п</w:t>
      </w:r>
      <w:r w:rsidR="00421890" w:rsidRPr="001929F4">
        <w:rPr>
          <w:color w:val="000000" w:themeColor="text1"/>
        </w:rPr>
        <w:t xml:space="preserve">ортфеля,  на </w:t>
      </w:r>
      <w:r w:rsidR="001929F4" w:rsidRPr="001929F4">
        <w:rPr>
          <w:color w:val="000000" w:themeColor="text1"/>
        </w:rPr>
        <w:t>по</w:t>
      </w:r>
      <w:r w:rsidR="00421890" w:rsidRPr="001929F4">
        <w:rPr>
          <w:color w:val="000000" w:themeColor="text1"/>
        </w:rPr>
        <w:t>сделочный уровень</w:t>
      </w:r>
      <w:r w:rsidR="001453D3" w:rsidRPr="001929F4">
        <w:rPr>
          <w:color w:val="000000" w:themeColor="text1"/>
        </w:rPr>
        <w:t xml:space="preserve"> применяется следующий подход</w:t>
      </w:r>
      <w:r w:rsidR="007F6B4A" w:rsidRPr="001929F4">
        <w:rPr>
          <w:color w:val="000000" w:themeColor="text1"/>
        </w:rPr>
        <w:t>:</w:t>
      </w:r>
    </w:p>
    <w:p w14:paraId="678A9FE2" w14:textId="77777777" w:rsidR="001453D3" w:rsidRPr="001929F4" w:rsidRDefault="00DA21A1" w:rsidP="00E14B7B">
      <w:pPr>
        <w:pStyle w:val="a7"/>
        <w:spacing w:after="200" w:line="276" w:lineRule="auto"/>
        <w:ind w:left="360"/>
        <w:jc w:val="both"/>
        <w:rPr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CVA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alloc,i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CVA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netting_set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CVA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CVA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14:paraId="4C24983D" w14:textId="77777777" w:rsidR="00421890" w:rsidRPr="001929F4" w:rsidRDefault="00421890" w:rsidP="00E14B7B">
      <w:pPr>
        <w:pStyle w:val="a7"/>
        <w:spacing w:after="200" w:line="276" w:lineRule="auto"/>
        <w:ind w:left="360"/>
        <w:jc w:val="both"/>
        <w:rPr>
          <w:i/>
          <w:color w:val="000000" w:themeColor="text1"/>
        </w:rPr>
      </w:pPr>
      <w:r w:rsidRPr="001929F4">
        <w:rPr>
          <w:color w:val="000000" w:themeColor="text1"/>
        </w:rPr>
        <w:t>Где</w:t>
      </w:r>
      <w:r w:rsidRPr="001929F4">
        <w:rPr>
          <w:i/>
          <w:color w:val="000000" w:themeColor="text1"/>
        </w:rPr>
        <w:t xml:space="preserve"> </w:t>
      </w:r>
    </w:p>
    <w:p w14:paraId="32F12EA8" w14:textId="77777777" w:rsidR="00421890" w:rsidRPr="001929F4" w:rsidRDefault="00DA21A1" w:rsidP="001929F4">
      <w:pPr>
        <w:pStyle w:val="a7"/>
        <w:spacing w:after="200" w:line="276" w:lineRule="auto"/>
        <w:ind w:left="36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 xml:space="preserve">  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CVA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alloc,i</m:t>
            </m:r>
          </m:sub>
        </m:sSub>
      </m:oMath>
      <w:r w:rsidR="00421890" w:rsidRPr="001929F4">
        <w:rPr>
          <w:i/>
          <w:color w:val="000000" w:themeColor="text1"/>
        </w:rPr>
        <w:t xml:space="preserve"> -  </w:t>
      </w:r>
      <w:r w:rsidR="00421890" w:rsidRPr="001929F4">
        <w:rPr>
          <w:color w:val="000000" w:themeColor="text1"/>
        </w:rPr>
        <w:t xml:space="preserve">часть </w:t>
      </w:r>
      <w:r w:rsidR="00421890" w:rsidRPr="001929F4">
        <w:rPr>
          <w:color w:val="000000" w:themeColor="text1"/>
          <w:lang w:val="en-US"/>
        </w:rPr>
        <w:t>CVA</w:t>
      </w:r>
      <w:r w:rsidR="00421890" w:rsidRPr="001929F4">
        <w:rPr>
          <w:color w:val="000000" w:themeColor="text1"/>
        </w:rPr>
        <w:t>, аллоцируемая на сделку</w:t>
      </w:r>
    </w:p>
    <w:p w14:paraId="6997BC58" w14:textId="77777777" w:rsidR="00421890" w:rsidRPr="001929F4" w:rsidRDefault="00DA21A1" w:rsidP="001929F4">
      <w:pPr>
        <w:pStyle w:val="a7"/>
        <w:spacing w:after="200" w:line="276" w:lineRule="auto"/>
        <w:ind w:left="360"/>
        <w:rPr>
          <w:i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CVA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  <m:r>
              <w:rPr>
                <w:rFonts w:ascii="Cambria Math" w:hAnsi="Cambria Math"/>
                <w:color w:val="000000" w:themeColor="text1"/>
              </w:rPr>
              <m:t>etting_set</m:t>
            </m:r>
          </m:sub>
        </m:sSub>
      </m:oMath>
      <w:r w:rsidR="00421890" w:rsidRPr="001929F4">
        <w:rPr>
          <w:i/>
          <w:color w:val="000000" w:themeColor="text1"/>
        </w:rPr>
        <w:t xml:space="preserve"> -  </w:t>
      </w:r>
      <w:r w:rsidR="00421890" w:rsidRPr="001929F4">
        <w:rPr>
          <w:color w:val="000000" w:themeColor="text1"/>
          <w:lang w:val="en-US"/>
        </w:rPr>
        <w:t>CVA</w:t>
      </w:r>
      <w:r w:rsidR="00421890" w:rsidRPr="001929F4">
        <w:rPr>
          <w:color w:val="000000" w:themeColor="text1"/>
        </w:rPr>
        <w:t xml:space="preserve">  рассчитанный на уровне портфеля</w:t>
      </w:r>
    </w:p>
    <w:p w14:paraId="7D216996" w14:textId="77777777" w:rsidR="00421890" w:rsidRPr="001929F4" w:rsidRDefault="00DA21A1" w:rsidP="001929F4">
      <w:pPr>
        <w:pStyle w:val="a7"/>
        <w:spacing w:after="200" w:line="276" w:lineRule="auto"/>
        <w:ind w:left="360"/>
        <w:rPr>
          <w:i/>
          <w:color w:val="000000" w:themeColor="text1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CVA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421890" w:rsidRPr="001929F4">
        <w:rPr>
          <w:color w:val="000000" w:themeColor="text1"/>
        </w:rPr>
        <w:t xml:space="preserve"> – </w:t>
      </w:r>
      <w:r w:rsidR="00421890" w:rsidRPr="001929F4">
        <w:rPr>
          <w:color w:val="000000" w:themeColor="text1"/>
          <w:lang w:val="en-US"/>
        </w:rPr>
        <w:t>CVA</w:t>
      </w:r>
      <w:r w:rsidR="00421890" w:rsidRPr="001929F4">
        <w:rPr>
          <w:color w:val="000000" w:themeColor="text1"/>
        </w:rPr>
        <w:t xml:space="preserve"> по </w:t>
      </w:r>
      <w:r w:rsidR="00421890" w:rsidRPr="001929F4">
        <w:rPr>
          <w:i/>
          <w:iCs/>
          <w:color w:val="000000" w:themeColor="text1"/>
          <w:lang w:val="en-US"/>
        </w:rPr>
        <w:t>i</w:t>
      </w:r>
      <w:r w:rsidR="00421890" w:rsidRPr="001929F4">
        <w:rPr>
          <w:color w:val="000000" w:themeColor="text1"/>
        </w:rPr>
        <w:t>-ой сделке в портфеле</w:t>
      </w:r>
      <w:r w:rsidR="001929F4" w:rsidRPr="001929F4">
        <w:rPr>
          <w:color w:val="000000" w:themeColor="text1"/>
        </w:rPr>
        <w:t>, рассчитанный</w:t>
      </w:r>
      <w:r w:rsidR="00421890" w:rsidRPr="001929F4">
        <w:rPr>
          <w:color w:val="000000" w:themeColor="text1"/>
        </w:rPr>
        <w:t xml:space="preserve"> без учета неттинга</w:t>
      </w:r>
    </w:p>
    <w:p w14:paraId="05DC95BC" w14:textId="77777777" w:rsidR="00421890" w:rsidRDefault="00421890" w:rsidP="001929F4">
      <w:p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N</m:t>
        </m:r>
      </m:oMath>
      <w:r w:rsidRPr="001929F4">
        <w:rPr>
          <w:color w:val="000000" w:themeColor="text1"/>
        </w:rPr>
        <w:t xml:space="preserve"> – количество сделок в </w:t>
      </w:r>
      <w:r w:rsidR="00F96706" w:rsidRPr="001929F4">
        <w:rPr>
          <w:color w:val="000000" w:themeColor="text1"/>
        </w:rPr>
        <w:t>портфеле</w:t>
      </w:r>
    </w:p>
    <w:p w14:paraId="7A68F2AF" w14:textId="77777777" w:rsidR="00EF7C1E" w:rsidRDefault="00EF7C1E" w:rsidP="001929F4">
      <w:pPr>
        <w:rPr>
          <w:color w:val="000000" w:themeColor="text1"/>
        </w:rPr>
      </w:pPr>
    </w:p>
    <w:p w14:paraId="273315EB" w14:textId="77777777" w:rsidR="00EF7C1E" w:rsidRPr="001929F4" w:rsidRDefault="00EF7C1E" w:rsidP="001929F4">
      <w:pPr>
        <w:rPr>
          <w:color w:val="000000" w:themeColor="text1"/>
        </w:rPr>
      </w:pPr>
    </w:p>
    <w:p w14:paraId="6DDC930A" w14:textId="77777777" w:rsidR="008B19C0" w:rsidRPr="008D5876" w:rsidRDefault="008B19C0" w:rsidP="00C26FF3">
      <w:pPr>
        <w:pStyle w:val="1"/>
        <w:keepLines w:val="0"/>
        <w:numPr>
          <w:ilvl w:val="0"/>
          <w:numId w:val="1"/>
        </w:numPr>
        <w:pBdr>
          <w:bottom w:val="single" w:sz="4" w:space="0" w:color="auto"/>
        </w:pBdr>
        <w:autoSpaceDE w:val="0"/>
        <w:autoSpaceDN w:val="0"/>
        <w:spacing w:before="0" w:after="240"/>
        <w:jc w:val="both"/>
        <w:rPr>
          <w:rFonts w:ascii="Times New Roman" w:hAnsi="Times New Roman"/>
          <w:color w:val="auto"/>
          <w:sz w:val="24"/>
          <w:szCs w:val="24"/>
        </w:rPr>
      </w:pPr>
      <w:bookmarkStart w:id="41" w:name="_Toc470105868"/>
      <w:r w:rsidRPr="008D5876">
        <w:rPr>
          <w:rFonts w:ascii="Times New Roman" w:hAnsi="Times New Roman"/>
          <w:color w:val="auto"/>
          <w:sz w:val="24"/>
          <w:szCs w:val="24"/>
        </w:rPr>
        <w:t>Порядок согласования и утверждения Профилей</w:t>
      </w:r>
      <w:r w:rsidRPr="008D5876">
        <w:rPr>
          <w:rFonts w:ascii="Times New Roman" w:hAnsi="Times New Roman"/>
          <w:color w:val="auto"/>
        </w:rPr>
        <w:t xml:space="preserve"> </w:t>
      </w:r>
      <w:r w:rsidRPr="008D5876">
        <w:rPr>
          <w:rFonts w:ascii="Times New Roman" w:hAnsi="Times New Roman"/>
          <w:color w:val="auto"/>
          <w:sz w:val="24"/>
          <w:szCs w:val="24"/>
        </w:rPr>
        <w:t>расчета CVA для продукта</w:t>
      </w:r>
      <w:r w:rsidRPr="008D5876" w:rsidDel="008B19C0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8D5876">
        <w:rPr>
          <w:rFonts w:ascii="Times New Roman" w:hAnsi="Times New Roman"/>
          <w:color w:val="auto"/>
          <w:sz w:val="24"/>
          <w:szCs w:val="24"/>
        </w:rPr>
        <w:t>/ моделирования риск факторов для CVA</w:t>
      </w:r>
      <w:bookmarkEnd w:id="41"/>
    </w:p>
    <w:p w14:paraId="4201C917" w14:textId="77777777" w:rsidR="008B19C0" w:rsidRPr="008B19C0" w:rsidRDefault="008B19C0" w:rsidP="00C26FF3">
      <w:pPr>
        <w:pStyle w:val="a7"/>
        <w:numPr>
          <w:ilvl w:val="1"/>
          <w:numId w:val="24"/>
        </w:numPr>
        <w:jc w:val="both"/>
      </w:pPr>
      <w:r>
        <w:t>Отдел</w:t>
      </w:r>
      <w:r w:rsidRPr="00A37160">
        <w:t xml:space="preserve"> разработки моделей оценки рисков на глобальных рынках</w:t>
      </w:r>
      <w:r>
        <w:t xml:space="preserve"> разрабатывает </w:t>
      </w:r>
      <w:r w:rsidRPr="00825639">
        <w:t>(либо дорабатывает</w:t>
      </w:r>
      <w:r>
        <w:t xml:space="preserve"> при наличии изменений</w:t>
      </w:r>
      <w:r w:rsidRPr="00825639">
        <w:t>)</w:t>
      </w:r>
      <w:r>
        <w:t xml:space="preserve"> Профили расчета </w:t>
      </w:r>
      <w:r w:rsidRPr="008B19C0">
        <w:rPr>
          <w:lang w:val="en-US"/>
        </w:rPr>
        <w:t>CVA</w:t>
      </w:r>
      <w:r>
        <w:t xml:space="preserve"> </w:t>
      </w:r>
      <w:r w:rsidRPr="008B19C0">
        <w:t>для продукта / моделирования риск факторов для CVA</w:t>
      </w:r>
      <w:r w:rsidRPr="00C26FF3">
        <w:t xml:space="preserve"> </w:t>
      </w:r>
      <w:r>
        <w:t>далее Профили</w:t>
      </w:r>
    </w:p>
    <w:p w14:paraId="598C44E8" w14:textId="77777777" w:rsidR="008B19C0" w:rsidRDefault="008B19C0" w:rsidP="00C26FF3">
      <w:pPr>
        <w:pStyle w:val="a7"/>
        <w:ind w:left="1065"/>
        <w:jc w:val="both"/>
      </w:pPr>
    </w:p>
    <w:p w14:paraId="753C520B" w14:textId="77777777" w:rsidR="008B19C0" w:rsidRDefault="008B19C0" w:rsidP="00C26FF3">
      <w:pPr>
        <w:pStyle w:val="a7"/>
        <w:numPr>
          <w:ilvl w:val="1"/>
          <w:numId w:val="24"/>
        </w:numPr>
        <w:jc w:val="both"/>
      </w:pPr>
      <w:r>
        <w:t xml:space="preserve">Согласование Профилей </w:t>
      </w:r>
      <w:r w:rsidRPr="000B020C">
        <w:t>внутри Группы Сбербанк</w:t>
      </w:r>
      <w:r>
        <w:t xml:space="preserve"> </w:t>
      </w:r>
      <w:r w:rsidRPr="000B020C">
        <w:t>осуществляется</w:t>
      </w:r>
      <w:r>
        <w:t>:</w:t>
      </w:r>
    </w:p>
    <w:p w14:paraId="26246111" w14:textId="77777777" w:rsidR="005956D9" w:rsidRDefault="005956D9">
      <w:pPr>
        <w:pStyle w:val="a0"/>
        <w:numPr>
          <w:ilvl w:val="2"/>
          <w:numId w:val="24"/>
        </w:numPr>
        <w:spacing w:before="120"/>
        <w:jc w:val="both"/>
      </w:pPr>
      <w:r>
        <w:t xml:space="preserve">Руководителями Торговых подразделений, имеющих данный продукт в мандате хотя бы одного из своих портфелей. </w:t>
      </w:r>
    </w:p>
    <w:p w14:paraId="5CAC8066" w14:textId="77777777" w:rsidR="008B19C0" w:rsidRDefault="008B19C0">
      <w:pPr>
        <w:pStyle w:val="a0"/>
        <w:numPr>
          <w:ilvl w:val="2"/>
          <w:numId w:val="24"/>
        </w:numPr>
        <w:spacing w:before="120"/>
        <w:jc w:val="both"/>
      </w:pPr>
      <w:r>
        <w:t>Руководителем Подразделения финансов.</w:t>
      </w:r>
    </w:p>
    <w:p w14:paraId="60C69DDF" w14:textId="77777777" w:rsidR="001B1EAB" w:rsidRPr="00351EDD" w:rsidRDefault="008B19C0" w:rsidP="008D5876">
      <w:pPr>
        <w:pStyle w:val="a0"/>
        <w:numPr>
          <w:ilvl w:val="2"/>
          <w:numId w:val="24"/>
        </w:numPr>
        <w:spacing w:before="120"/>
        <w:jc w:val="both"/>
      </w:pPr>
      <w:r>
        <w:t>Руководителем Подразделения рисков Глобальных рынков.</w:t>
      </w:r>
    </w:p>
    <w:p w14:paraId="3EA36587" w14:textId="77777777" w:rsidR="008B19C0" w:rsidRPr="00D05DD2" w:rsidRDefault="008B19C0" w:rsidP="00C26FF3">
      <w:pPr>
        <w:pStyle w:val="a0"/>
        <w:numPr>
          <w:ilvl w:val="1"/>
          <w:numId w:val="24"/>
        </w:numPr>
        <w:spacing w:before="120"/>
        <w:jc w:val="both"/>
        <w:rPr>
          <w:rFonts w:cstheme="minorHAnsi"/>
        </w:rPr>
      </w:pPr>
      <w:bookmarkStart w:id="42" w:name="_Ref408855630"/>
      <w:r w:rsidRPr="00D05DD2">
        <w:rPr>
          <w:rFonts w:cstheme="minorHAnsi"/>
        </w:rPr>
        <w:t>Утверждение Профилей</w:t>
      </w:r>
      <w:r w:rsidRPr="00D05DD2">
        <w:t xml:space="preserve"> </w:t>
      </w:r>
      <w:r w:rsidRPr="00D05DD2">
        <w:rPr>
          <w:rFonts w:cstheme="minorHAnsi"/>
        </w:rPr>
        <w:t xml:space="preserve">осуществляется распоряжениями </w:t>
      </w:r>
      <w:r w:rsidR="00BF5349" w:rsidRPr="00D05DD2">
        <w:rPr>
          <w:rFonts w:cstheme="minorHAnsi"/>
        </w:rPr>
        <w:t xml:space="preserve">руководителя департамента Рисков </w:t>
      </w:r>
      <w:r w:rsidR="00BF5349" w:rsidRPr="00D05DD2">
        <w:rPr>
          <w:rFonts w:cstheme="minorHAnsi"/>
          <w:lang w:val="en-US"/>
        </w:rPr>
        <w:t>CIB</w:t>
      </w:r>
      <w:r w:rsidR="00BF5349" w:rsidRPr="00D05DD2">
        <w:rPr>
          <w:rStyle w:val="ac"/>
          <w:lang w:val="en-US"/>
        </w:rPr>
        <w:footnoteReference w:id="17"/>
      </w:r>
    </w:p>
    <w:p w14:paraId="1D7ACD01" w14:textId="77777777" w:rsidR="008B19C0" w:rsidRDefault="00F02CCA" w:rsidP="00C26FF3">
      <w:pPr>
        <w:pStyle w:val="a0"/>
        <w:numPr>
          <w:ilvl w:val="1"/>
          <w:numId w:val="24"/>
        </w:numPr>
        <w:spacing w:before="120"/>
        <w:jc w:val="both"/>
      </w:pPr>
      <w:r>
        <w:t>Действия профилей распространяется на всех интегрированных участников Группы</w:t>
      </w:r>
      <w:r>
        <w:rPr>
          <w:rStyle w:val="ac"/>
        </w:rPr>
        <w:footnoteReference w:id="18"/>
      </w:r>
      <w:r>
        <w:t>, если в профиле не указано иное</w:t>
      </w:r>
      <w:r w:rsidR="008B19C0">
        <w:t>.</w:t>
      </w:r>
    </w:p>
    <w:p w14:paraId="0B17547E" w14:textId="77777777" w:rsidR="00033828" w:rsidRDefault="00033828">
      <w:pPr>
        <w:spacing w:after="200" w:line="276" w:lineRule="auto"/>
        <w:rPr>
          <w:b/>
          <w:bCs/>
          <w:iCs/>
          <w:lang w:eastAsia="en-US"/>
        </w:rPr>
      </w:pPr>
      <w:r>
        <w:rPr>
          <w:iCs/>
          <w:lang w:eastAsia="en-US"/>
        </w:rPr>
        <w:br w:type="page"/>
      </w:r>
    </w:p>
    <w:p w14:paraId="191110EF" w14:textId="77777777" w:rsidR="004266B9" w:rsidRPr="008D5876" w:rsidRDefault="004266B9" w:rsidP="008D5876">
      <w:pPr>
        <w:pStyle w:val="2"/>
        <w:keepLines w:val="0"/>
        <w:spacing w:before="240" w:after="240"/>
        <w:ind w:left="142"/>
        <w:jc w:val="right"/>
        <w:rPr>
          <w:rFonts w:ascii="Times New Roman" w:hAnsi="Times New Roman"/>
          <w:iCs/>
          <w:sz w:val="24"/>
          <w:lang w:eastAsia="en-US"/>
        </w:rPr>
      </w:pPr>
      <w:bookmarkStart w:id="43" w:name="_Toc470105869"/>
      <w:bookmarkStart w:id="44" w:name="_Toc403647743"/>
      <w:r w:rsidRPr="008D5876">
        <w:rPr>
          <w:rFonts w:ascii="Times New Roman" w:hAnsi="Times New Roman"/>
          <w:iCs/>
          <w:color w:val="auto"/>
          <w:sz w:val="24"/>
          <w:szCs w:val="24"/>
          <w:lang w:eastAsia="en-US"/>
        </w:rPr>
        <w:lastRenderedPageBreak/>
        <w:t xml:space="preserve">Приложение </w:t>
      </w:r>
      <w:r>
        <w:rPr>
          <w:rFonts w:ascii="Times New Roman" w:hAnsi="Times New Roman"/>
          <w:iCs/>
          <w:color w:val="auto"/>
          <w:sz w:val="24"/>
          <w:szCs w:val="24"/>
          <w:lang w:eastAsia="en-US"/>
        </w:rPr>
        <w:t>№</w:t>
      </w:r>
      <w:r w:rsidRPr="008D5876">
        <w:rPr>
          <w:rFonts w:ascii="Times New Roman" w:hAnsi="Times New Roman"/>
          <w:iCs/>
          <w:color w:val="auto"/>
          <w:sz w:val="24"/>
          <w:szCs w:val="24"/>
          <w:lang w:eastAsia="en-US"/>
        </w:rPr>
        <w:t>1</w:t>
      </w:r>
      <w:bookmarkEnd w:id="43"/>
      <w:r w:rsidRPr="008D5876">
        <w:rPr>
          <w:rFonts w:ascii="Times New Roman" w:hAnsi="Times New Roman"/>
          <w:iCs/>
          <w:color w:val="auto"/>
          <w:sz w:val="24"/>
          <w:szCs w:val="24"/>
          <w:lang w:eastAsia="en-US"/>
        </w:rPr>
        <w:t xml:space="preserve"> </w:t>
      </w:r>
    </w:p>
    <w:p w14:paraId="3EC36C47" w14:textId="77777777" w:rsidR="004266B9" w:rsidRPr="008D5876" w:rsidRDefault="004266B9" w:rsidP="008D5876">
      <w:pPr>
        <w:pStyle w:val="2"/>
        <w:keepLines w:val="0"/>
        <w:spacing w:before="240" w:after="240"/>
        <w:ind w:left="142"/>
        <w:jc w:val="right"/>
        <w:rPr>
          <w:rFonts w:ascii="Times New Roman" w:hAnsi="Times New Roman"/>
          <w:iCs/>
          <w:sz w:val="24"/>
          <w:lang w:eastAsia="en-US"/>
        </w:rPr>
      </w:pPr>
      <w:bookmarkStart w:id="45" w:name="_Toc470105870"/>
      <w:r w:rsidRPr="008D5876">
        <w:rPr>
          <w:rFonts w:ascii="Times New Roman" w:hAnsi="Times New Roman"/>
          <w:iCs/>
          <w:color w:val="auto"/>
          <w:sz w:val="24"/>
          <w:szCs w:val="24"/>
          <w:lang w:eastAsia="en-US"/>
        </w:rPr>
        <w:t>Список терминов и определений</w:t>
      </w:r>
      <w:bookmarkEnd w:id="44"/>
      <w:bookmarkEnd w:id="45"/>
    </w:p>
    <w:p w14:paraId="6A1DB642" w14:textId="77777777" w:rsidR="004266B9" w:rsidRPr="00BF5349" w:rsidRDefault="004266B9" w:rsidP="008D5876">
      <w:pPr>
        <w:jc w:val="both"/>
      </w:pPr>
      <w:r w:rsidRPr="004266B9">
        <w:rPr>
          <w:b/>
        </w:rPr>
        <w:t xml:space="preserve">Профиль расчета </w:t>
      </w:r>
      <w:r w:rsidRPr="004266B9">
        <w:rPr>
          <w:b/>
          <w:lang w:val="en-US"/>
        </w:rPr>
        <w:t>CVA</w:t>
      </w:r>
      <w:r w:rsidRPr="004266B9">
        <w:rPr>
          <w:b/>
        </w:rPr>
        <w:t xml:space="preserve"> для продукта</w:t>
      </w:r>
      <w:r>
        <w:t xml:space="preserve">– документ, </w:t>
      </w:r>
      <w:r w:rsidR="00F42552">
        <w:t>устанавливающий порядок расчета</w:t>
      </w:r>
      <w:r>
        <w:t xml:space="preserve"> </w:t>
      </w:r>
      <w:r w:rsidR="00BF5349" w:rsidRPr="00A37160">
        <w:rPr>
          <w:lang w:val="en-US" w:eastAsia="en-US"/>
        </w:rPr>
        <w:t>EPE</w:t>
      </w:r>
      <w:r w:rsidR="00BF5349" w:rsidRPr="008D5876">
        <w:rPr>
          <w:lang w:eastAsia="en-US"/>
        </w:rPr>
        <w:t xml:space="preserve">, </w:t>
      </w:r>
      <w:r w:rsidR="00BF5349">
        <w:rPr>
          <w:lang w:val="en-US" w:eastAsia="en-US"/>
        </w:rPr>
        <w:t>ENE</w:t>
      </w:r>
      <w:r w:rsidR="00BF5349" w:rsidRPr="00A37160">
        <w:rPr>
          <w:lang w:eastAsia="en-US"/>
        </w:rPr>
        <w:t xml:space="preserve"> </w:t>
      </w:r>
      <w:r>
        <w:t xml:space="preserve">для расчета показателей  </w:t>
      </w:r>
      <w:r w:rsidRPr="004266B9">
        <w:rPr>
          <w:lang w:val="en-US"/>
        </w:rPr>
        <w:t>CVA</w:t>
      </w:r>
      <w:r>
        <w:t xml:space="preserve">, </w:t>
      </w:r>
      <w:r w:rsidRPr="004266B9">
        <w:rPr>
          <w:lang w:val="en-US"/>
        </w:rPr>
        <w:t>DVA</w:t>
      </w:r>
      <w:r w:rsidRPr="00C26FF3">
        <w:t xml:space="preserve">, </w:t>
      </w:r>
      <w:r w:rsidRPr="004266B9">
        <w:rPr>
          <w:lang w:val="en-US"/>
        </w:rPr>
        <w:t>BCVA</w:t>
      </w:r>
      <w:r w:rsidR="00BF5349">
        <w:t>.</w:t>
      </w:r>
      <w:r>
        <w:t xml:space="preserve">  Порядок согласования и утверждения Профилей оценки указан в п. </w:t>
      </w:r>
      <w:r w:rsidRPr="004B3EAA">
        <w:t>5</w:t>
      </w:r>
      <w:r w:rsidRPr="00C26FF3">
        <w:t xml:space="preserve"> </w:t>
      </w:r>
      <w:r>
        <w:t xml:space="preserve"> настоящей Методики.</w:t>
      </w:r>
      <w:r w:rsidR="00BF5349">
        <w:t xml:space="preserve"> </w:t>
      </w:r>
    </w:p>
    <w:p w14:paraId="10E5F359" w14:textId="77777777" w:rsidR="004266B9" w:rsidRPr="00431F10" w:rsidRDefault="004266B9" w:rsidP="008D5876">
      <w:pPr>
        <w:jc w:val="both"/>
      </w:pPr>
      <w:r w:rsidRPr="004266B9">
        <w:rPr>
          <w:b/>
        </w:rPr>
        <w:t xml:space="preserve">Профиль моделирования  риск  факторов для </w:t>
      </w:r>
      <w:r w:rsidRPr="004266B9">
        <w:rPr>
          <w:b/>
          <w:lang w:val="en-US"/>
        </w:rPr>
        <w:t>CVA</w:t>
      </w:r>
      <w:r w:rsidRPr="004266B9">
        <w:rPr>
          <w:b/>
        </w:rPr>
        <w:t xml:space="preserve"> </w:t>
      </w:r>
      <w:r>
        <w:t xml:space="preserve">– документ, </w:t>
      </w:r>
      <w:r w:rsidR="00F42552">
        <w:t>устанавливающий порядок</w:t>
      </w:r>
      <w:r>
        <w:t xml:space="preserve"> моделирования</w:t>
      </w:r>
      <w:r w:rsidRPr="00846344">
        <w:t xml:space="preserve"> </w:t>
      </w:r>
      <w:r>
        <w:t xml:space="preserve">риск факторов для расчета   </w:t>
      </w:r>
      <w:r w:rsidRPr="004266B9">
        <w:rPr>
          <w:lang w:val="en-US"/>
        </w:rPr>
        <w:t>CVA</w:t>
      </w:r>
      <w:r>
        <w:t xml:space="preserve">, </w:t>
      </w:r>
      <w:r w:rsidRPr="004266B9">
        <w:rPr>
          <w:lang w:val="en-US"/>
        </w:rPr>
        <w:t>DVA</w:t>
      </w:r>
      <w:r w:rsidRPr="00084359">
        <w:t xml:space="preserve">, </w:t>
      </w:r>
      <w:r w:rsidRPr="004266B9">
        <w:rPr>
          <w:lang w:val="en-US"/>
        </w:rPr>
        <w:t>BCVA</w:t>
      </w:r>
      <w:r w:rsidR="00BF5349">
        <w:t>.</w:t>
      </w:r>
      <w:r>
        <w:t xml:space="preserve"> Порядок согласования и утверждения Профилей оценки указан в п. 5</w:t>
      </w:r>
      <w:r w:rsidRPr="00084359">
        <w:t xml:space="preserve"> </w:t>
      </w:r>
      <w:r>
        <w:t xml:space="preserve"> настоящей Методики.</w:t>
      </w:r>
    </w:p>
    <w:p w14:paraId="60B549FD" w14:textId="77777777" w:rsidR="004266B9" w:rsidRPr="008D5876" w:rsidRDefault="004266B9" w:rsidP="004266B9">
      <w:pPr>
        <w:pStyle w:val="AppendixH1"/>
        <w:numPr>
          <w:ilvl w:val="0"/>
          <w:numId w:val="0"/>
        </w:numPr>
        <w:ind w:left="792"/>
        <w:rPr>
          <w:lang w:val="ru-RU"/>
        </w:rPr>
      </w:pPr>
    </w:p>
    <w:p w14:paraId="25E452A4" w14:textId="77777777" w:rsidR="004266B9" w:rsidRDefault="004266B9" w:rsidP="001B1EAB">
      <w:pPr>
        <w:pStyle w:val="2"/>
        <w:keepLines w:val="0"/>
        <w:spacing w:before="120" w:after="120"/>
        <w:jc w:val="right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</w:p>
    <w:p w14:paraId="43432E5A" w14:textId="77777777" w:rsidR="004266B9" w:rsidRDefault="004266B9">
      <w:pPr>
        <w:spacing w:after="200" w:line="276" w:lineRule="auto"/>
        <w:rPr>
          <w:b/>
          <w:bCs/>
          <w:iCs/>
          <w:lang w:eastAsia="en-US"/>
        </w:rPr>
      </w:pPr>
      <w:r>
        <w:rPr>
          <w:iCs/>
          <w:lang w:eastAsia="en-US"/>
        </w:rPr>
        <w:br w:type="page"/>
      </w:r>
    </w:p>
    <w:p w14:paraId="03560532" w14:textId="77777777" w:rsidR="004266B9" w:rsidRDefault="004266B9" w:rsidP="001B1EAB">
      <w:pPr>
        <w:pStyle w:val="2"/>
        <w:keepLines w:val="0"/>
        <w:spacing w:before="120" w:after="120"/>
        <w:jc w:val="right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</w:p>
    <w:p w14:paraId="1612021E" w14:textId="77777777" w:rsidR="004266B9" w:rsidRPr="008D5876" w:rsidRDefault="004266B9" w:rsidP="008D5876">
      <w:pPr>
        <w:pStyle w:val="2"/>
        <w:keepLines w:val="0"/>
        <w:spacing w:before="240" w:after="240"/>
        <w:ind w:left="142"/>
        <w:jc w:val="right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  <w:bookmarkStart w:id="46" w:name="_Toc470105871"/>
      <w:r w:rsidRPr="008D5876">
        <w:rPr>
          <w:rFonts w:ascii="Times New Roman" w:hAnsi="Times New Roman"/>
          <w:iCs/>
          <w:color w:val="auto"/>
          <w:sz w:val="24"/>
          <w:szCs w:val="24"/>
          <w:lang w:eastAsia="en-US"/>
        </w:rPr>
        <w:t xml:space="preserve">Приложение </w:t>
      </w:r>
      <w:r>
        <w:rPr>
          <w:rFonts w:ascii="Times New Roman" w:hAnsi="Times New Roman"/>
          <w:iCs/>
          <w:color w:val="auto"/>
          <w:sz w:val="24"/>
          <w:szCs w:val="24"/>
          <w:lang w:eastAsia="en-US"/>
        </w:rPr>
        <w:t>№</w:t>
      </w:r>
      <w:r w:rsidRPr="008D5876">
        <w:rPr>
          <w:rFonts w:ascii="Times New Roman" w:hAnsi="Times New Roman"/>
          <w:iCs/>
          <w:color w:val="auto"/>
          <w:sz w:val="24"/>
          <w:szCs w:val="24"/>
          <w:lang w:eastAsia="en-US"/>
        </w:rPr>
        <w:t>2</w:t>
      </w:r>
      <w:bookmarkEnd w:id="46"/>
      <w:r w:rsidRPr="008D5876">
        <w:rPr>
          <w:rFonts w:ascii="Times New Roman" w:hAnsi="Times New Roman"/>
          <w:iCs/>
          <w:color w:val="auto"/>
          <w:sz w:val="24"/>
          <w:szCs w:val="24"/>
          <w:lang w:eastAsia="en-US"/>
        </w:rPr>
        <w:t xml:space="preserve"> </w:t>
      </w:r>
    </w:p>
    <w:p w14:paraId="4BE80028" w14:textId="77777777" w:rsidR="001B1EAB" w:rsidRPr="008D5876" w:rsidRDefault="001B1EAB" w:rsidP="008D5876">
      <w:pPr>
        <w:pStyle w:val="2"/>
        <w:keepLines w:val="0"/>
        <w:spacing w:before="240" w:after="240"/>
        <w:ind w:left="142"/>
        <w:jc w:val="right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  <w:bookmarkStart w:id="47" w:name="_Toc470105872"/>
      <w:bookmarkEnd w:id="42"/>
      <w:r w:rsidRPr="008D5876">
        <w:rPr>
          <w:rFonts w:ascii="Times New Roman" w:hAnsi="Times New Roman"/>
          <w:iCs/>
          <w:color w:val="auto"/>
          <w:sz w:val="24"/>
          <w:szCs w:val="24"/>
          <w:lang w:eastAsia="en-US"/>
        </w:rPr>
        <w:t>Перечень сокращений</w:t>
      </w:r>
      <w:bookmarkEnd w:id="47"/>
    </w:p>
    <w:p w14:paraId="1E5ACE68" w14:textId="77777777" w:rsidR="001B1EAB" w:rsidRPr="00A37160" w:rsidRDefault="001B1EAB" w:rsidP="008D5876">
      <w:pPr>
        <w:pStyle w:val="a7"/>
        <w:spacing w:before="120" w:after="120"/>
        <w:ind w:left="0"/>
        <w:jc w:val="both"/>
        <w:rPr>
          <w:lang w:eastAsia="en-US"/>
        </w:rPr>
      </w:pPr>
      <w:r w:rsidRPr="00A37160">
        <w:rPr>
          <w:lang w:val="en-US" w:eastAsia="en-US"/>
        </w:rPr>
        <w:t>BCVA</w:t>
      </w:r>
      <w:r w:rsidRPr="00A37160">
        <w:rPr>
          <w:lang w:eastAsia="en-US"/>
        </w:rPr>
        <w:t xml:space="preserve"> – </w:t>
      </w:r>
      <w:r w:rsidRPr="00A37160">
        <w:rPr>
          <w:lang w:val="en-US" w:eastAsia="en-US"/>
        </w:rPr>
        <w:t>Bilateral</w:t>
      </w:r>
      <w:r w:rsidRPr="00A37160">
        <w:rPr>
          <w:lang w:eastAsia="en-US"/>
        </w:rPr>
        <w:t xml:space="preserve"> </w:t>
      </w:r>
      <w:r w:rsidRPr="00A37160">
        <w:rPr>
          <w:lang w:val="en-US" w:eastAsia="en-US"/>
        </w:rPr>
        <w:t>Credit</w:t>
      </w:r>
      <w:r w:rsidRPr="00A37160">
        <w:rPr>
          <w:lang w:eastAsia="en-US"/>
        </w:rPr>
        <w:t xml:space="preserve"> </w:t>
      </w:r>
      <w:r w:rsidRPr="00A37160">
        <w:rPr>
          <w:lang w:val="en-US" w:eastAsia="en-US"/>
        </w:rPr>
        <w:t>Value</w:t>
      </w:r>
      <w:r w:rsidRPr="00A37160">
        <w:rPr>
          <w:lang w:eastAsia="en-US"/>
        </w:rPr>
        <w:t xml:space="preserve"> </w:t>
      </w:r>
      <w:r w:rsidRPr="00A37160">
        <w:rPr>
          <w:lang w:val="en-US" w:eastAsia="en-US"/>
        </w:rPr>
        <w:t>Adjustment</w:t>
      </w:r>
      <w:r w:rsidRPr="00A37160">
        <w:rPr>
          <w:lang w:eastAsia="en-US"/>
        </w:rPr>
        <w:t xml:space="preserve"> – поправка на кредитный риск банка и контрагента </w:t>
      </w:r>
    </w:p>
    <w:p w14:paraId="1CAD3763" w14:textId="77777777" w:rsidR="001B1EAB" w:rsidRPr="00A37160" w:rsidRDefault="001B1EAB" w:rsidP="008D5876">
      <w:pPr>
        <w:pStyle w:val="a7"/>
        <w:spacing w:before="120" w:after="120"/>
        <w:ind w:left="0"/>
        <w:jc w:val="both"/>
        <w:rPr>
          <w:lang w:eastAsia="en-US"/>
        </w:rPr>
      </w:pPr>
      <w:r w:rsidRPr="00A37160">
        <w:rPr>
          <w:lang w:val="en-US" w:eastAsia="en-US"/>
        </w:rPr>
        <w:t>CVA</w:t>
      </w:r>
      <w:r w:rsidRPr="00A37160">
        <w:rPr>
          <w:lang w:eastAsia="en-US"/>
        </w:rPr>
        <w:t xml:space="preserve"> – </w:t>
      </w:r>
      <w:r w:rsidRPr="00A37160">
        <w:rPr>
          <w:lang w:val="en-US" w:eastAsia="en-US"/>
        </w:rPr>
        <w:t>Credit</w:t>
      </w:r>
      <w:r w:rsidRPr="00A37160">
        <w:rPr>
          <w:lang w:eastAsia="en-US"/>
        </w:rPr>
        <w:t xml:space="preserve"> </w:t>
      </w:r>
      <w:r w:rsidRPr="00A37160">
        <w:rPr>
          <w:lang w:val="en-US" w:eastAsia="en-US"/>
        </w:rPr>
        <w:t>Value</w:t>
      </w:r>
      <w:r w:rsidRPr="00A37160">
        <w:rPr>
          <w:lang w:eastAsia="en-US"/>
        </w:rPr>
        <w:t xml:space="preserve"> </w:t>
      </w:r>
      <w:r w:rsidRPr="00A37160">
        <w:rPr>
          <w:lang w:val="en-US" w:eastAsia="en-US"/>
        </w:rPr>
        <w:t>Adjustment</w:t>
      </w:r>
      <w:r w:rsidRPr="00A37160">
        <w:rPr>
          <w:lang w:eastAsia="en-US"/>
        </w:rPr>
        <w:t xml:space="preserve"> – поправка на кредитный риск контрагента</w:t>
      </w:r>
    </w:p>
    <w:p w14:paraId="3C328F02" w14:textId="77777777" w:rsidR="001B1EAB" w:rsidRPr="00A37160" w:rsidRDefault="001B1EAB" w:rsidP="008D5876">
      <w:pPr>
        <w:pStyle w:val="a7"/>
        <w:spacing w:before="120" w:after="120"/>
        <w:ind w:left="0"/>
        <w:jc w:val="both"/>
        <w:rPr>
          <w:lang w:eastAsia="en-US"/>
        </w:rPr>
      </w:pPr>
      <w:r w:rsidRPr="00A37160">
        <w:rPr>
          <w:lang w:val="en-US" w:eastAsia="en-US"/>
        </w:rPr>
        <w:t>DVA</w:t>
      </w:r>
      <w:r w:rsidRPr="00A37160">
        <w:rPr>
          <w:lang w:eastAsia="en-US"/>
        </w:rPr>
        <w:t xml:space="preserve"> -</w:t>
      </w:r>
      <w:r w:rsidRPr="00A37160">
        <w:rPr>
          <w:lang w:eastAsia="en-US"/>
        </w:rPr>
        <w:tab/>
        <w:t xml:space="preserve"> </w:t>
      </w:r>
      <w:r w:rsidRPr="00A37160">
        <w:rPr>
          <w:lang w:val="en-US" w:eastAsia="en-US"/>
        </w:rPr>
        <w:t>Debit</w:t>
      </w:r>
      <w:r w:rsidRPr="00A37160">
        <w:rPr>
          <w:lang w:eastAsia="en-US"/>
        </w:rPr>
        <w:t xml:space="preserve"> </w:t>
      </w:r>
      <w:r w:rsidRPr="00A37160">
        <w:rPr>
          <w:lang w:val="en-US" w:eastAsia="en-US"/>
        </w:rPr>
        <w:t>Value</w:t>
      </w:r>
      <w:r w:rsidRPr="00A37160">
        <w:rPr>
          <w:lang w:eastAsia="en-US"/>
        </w:rPr>
        <w:t xml:space="preserve"> </w:t>
      </w:r>
      <w:r w:rsidRPr="00A37160">
        <w:rPr>
          <w:lang w:val="en-US" w:eastAsia="en-US"/>
        </w:rPr>
        <w:t>Adjustment</w:t>
      </w:r>
      <w:r w:rsidRPr="00A37160">
        <w:rPr>
          <w:lang w:eastAsia="en-US"/>
        </w:rPr>
        <w:t xml:space="preserve"> – поправка на кредитный риск банка</w:t>
      </w:r>
    </w:p>
    <w:p w14:paraId="7AA5027C" w14:textId="77777777" w:rsidR="001B1EAB" w:rsidRPr="00A37160" w:rsidRDefault="001B1EAB" w:rsidP="008D5876">
      <w:pPr>
        <w:pStyle w:val="a7"/>
        <w:spacing w:before="120" w:after="120"/>
        <w:ind w:left="0"/>
        <w:jc w:val="both"/>
        <w:rPr>
          <w:lang w:eastAsia="en-US"/>
        </w:rPr>
      </w:pPr>
      <w:r w:rsidRPr="00A37160">
        <w:rPr>
          <w:lang w:val="en-US" w:eastAsia="en-US"/>
        </w:rPr>
        <w:t>EPE</w:t>
      </w:r>
      <w:r w:rsidRPr="00A37160">
        <w:rPr>
          <w:lang w:eastAsia="en-US"/>
        </w:rPr>
        <w:t xml:space="preserve"> – </w:t>
      </w:r>
      <w:r w:rsidRPr="00A37160">
        <w:rPr>
          <w:lang w:val="en-US" w:eastAsia="en-US"/>
        </w:rPr>
        <w:t>Expected</w:t>
      </w:r>
      <w:r w:rsidRPr="00A37160">
        <w:rPr>
          <w:lang w:eastAsia="en-US"/>
        </w:rPr>
        <w:t xml:space="preserve"> </w:t>
      </w:r>
      <w:r w:rsidRPr="00A37160">
        <w:rPr>
          <w:lang w:val="en-US" w:eastAsia="en-US"/>
        </w:rPr>
        <w:t>Positive</w:t>
      </w:r>
      <w:r w:rsidRPr="00A37160">
        <w:rPr>
          <w:lang w:eastAsia="en-US"/>
        </w:rPr>
        <w:t xml:space="preserve"> </w:t>
      </w:r>
      <w:r w:rsidRPr="00A37160">
        <w:rPr>
          <w:lang w:val="en-US" w:eastAsia="en-US"/>
        </w:rPr>
        <w:t>Exposure</w:t>
      </w:r>
      <w:r w:rsidRPr="00A37160">
        <w:rPr>
          <w:lang w:eastAsia="en-US"/>
        </w:rPr>
        <w:t xml:space="preserve"> </w:t>
      </w:r>
      <w:r w:rsidRPr="00A37160">
        <w:t>– положительная ожидаемая подверженность риску</w:t>
      </w:r>
      <w:r w:rsidRPr="00A37160">
        <w:rPr>
          <w:lang w:eastAsia="en-US"/>
        </w:rPr>
        <w:t xml:space="preserve"> </w:t>
      </w:r>
    </w:p>
    <w:p w14:paraId="275D492F" w14:textId="77777777" w:rsidR="001B1EAB" w:rsidRPr="00A37160" w:rsidRDefault="001B1EAB" w:rsidP="008D5876">
      <w:pPr>
        <w:pStyle w:val="a7"/>
        <w:spacing w:before="120" w:after="120"/>
        <w:ind w:left="0"/>
        <w:jc w:val="both"/>
      </w:pPr>
      <w:r w:rsidRPr="00A37160">
        <w:rPr>
          <w:lang w:val="en-US" w:eastAsia="en-US"/>
        </w:rPr>
        <w:t>ENE</w:t>
      </w:r>
      <w:r w:rsidRPr="00A37160">
        <w:rPr>
          <w:lang w:eastAsia="en-US"/>
        </w:rPr>
        <w:t xml:space="preserve"> – </w:t>
      </w:r>
      <w:r w:rsidRPr="00A37160">
        <w:rPr>
          <w:lang w:val="en-US" w:eastAsia="en-US"/>
        </w:rPr>
        <w:t>Expected</w:t>
      </w:r>
      <w:r w:rsidRPr="00A37160">
        <w:rPr>
          <w:lang w:eastAsia="en-US"/>
        </w:rPr>
        <w:t xml:space="preserve"> </w:t>
      </w:r>
      <w:r w:rsidRPr="00A37160">
        <w:rPr>
          <w:lang w:val="en-US" w:eastAsia="en-US"/>
        </w:rPr>
        <w:t>Negative</w:t>
      </w:r>
      <w:r w:rsidRPr="00A37160">
        <w:rPr>
          <w:lang w:eastAsia="en-US"/>
        </w:rPr>
        <w:t xml:space="preserve"> </w:t>
      </w:r>
      <w:r w:rsidRPr="00A37160">
        <w:rPr>
          <w:lang w:val="en-US" w:eastAsia="en-US"/>
        </w:rPr>
        <w:t>Exposure</w:t>
      </w:r>
      <w:r w:rsidRPr="00A37160">
        <w:rPr>
          <w:lang w:eastAsia="en-US"/>
        </w:rPr>
        <w:t xml:space="preserve"> </w:t>
      </w:r>
      <w:r w:rsidRPr="00A37160">
        <w:t>– отрицательная ожидаемая подверженность риску</w:t>
      </w:r>
    </w:p>
    <w:p w14:paraId="40CD468C" w14:textId="77777777" w:rsidR="00B95F0B" w:rsidRPr="00C26FF3" w:rsidRDefault="00B95F0B" w:rsidP="008D5876">
      <w:pPr>
        <w:pStyle w:val="a7"/>
        <w:spacing w:before="120" w:after="120"/>
        <w:ind w:left="0"/>
        <w:jc w:val="both"/>
      </w:pPr>
      <m:oMath>
        <m:r>
          <w:rPr>
            <w:rFonts w:ascii="Cambria Math" w:hAnsi="Cambria Math"/>
            <w:lang w:val="en-US"/>
          </w:rPr>
          <m:t>PFE</m:t>
        </m:r>
      </m:oMath>
      <w:r w:rsidRPr="00A37160">
        <w:t xml:space="preserve"> </w:t>
      </w:r>
      <w:r w:rsidRPr="00A37160">
        <w:rPr>
          <w:lang w:eastAsia="en-US"/>
        </w:rPr>
        <w:t xml:space="preserve">– </w:t>
      </w:r>
      <w:r w:rsidRPr="00A37160">
        <w:rPr>
          <w:lang w:val="en-US" w:eastAsia="en-US"/>
        </w:rPr>
        <w:t>Potential</w:t>
      </w:r>
      <w:r w:rsidRPr="00A37160">
        <w:rPr>
          <w:lang w:eastAsia="en-US"/>
        </w:rPr>
        <w:t xml:space="preserve">  </w:t>
      </w:r>
      <w:r w:rsidRPr="00A37160">
        <w:rPr>
          <w:lang w:val="en-US" w:eastAsia="en-US"/>
        </w:rPr>
        <w:t>Future</w:t>
      </w:r>
      <w:r w:rsidRPr="00A37160">
        <w:rPr>
          <w:lang w:eastAsia="en-US"/>
        </w:rPr>
        <w:t xml:space="preserve"> </w:t>
      </w:r>
      <w:r w:rsidRPr="00A37160">
        <w:rPr>
          <w:lang w:val="en-US" w:eastAsia="en-US"/>
        </w:rPr>
        <w:t>Exposure</w:t>
      </w:r>
      <w:r w:rsidRPr="00A37160">
        <w:rPr>
          <w:lang w:eastAsia="en-US"/>
        </w:rPr>
        <w:t xml:space="preserve"> -  потенциальная </w:t>
      </w:r>
      <w:r w:rsidRPr="00A37160">
        <w:t>ожидаемая подверженность риску</w:t>
      </w:r>
    </w:p>
    <w:p w14:paraId="1E1844B9" w14:textId="77777777" w:rsidR="00194FA4" w:rsidRPr="00101B17" w:rsidRDefault="00194FA4" w:rsidP="008D5876">
      <w:pPr>
        <w:pStyle w:val="a7"/>
        <w:spacing w:before="120" w:after="120"/>
        <w:ind w:left="0"/>
        <w:jc w:val="both"/>
      </w:pPr>
      <w:r>
        <w:rPr>
          <w:lang w:val="en-US"/>
        </w:rPr>
        <w:t>LGD</w:t>
      </w:r>
      <w:r w:rsidRPr="00C26FF3">
        <w:t xml:space="preserve"> – </w:t>
      </w:r>
      <w:r>
        <w:rPr>
          <w:lang w:val="en-US"/>
        </w:rPr>
        <w:t>Loss</w:t>
      </w:r>
      <w:r w:rsidRPr="00C26FF3">
        <w:t xml:space="preserve"> </w:t>
      </w:r>
      <w:r>
        <w:rPr>
          <w:lang w:val="en-US"/>
        </w:rPr>
        <w:t>Given</w:t>
      </w:r>
      <w:r w:rsidRPr="00C26FF3">
        <w:t xml:space="preserve"> </w:t>
      </w:r>
      <w:r>
        <w:rPr>
          <w:lang w:val="en-US"/>
        </w:rPr>
        <w:t>Default</w:t>
      </w:r>
      <w:r w:rsidRPr="00C26FF3">
        <w:t xml:space="preserve"> - </w:t>
      </w:r>
      <w:r w:rsidRPr="00101B17">
        <w:t xml:space="preserve"> </w:t>
      </w:r>
      <w:r>
        <w:t>уровень</w:t>
      </w:r>
      <w:r w:rsidRPr="00101B17">
        <w:t xml:space="preserve"> </w:t>
      </w:r>
      <w:r>
        <w:t>потерь</w:t>
      </w:r>
      <w:r w:rsidRPr="00101B17">
        <w:t xml:space="preserve"> </w:t>
      </w:r>
      <w:r>
        <w:t>при</w:t>
      </w:r>
      <w:r w:rsidRPr="00101B17">
        <w:t xml:space="preserve"> </w:t>
      </w:r>
      <w:r>
        <w:t>дефолте</w:t>
      </w:r>
    </w:p>
    <w:p w14:paraId="24113B36" w14:textId="77777777" w:rsidR="00194FA4" w:rsidRDefault="00DA21A1" w:rsidP="008D5876">
      <w:pPr>
        <w:pStyle w:val="a7"/>
        <w:spacing w:before="120" w:after="120"/>
        <w:ind w:left="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LGD</m:t>
            </m:r>
          </m:e>
          <m:sub>
            <m:r>
              <w:rPr>
                <w:rFonts w:ascii="Cambria Math" w:hAnsi="Cambria Math"/>
                <w:lang w:val="en-US"/>
              </w:rPr>
              <m:t>collateral</m:t>
            </m:r>
          </m:sub>
        </m:sSub>
      </m:oMath>
      <w:r w:rsidR="00194FA4">
        <w:t xml:space="preserve"> </w:t>
      </w:r>
      <w:r w:rsidR="00194FA4" w:rsidRPr="00C26FF3">
        <w:t xml:space="preserve">– </w:t>
      </w:r>
      <w:r w:rsidR="00194FA4">
        <w:rPr>
          <w:lang w:val="en-US"/>
        </w:rPr>
        <w:t>Loss</w:t>
      </w:r>
      <w:r w:rsidR="00194FA4" w:rsidRPr="00C26FF3">
        <w:t xml:space="preserve"> </w:t>
      </w:r>
      <w:r w:rsidR="00194FA4">
        <w:rPr>
          <w:lang w:val="en-US"/>
        </w:rPr>
        <w:t>Given</w:t>
      </w:r>
      <w:r w:rsidR="00194FA4" w:rsidRPr="00C26FF3">
        <w:t xml:space="preserve"> </w:t>
      </w:r>
      <w:r w:rsidR="00194FA4">
        <w:rPr>
          <w:lang w:val="en-US"/>
        </w:rPr>
        <w:t>Default</w:t>
      </w:r>
      <w:r w:rsidR="00194FA4" w:rsidRPr="00C26FF3">
        <w:t xml:space="preserve"> -  </w:t>
      </w:r>
      <w:r w:rsidR="00194FA4">
        <w:t>уровень</w:t>
      </w:r>
      <w:r w:rsidR="00194FA4" w:rsidRPr="00C26FF3">
        <w:t xml:space="preserve"> </w:t>
      </w:r>
      <w:r w:rsidR="00194FA4">
        <w:t>потерь</w:t>
      </w:r>
      <w:r w:rsidR="00194FA4" w:rsidRPr="00C26FF3">
        <w:t xml:space="preserve"> </w:t>
      </w:r>
      <w:r w:rsidR="00194FA4">
        <w:t>при</w:t>
      </w:r>
      <w:r w:rsidR="00194FA4" w:rsidRPr="00C26FF3">
        <w:t xml:space="preserve"> </w:t>
      </w:r>
      <w:r w:rsidR="00194FA4">
        <w:t xml:space="preserve">дефолте с учетом обеспечения. </w:t>
      </w:r>
    </w:p>
    <w:p w14:paraId="44193D77" w14:textId="77777777" w:rsidR="008B19C0" w:rsidRPr="00194FA4" w:rsidRDefault="008B19C0" w:rsidP="008B19C0">
      <w:pPr>
        <w:pStyle w:val="a7"/>
        <w:spacing w:before="120" w:after="120"/>
        <w:ind w:left="0"/>
      </w:pPr>
    </w:p>
    <w:p w14:paraId="1757D693" w14:textId="77777777" w:rsidR="00194FA4" w:rsidRPr="00194FA4" w:rsidRDefault="00194FA4" w:rsidP="001B1EAB">
      <w:pPr>
        <w:pStyle w:val="a7"/>
        <w:spacing w:before="120" w:after="120"/>
        <w:ind w:left="0"/>
      </w:pPr>
    </w:p>
    <w:p w14:paraId="1FCF7ECD" w14:textId="77777777" w:rsidR="001B1EAB" w:rsidRPr="00194FA4" w:rsidRDefault="001B1EAB" w:rsidP="001B1EAB"/>
    <w:p w14:paraId="76403731" w14:textId="77777777" w:rsidR="001B1EAB" w:rsidRPr="00194FA4" w:rsidRDefault="001B1EAB" w:rsidP="001B1EAB">
      <w:pPr>
        <w:spacing w:after="200" w:line="276" w:lineRule="auto"/>
      </w:pPr>
      <w:r w:rsidRPr="00194FA4">
        <w:br w:type="page"/>
      </w:r>
    </w:p>
    <w:p w14:paraId="18923FE6" w14:textId="77777777" w:rsidR="001B1EAB" w:rsidRPr="00194FA4" w:rsidRDefault="001B1EAB" w:rsidP="001B1EAB"/>
    <w:p w14:paraId="3DAA2004" w14:textId="77777777" w:rsidR="00033828" w:rsidRPr="00C26FF3" w:rsidRDefault="001B1EAB" w:rsidP="001B1EAB">
      <w:pPr>
        <w:pStyle w:val="2"/>
        <w:keepLines w:val="0"/>
        <w:spacing w:before="240" w:after="240"/>
        <w:ind w:left="142"/>
        <w:jc w:val="right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  <w:bookmarkStart w:id="48" w:name="_Toc470105873"/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>Приложение №</w:t>
      </w:r>
      <w:r w:rsidR="004266B9">
        <w:rPr>
          <w:rFonts w:ascii="Times New Roman" w:hAnsi="Times New Roman"/>
          <w:iCs/>
          <w:color w:val="auto"/>
          <w:sz w:val="24"/>
          <w:szCs w:val="24"/>
          <w:lang w:eastAsia="en-US"/>
        </w:rPr>
        <w:t>3</w:t>
      </w:r>
      <w:bookmarkEnd w:id="48"/>
      <w:r w:rsidR="004266B9"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 xml:space="preserve"> </w:t>
      </w:r>
    </w:p>
    <w:p w14:paraId="429AFB8A" w14:textId="77777777" w:rsidR="001B1EAB" w:rsidRPr="00F23371" w:rsidRDefault="001B1EAB" w:rsidP="00F23371">
      <w:pPr>
        <w:pStyle w:val="2"/>
        <w:keepLines w:val="0"/>
        <w:spacing w:before="240" w:after="240"/>
        <w:ind w:left="142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  <w:bookmarkStart w:id="49" w:name="_Toc470105874"/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>Перечень</w:t>
      </w:r>
      <w:r w:rsidR="00F23371">
        <w:rPr>
          <w:rFonts w:ascii="Times New Roman" w:hAnsi="Times New Roman"/>
          <w:iCs/>
          <w:color w:val="auto"/>
          <w:sz w:val="24"/>
          <w:szCs w:val="24"/>
          <w:lang w:eastAsia="en-US"/>
        </w:rPr>
        <w:t xml:space="preserve"> ссылочных документов</w:t>
      </w:r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>.</w:t>
      </w:r>
      <w:bookmarkEnd w:id="49"/>
    </w:p>
    <w:p w14:paraId="4EB0BEEA" w14:textId="77777777" w:rsidR="00F81DB3" w:rsidRPr="00A37160" w:rsidRDefault="00037F0B" w:rsidP="00037F0B">
      <w:pPr>
        <w:pStyle w:val="22"/>
        <w:autoSpaceDE w:val="0"/>
        <w:autoSpaceDN w:val="0"/>
        <w:spacing w:after="0" w:line="320" w:lineRule="exact"/>
        <w:jc w:val="both"/>
        <w:rPr>
          <w:szCs w:val="24"/>
          <w:lang w:val="ru-RU"/>
        </w:rPr>
      </w:pPr>
      <w:r w:rsidRPr="00037F0B">
        <w:rPr>
          <w:szCs w:val="24"/>
          <w:lang w:val="ru-RU"/>
        </w:rPr>
        <w:t>1</w:t>
      </w:r>
      <w:r w:rsidR="00786319">
        <w:rPr>
          <w:szCs w:val="24"/>
          <w:lang w:val="ru-RU"/>
        </w:rPr>
        <w:t>.</w:t>
      </w:r>
      <w:r w:rsidRPr="00037F0B">
        <w:rPr>
          <w:szCs w:val="24"/>
          <w:lang w:val="ru-RU"/>
        </w:rPr>
        <w:t xml:space="preserve">  </w:t>
      </w:r>
      <w:r w:rsidR="00F81DB3" w:rsidRPr="00A37160">
        <w:rPr>
          <w:szCs w:val="24"/>
          <w:lang w:val="ru-RU"/>
        </w:rPr>
        <w:t>Методика оценки уровн</w:t>
      </w:r>
      <w:r w:rsidR="00AC16B4">
        <w:rPr>
          <w:szCs w:val="24"/>
          <w:lang w:val="ru-RU"/>
        </w:rPr>
        <w:t xml:space="preserve">я потерь при дефолте (Редакция </w:t>
      </w:r>
      <w:r w:rsidR="00AC16B4" w:rsidRPr="00AC16B4">
        <w:rPr>
          <w:szCs w:val="24"/>
          <w:lang w:val="ru-RU"/>
        </w:rPr>
        <w:t>3</w:t>
      </w:r>
      <w:r w:rsidR="00F81DB3" w:rsidRPr="00A37160">
        <w:rPr>
          <w:szCs w:val="24"/>
          <w:lang w:val="ru-RU"/>
        </w:rPr>
        <w:t>) №</w:t>
      </w:r>
      <w:r w:rsidR="00EE6C2C" w:rsidRPr="00A37160">
        <w:rPr>
          <w:szCs w:val="24"/>
          <w:lang w:val="ru-RU"/>
        </w:rPr>
        <w:t xml:space="preserve"> </w:t>
      </w:r>
      <w:r w:rsidR="00AC16B4">
        <w:rPr>
          <w:szCs w:val="24"/>
          <w:lang w:val="ru-RU"/>
        </w:rPr>
        <w:t>2045-</w:t>
      </w:r>
      <w:r w:rsidR="00AC16B4" w:rsidRPr="00AC16B4">
        <w:rPr>
          <w:szCs w:val="24"/>
          <w:lang w:val="ru-RU"/>
        </w:rPr>
        <w:t>3</w:t>
      </w:r>
      <w:r w:rsidR="00AC16B4">
        <w:rPr>
          <w:szCs w:val="24"/>
          <w:lang w:val="ru-RU"/>
        </w:rPr>
        <w:t xml:space="preserve"> от 1</w:t>
      </w:r>
      <w:r w:rsidR="00AC16B4" w:rsidRPr="00AC16B4">
        <w:rPr>
          <w:szCs w:val="24"/>
          <w:lang w:val="ru-RU"/>
        </w:rPr>
        <w:t>0</w:t>
      </w:r>
      <w:r w:rsidR="00AC16B4">
        <w:rPr>
          <w:szCs w:val="24"/>
          <w:lang w:val="ru-RU"/>
        </w:rPr>
        <w:t>.0</w:t>
      </w:r>
      <w:r w:rsidR="00AC16B4" w:rsidRPr="00AC16B4">
        <w:rPr>
          <w:szCs w:val="24"/>
          <w:lang w:val="ru-RU"/>
        </w:rPr>
        <w:t>6</w:t>
      </w:r>
      <w:r w:rsidR="00AC16B4">
        <w:rPr>
          <w:szCs w:val="24"/>
          <w:lang w:val="ru-RU"/>
        </w:rPr>
        <w:t>.201</w:t>
      </w:r>
      <w:r w:rsidR="00AC16B4" w:rsidRPr="00AC16B4">
        <w:rPr>
          <w:szCs w:val="24"/>
          <w:lang w:val="ru-RU"/>
        </w:rPr>
        <w:t>5</w:t>
      </w:r>
      <w:r w:rsidR="00384ACD" w:rsidRPr="00A37160">
        <w:rPr>
          <w:szCs w:val="24"/>
          <w:lang w:val="ru-RU"/>
        </w:rPr>
        <w:t>.</w:t>
      </w:r>
    </w:p>
    <w:p w14:paraId="6D98F26B" w14:textId="77777777" w:rsidR="00384ACD" w:rsidRPr="00351EDD" w:rsidRDefault="00DB5088" w:rsidP="00037F0B">
      <w:pPr>
        <w:pStyle w:val="22"/>
        <w:autoSpaceDE w:val="0"/>
        <w:autoSpaceDN w:val="0"/>
        <w:spacing w:after="0" w:line="320" w:lineRule="exact"/>
        <w:jc w:val="both"/>
        <w:rPr>
          <w:szCs w:val="24"/>
          <w:lang w:val="ru-RU"/>
        </w:rPr>
      </w:pPr>
      <w:r>
        <w:rPr>
          <w:szCs w:val="24"/>
          <w:lang w:val="ru-RU"/>
        </w:rPr>
        <w:t>2.</w:t>
      </w:r>
      <w:r w:rsidR="00037F0B" w:rsidRPr="00C26FF3">
        <w:rPr>
          <w:szCs w:val="24"/>
          <w:lang w:val="ru-RU"/>
        </w:rPr>
        <w:t xml:space="preserve"> </w:t>
      </w:r>
      <w:r w:rsidR="00384ACD" w:rsidRPr="00A37160">
        <w:rPr>
          <w:szCs w:val="24"/>
          <w:lang w:val="ru-RU"/>
        </w:rPr>
        <w:t>Методика оценки Уровня потерь при дефолте (</w:t>
      </w:r>
      <w:r w:rsidR="00384ACD" w:rsidRPr="00A37160">
        <w:rPr>
          <w:szCs w:val="24"/>
          <w:lang w:val="en-US"/>
        </w:rPr>
        <w:t>LGD</w:t>
      </w:r>
      <w:r w:rsidR="00384ACD" w:rsidRPr="00A37160">
        <w:rPr>
          <w:szCs w:val="24"/>
          <w:lang w:val="ru-RU"/>
        </w:rPr>
        <w:t>) для финансовых организаций №3564 от 18.11.2014.</w:t>
      </w:r>
    </w:p>
    <w:p w14:paraId="1F98E3CA" w14:textId="77777777" w:rsidR="00351EDD" w:rsidRPr="00AC16B4" w:rsidRDefault="00DB5088" w:rsidP="00AC16B4">
      <w:pPr>
        <w:jc w:val="both"/>
        <w:rPr>
          <w:bCs/>
        </w:rPr>
      </w:pPr>
      <w:r>
        <w:t>3.</w:t>
      </w:r>
      <w:r w:rsidR="00AC16B4" w:rsidRPr="00AC16B4">
        <w:rPr>
          <w:bCs/>
        </w:rPr>
        <w:t xml:space="preserve"> Методика работы с инструментами оценки риска – моделями оценки вероятности дефолта при принятии и мониторинге кредитн</w:t>
      </w:r>
      <w:r w:rsidR="00AC16B4">
        <w:rPr>
          <w:bCs/>
        </w:rPr>
        <w:t>ых рисков</w:t>
      </w:r>
      <w:r w:rsidR="00C0356E">
        <w:rPr>
          <w:bCs/>
        </w:rPr>
        <w:t xml:space="preserve"> №3867-2 от 25.02.201</w:t>
      </w:r>
      <w:r w:rsidR="00C0356E" w:rsidRPr="00C0356E">
        <w:rPr>
          <w:bCs/>
        </w:rPr>
        <w:t>6</w:t>
      </w:r>
      <w:r w:rsidR="00AC16B4" w:rsidRPr="00AC16B4">
        <w:rPr>
          <w:bCs/>
        </w:rPr>
        <w:t xml:space="preserve"> </w:t>
      </w:r>
    </w:p>
    <w:p w14:paraId="47678C08" w14:textId="77777777" w:rsidR="006E7350" w:rsidRPr="00C26FF3" w:rsidRDefault="00DB5088" w:rsidP="006E7350">
      <w:pPr>
        <w:pStyle w:val="aa"/>
        <w:rPr>
          <w:rFonts w:eastAsia="PMingLiU"/>
          <w:sz w:val="24"/>
          <w:lang w:eastAsia="en-US"/>
        </w:rPr>
      </w:pPr>
      <w:r>
        <w:rPr>
          <w:rFonts w:eastAsia="PMingLiU"/>
          <w:sz w:val="24"/>
          <w:lang w:eastAsia="en-US"/>
        </w:rPr>
        <w:t>4.</w:t>
      </w:r>
      <w:r w:rsidR="00786319">
        <w:rPr>
          <w:rFonts w:eastAsia="PMingLiU"/>
          <w:sz w:val="24"/>
          <w:lang w:eastAsia="en-US"/>
        </w:rPr>
        <w:t xml:space="preserve"> </w:t>
      </w:r>
      <w:r w:rsidR="006E7350" w:rsidRPr="00C26FF3">
        <w:rPr>
          <w:rFonts w:eastAsia="PMingLiU"/>
          <w:sz w:val="24"/>
          <w:lang w:eastAsia="en-US"/>
        </w:rPr>
        <w:t xml:space="preserve"> Методика по определению приемлемого обеспечения по операциям на финансовых рынках</w:t>
      </w:r>
      <w:r w:rsidR="006E7350">
        <w:rPr>
          <w:rFonts w:eastAsia="PMingLiU"/>
          <w:sz w:val="24"/>
          <w:lang w:eastAsia="en-US"/>
        </w:rPr>
        <w:t xml:space="preserve"> </w:t>
      </w:r>
      <w:r w:rsidR="006E7350" w:rsidRPr="00C26FF3">
        <w:rPr>
          <w:rFonts w:eastAsia="PMingLiU"/>
          <w:sz w:val="24"/>
          <w:lang w:eastAsia="en-US"/>
        </w:rPr>
        <w:t xml:space="preserve"> №</w:t>
      </w:r>
      <w:r w:rsidR="006E7350">
        <w:rPr>
          <w:rFonts w:eastAsia="PMingLiU"/>
          <w:sz w:val="24"/>
          <w:lang w:eastAsia="en-US"/>
        </w:rPr>
        <w:t xml:space="preserve"> </w:t>
      </w:r>
      <w:r w:rsidR="006E7350" w:rsidRPr="00C26FF3">
        <w:rPr>
          <w:rFonts w:eastAsia="PMingLiU"/>
          <w:sz w:val="24"/>
          <w:lang w:eastAsia="en-US"/>
        </w:rPr>
        <w:t>3388 от 04.07.2014</w:t>
      </w:r>
    </w:p>
    <w:p w14:paraId="6A73EBF7" w14:textId="77777777" w:rsidR="006E7350" w:rsidRPr="00A37160" w:rsidRDefault="006E7350" w:rsidP="00037F0B">
      <w:pPr>
        <w:pStyle w:val="22"/>
        <w:autoSpaceDE w:val="0"/>
        <w:autoSpaceDN w:val="0"/>
        <w:spacing w:after="0" w:line="320" w:lineRule="exact"/>
        <w:jc w:val="both"/>
        <w:rPr>
          <w:szCs w:val="24"/>
          <w:lang w:val="ru-RU"/>
        </w:rPr>
      </w:pPr>
    </w:p>
    <w:p w14:paraId="7C30537F" w14:textId="77777777" w:rsidR="001B1EAB" w:rsidRPr="00A37160" w:rsidRDefault="001B1EAB" w:rsidP="001B1EAB">
      <w:pPr>
        <w:spacing w:after="200" w:line="276" w:lineRule="auto"/>
        <w:rPr>
          <w:b/>
          <w:bCs/>
          <w:iCs/>
          <w:lang w:eastAsia="en-US"/>
        </w:rPr>
      </w:pPr>
      <w:r w:rsidRPr="00A37160">
        <w:rPr>
          <w:iCs/>
          <w:lang w:eastAsia="en-US"/>
        </w:rPr>
        <w:br w:type="page"/>
      </w:r>
    </w:p>
    <w:p w14:paraId="65001723" w14:textId="77777777" w:rsidR="001B1EAB" w:rsidRPr="00A37160" w:rsidRDefault="001B1EAB" w:rsidP="001B1EAB">
      <w:pPr>
        <w:pStyle w:val="22"/>
        <w:autoSpaceDE w:val="0"/>
        <w:autoSpaceDN w:val="0"/>
        <w:spacing w:after="0" w:line="320" w:lineRule="exact"/>
        <w:ind w:left="720"/>
        <w:jc w:val="both"/>
        <w:rPr>
          <w:szCs w:val="24"/>
          <w:lang w:val="ru-RU"/>
        </w:rPr>
      </w:pPr>
    </w:p>
    <w:p w14:paraId="4F84780D" w14:textId="77777777" w:rsidR="001B1EAB" w:rsidRPr="00033828" w:rsidRDefault="001B1EAB" w:rsidP="001B1EAB">
      <w:pPr>
        <w:pStyle w:val="2"/>
        <w:ind w:left="6372" w:firstLine="708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  <w:bookmarkStart w:id="50" w:name="_Toc470105875"/>
      <w:r w:rsidRPr="00033828">
        <w:rPr>
          <w:rFonts w:ascii="Times New Roman" w:hAnsi="Times New Roman"/>
          <w:iCs/>
          <w:color w:val="auto"/>
          <w:sz w:val="24"/>
          <w:szCs w:val="24"/>
          <w:lang w:eastAsia="en-US"/>
        </w:rPr>
        <w:t>Приложение №</w:t>
      </w:r>
      <w:r w:rsidR="004266B9">
        <w:rPr>
          <w:rFonts w:ascii="Times New Roman" w:hAnsi="Times New Roman"/>
          <w:iCs/>
          <w:color w:val="auto"/>
          <w:sz w:val="24"/>
          <w:szCs w:val="24"/>
          <w:lang w:eastAsia="en-US"/>
        </w:rPr>
        <w:t>4</w:t>
      </w:r>
      <w:bookmarkEnd w:id="50"/>
      <w:r w:rsidR="004266B9" w:rsidRPr="00033828">
        <w:rPr>
          <w:rFonts w:ascii="Times New Roman" w:hAnsi="Times New Roman"/>
          <w:iCs/>
          <w:color w:val="auto"/>
          <w:sz w:val="24"/>
          <w:szCs w:val="24"/>
          <w:lang w:eastAsia="en-US"/>
        </w:rPr>
        <w:t xml:space="preserve"> </w:t>
      </w:r>
    </w:p>
    <w:p w14:paraId="27FE5880" w14:textId="77777777" w:rsidR="001B1EAB" w:rsidRPr="00A37160" w:rsidRDefault="001B1EAB" w:rsidP="00033828">
      <w:pPr>
        <w:pStyle w:val="2"/>
        <w:keepLines w:val="0"/>
        <w:spacing w:before="120" w:after="120"/>
        <w:jc w:val="center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  <w:bookmarkStart w:id="51" w:name="_Toc470105876"/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>Расчет CVA для валютного свопа/форварда</w:t>
      </w:r>
      <w:bookmarkEnd w:id="51"/>
    </w:p>
    <w:p w14:paraId="6395EECE" w14:textId="77777777" w:rsidR="001B1EAB" w:rsidRPr="00A37160" w:rsidRDefault="001B1EAB" w:rsidP="001B1EAB">
      <w:pPr>
        <w:numPr>
          <w:ilvl w:val="1"/>
          <w:numId w:val="7"/>
        </w:numPr>
        <w:autoSpaceDE w:val="0"/>
        <w:autoSpaceDN w:val="0"/>
        <w:spacing w:before="120" w:after="120"/>
        <w:ind w:left="0" w:firstLine="0"/>
        <w:jc w:val="both"/>
      </w:pPr>
      <w:r w:rsidRPr="00A37160">
        <w:t>Факторами риска, от которых зависит стоимость данного вида инструментов, являются:</w:t>
      </w:r>
    </w:p>
    <w:p w14:paraId="09F7398B" w14:textId="77777777" w:rsidR="001B1EAB" w:rsidRPr="00A37160" w:rsidRDefault="001B1EAB" w:rsidP="001B1EAB">
      <w:pPr>
        <w:pStyle w:val="a7"/>
        <w:numPr>
          <w:ilvl w:val="0"/>
          <w:numId w:val="6"/>
        </w:numPr>
        <w:autoSpaceDE w:val="0"/>
        <w:autoSpaceDN w:val="0"/>
        <w:spacing w:before="120" w:after="120"/>
        <w:ind w:left="0" w:firstLine="0"/>
        <w:jc w:val="both"/>
      </w:pPr>
      <w:r w:rsidRPr="00A37160">
        <w:t>Валютный курс</w:t>
      </w:r>
    </w:p>
    <w:p w14:paraId="6C6741C4" w14:textId="77777777" w:rsidR="001B1EAB" w:rsidRPr="00A37160" w:rsidRDefault="001B1EAB" w:rsidP="001B1EAB">
      <w:pPr>
        <w:pStyle w:val="a7"/>
        <w:numPr>
          <w:ilvl w:val="0"/>
          <w:numId w:val="6"/>
        </w:numPr>
        <w:autoSpaceDE w:val="0"/>
        <w:autoSpaceDN w:val="0"/>
        <w:spacing w:before="120" w:after="120"/>
        <w:ind w:left="0" w:firstLine="0"/>
        <w:jc w:val="both"/>
      </w:pPr>
      <w:r w:rsidRPr="00A37160">
        <w:t>Безрисковые ставки для валют контракта</w:t>
      </w:r>
    </w:p>
    <w:p w14:paraId="5052E5DA" w14:textId="77777777" w:rsidR="001B1EAB" w:rsidRPr="00A37160" w:rsidRDefault="001B1EAB" w:rsidP="001B1EAB">
      <w:pPr>
        <w:numPr>
          <w:ilvl w:val="1"/>
          <w:numId w:val="7"/>
        </w:numPr>
        <w:autoSpaceDE w:val="0"/>
        <w:autoSpaceDN w:val="0"/>
        <w:spacing w:before="120" w:after="120"/>
        <w:ind w:left="0" w:firstLine="0"/>
        <w:jc w:val="both"/>
      </w:pPr>
      <w:r w:rsidRPr="00A37160">
        <w:t>Для симуляции значений факторов риска в моменты времени в будущем применяется метод Монте-Карло. Риск</w:t>
      </w:r>
      <w:r w:rsidR="00037F0B" w:rsidRPr="00C26FF3">
        <w:t xml:space="preserve"> </w:t>
      </w:r>
      <w:r w:rsidRPr="00A37160">
        <w:t xml:space="preserve">факторы моделируются с применением соответствующих процессов, описанных в главе </w:t>
      </w:r>
      <w:r w:rsidRPr="00A37160">
        <w:fldChar w:fldCharType="begin"/>
      </w:r>
      <w:r w:rsidRPr="00A37160">
        <w:instrText xml:space="preserve"> REF _Ref359004868 \r \h  \* MERGEFORMAT </w:instrText>
      </w:r>
      <w:r w:rsidRPr="00A37160">
        <w:fldChar w:fldCharType="separate"/>
      </w:r>
      <w:r w:rsidR="005112C9">
        <w:t>3</w:t>
      </w:r>
      <w:r w:rsidRPr="00A37160">
        <w:fldChar w:fldCharType="end"/>
      </w:r>
      <w:r w:rsidRPr="00A37160">
        <w:t>.</w:t>
      </w:r>
    </w:p>
    <w:p w14:paraId="1748BA88" w14:textId="77777777" w:rsidR="001B1EAB" w:rsidRPr="00A37160" w:rsidRDefault="001B1EAB" w:rsidP="001B1EAB">
      <w:pPr>
        <w:numPr>
          <w:ilvl w:val="1"/>
          <w:numId w:val="7"/>
        </w:numPr>
        <w:autoSpaceDE w:val="0"/>
        <w:autoSpaceDN w:val="0"/>
        <w:spacing w:before="120" w:after="120"/>
        <w:ind w:left="0" w:firstLine="0"/>
        <w:jc w:val="both"/>
      </w:pPr>
      <w:r w:rsidRPr="00A37160">
        <w:t xml:space="preserve">На каждом шаге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A37160">
        <w:t xml:space="preserve"> симуляции Монте-Карло, для каждого пути j, рассчитывается  стоимость инструмента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37160">
        <w:t xml:space="preserve"> на основе сгенерированных значений факторов риска с применением утвержденной в Банке модели расчета текущей  стоимости.</w:t>
      </w:r>
    </w:p>
    <w:p w14:paraId="5C28C12E" w14:textId="77777777" w:rsidR="001B1EAB" w:rsidRPr="00A37160" w:rsidRDefault="001B1EAB" w:rsidP="001B1EAB">
      <w:pPr>
        <w:numPr>
          <w:ilvl w:val="1"/>
          <w:numId w:val="7"/>
        </w:numPr>
        <w:autoSpaceDE w:val="0"/>
        <w:autoSpaceDN w:val="0"/>
        <w:spacing w:before="120" w:after="120"/>
        <w:ind w:left="0" w:firstLine="0"/>
        <w:jc w:val="both"/>
      </w:pPr>
      <w:r w:rsidRPr="00A37160">
        <w:t xml:space="preserve">Подверженность риску </w:t>
      </w:r>
      <m:oMath>
        <m:r>
          <w:rPr>
            <w:rFonts w:ascii="Cambria Math" w:hAnsi="Cambria Math"/>
          </w:rPr>
          <m:t>EPE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A37160">
        <w:t xml:space="preserve"> вычисляется в моменты времени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A37160">
        <w:t xml:space="preserve">, как средняя дисконтированная величина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,0</m:t>
                </m:r>
              </m:e>
            </m:d>
          </m:e>
        </m:func>
      </m:oMath>
      <w:r w:rsidRPr="00A37160">
        <w:t>:</w:t>
      </w:r>
    </w:p>
    <w:p w14:paraId="2287F062" w14:textId="77777777" w:rsidR="001B1EAB" w:rsidRPr="00A37160" w:rsidRDefault="001B1EAB" w:rsidP="001B1EAB">
      <w:pPr>
        <w:autoSpaceDE w:val="0"/>
        <w:autoSpaceDN w:val="0"/>
        <w:spacing w:after="240"/>
        <w:ind w:left="1134"/>
        <w:jc w:val="both"/>
      </w:pPr>
      <m:oMath>
        <m:r>
          <w:rPr>
            <w:rFonts w:ascii="Cambria Math" w:hAnsi="Cambria Math"/>
            <w:lang w:val="en-US"/>
          </w:rPr>
          <m:t>EPE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e>
            </m:func>
          </m:e>
        </m:nary>
      </m:oMath>
      <w:r w:rsidRPr="00A37160">
        <w:t>,</w:t>
      </w:r>
    </w:p>
    <w:p w14:paraId="541D9DF1" w14:textId="77777777" w:rsidR="001B1EAB" w:rsidRPr="00A37160" w:rsidRDefault="001B1EAB" w:rsidP="001B1EAB">
      <w:pPr>
        <w:autoSpaceDE w:val="0"/>
        <w:autoSpaceDN w:val="0"/>
        <w:spacing w:after="240"/>
        <w:ind w:left="1134"/>
        <w:jc w:val="both"/>
      </w:pPr>
      <w:r w:rsidRPr="00A37160">
        <w:t>где</w:t>
      </w:r>
    </w:p>
    <w:p w14:paraId="0F410530" w14:textId="77777777" w:rsidR="001B1EAB" w:rsidRPr="00A37160" w:rsidRDefault="001B1EAB" w:rsidP="001B1EAB">
      <w:pPr>
        <w:spacing w:before="120" w:after="120"/>
        <w:jc w:val="both"/>
      </w:pPr>
      <w:r w:rsidRPr="00A37160">
        <w:rPr>
          <w:i/>
          <w:lang w:val="en-GB"/>
        </w:rPr>
        <w:t>N</w:t>
      </w:r>
      <w:r w:rsidRPr="00A37160">
        <w:t xml:space="preserve"> – количество сценариев Монте-Карло.</w:t>
      </w:r>
    </w:p>
    <w:p w14:paraId="4C70C5B9" w14:textId="77777777"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 xml:space="preserve">Вероятность дефолта </w:t>
      </w:r>
      <m:oMath>
        <m:r>
          <m:rPr>
            <m:sty m:val="p"/>
          </m:rPr>
          <w:rPr>
            <w:rFonts w:ascii="Cambria Math" w:hAnsi="Cambria Math"/>
          </w:rPr>
          <m:t>PD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A37160">
        <w:t xml:space="preserve"> определяется по формуле (5.1)</w:t>
      </w:r>
    </w:p>
    <w:p w14:paraId="1D5E2865" w14:textId="77777777"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 xml:space="preserve">CVA вычисляется </w:t>
      </w:r>
      <w:r w:rsidR="00CF5FB9">
        <w:t xml:space="preserve">согласно разделу 4. </w:t>
      </w:r>
    </w:p>
    <w:p w14:paraId="40406A88" w14:textId="77777777" w:rsidR="001B1EAB" w:rsidRPr="00A37160" w:rsidRDefault="001B1EAB" w:rsidP="001B1EAB">
      <w:pPr>
        <w:rPr>
          <w:b/>
          <w:bCs/>
          <w:iCs/>
          <w:lang w:eastAsia="en-US"/>
        </w:rPr>
      </w:pPr>
      <w:r w:rsidRPr="00A37160">
        <w:rPr>
          <w:iCs/>
          <w:lang w:eastAsia="en-US"/>
        </w:rPr>
        <w:br w:type="page"/>
      </w:r>
    </w:p>
    <w:p w14:paraId="0243B3F5" w14:textId="77777777" w:rsidR="001B1EAB" w:rsidRPr="00A37160" w:rsidRDefault="001B1EAB" w:rsidP="001B1EAB">
      <w:pPr>
        <w:pStyle w:val="2"/>
        <w:keepLines w:val="0"/>
        <w:spacing w:before="240" w:after="240"/>
        <w:ind w:left="142"/>
        <w:jc w:val="right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  <w:bookmarkStart w:id="52" w:name="_Toc408929174"/>
      <w:bookmarkStart w:id="53" w:name="_Toc470105877"/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lastRenderedPageBreak/>
        <w:t>Приложение №</w:t>
      </w:r>
      <w:bookmarkEnd w:id="52"/>
      <w:r w:rsidR="004266B9">
        <w:rPr>
          <w:rFonts w:ascii="Times New Roman" w:hAnsi="Times New Roman"/>
          <w:iCs/>
          <w:color w:val="auto"/>
          <w:sz w:val="24"/>
          <w:szCs w:val="24"/>
          <w:lang w:eastAsia="en-US"/>
        </w:rPr>
        <w:t>5</w:t>
      </w:r>
      <w:bookmarkEnd w:id="53"/>
    </w:p>
    <w:p w14:paraId="7A5B7B97" w14:textId="77777777" w:rsidR="001B1EAB" w:rsidRPr="00A37160" w:rsidRDefault="001B1EAB" w:rsidP="001B1EAB">
      <w:pPr>
        <w:pStyle w:val="2"/>
        <w:keepLines w:val="0"/>
        <w:spacing w:before="240" w:after="240"/>
        <w:ind w:left="142"/>
        <w:jc w:val="center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 xml:space="preserve"> </w:t>
      </w:r>
      <w:bookmarkStart w:id="54" w:name="_Toc408929175"/>
      <w:bookmarkStart w:id="55" w:name="_Toc470105878"/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>Расчет CVA для процентного свопа/FRA</w:t>
      </w:r>
      <w:bookmarkEnd w:id="54"/>
      <w:bookmarkEnd w:id="55"/>
    </w:p>
    <w:p w14:paraId="22A15BE7" w14:textId="77777777" w:rsidR="001B1EAB" w:rsidRPr="00A37160" w:rsidRDefault="001B1EAB" w:rsidP="001B1EAB">
      <w:pPr>
        <w:numPr>
          <w:ilvl w:val="1"/>
          <w:numId w:val="7"/>
        </w:numPr>
        <w:autoSpaceDE w:val="0"/>
        <w:autoSpaceDN w:val="0"/>
        <w:spacing w:before="120" w:after="120"/>
        <w:ind w:left="0" w:firstLine="0"/>
        <w:jc w:val="both"/>
      </w:pPr>
      <w:r w:rsidRPr="00A37160">
        <w:t>Факторами риска, от которых зависит  стоимость данного вида инструментов, являются:</w:t>
      </w:r>
    </w:p>
    <w:p w14:paraId="234F63B1" w14:textId="77777777" w:rsidR="001B1EAB" w:rsidRPr="00A37160" w:rsidRDefault="001B1EAB" w:rsidP="001B1EAB">
      <w:pPr>
        <w:pStyle w:val="a7"/>
        <w:numPr>
          <w:ilvl w:val="0"/>
          <w:numId w:val="6"/>
        </w:numPr>
        <w:autoSpaceDE w:val="0"/>
        <w:autoSpaceDN w:val="0"/>
        <w:spacing w:before="120" w:after="120"/>
        <w:ind w:left="0" w:firstLine="0"/>
        <w:jc w:val="both"/>
      </w:pPr>
      <w:r w:rsidRPr="00A37160">
        <w:t>Безрисковые ставки для валют контракта</w:t>
      </w:r>
    </w:p>
    <w:p w14:paraId="37B04EAC" w14:textId="77777777" w:rsidR="001B1EAB" w:rsidRPr="00A37160" w:rsidRDefault="001B1EAB" w:rsidP="001B1EAB">
      <w:pPr>
        <w:numPr>
          <w:ilvl w:val="1"/>
          <w:numId w:val="7"/>
        </w:numPr>
        <w:autoSpaceDE w:val="0"/>
        <w:autoSpaceDN w:val="0"/>
        <w:spacing w:before="120" w:after="120"/>
        <w:ind w:left="0" w:firstLine="0"/>
        <w:jc w:val="both"/>
      </w:pPr>
      <w:r w:rsidRPr="00A37160">
        <w:t>Для симуляции значений факторов риска в моменты времени в будущем применяется метод Монте-Карло. Риск</w:t>
      </w:r>
      <w:r w:rsidR="00037F0B" w:rsidRPr="00C26FF3">
        <w:t xml:space="preserve"> </w:t>
      </w:r>
      <w:r w:rsidRPr="00A37160">
        <w:t xml:space="preserve">факторы моделируются с применением соответствующих процессов, описанных в главе </w:t>
      </w:r>
      <w:r w:rsidRPr="00A37160">
        <w:fldChar w:fldCharType="begin"/>
      </w:r>
      <w:r w:rsidRPr="00A37160">
        <w:instrText xml:space="preserve"> REF _Ref359004868 \r \h  \* MERGEFORMAT </w:instrText>
      </w:r>
      <w:r w:rsidRPr="00A37160">
        <w:fldChar w:fldCharType="separate"/>
      </w:r>
      <w:r w:rsidR="005112C9">
        <w:t>3</w:t>
      </w:r>
      <w:r w:rsidRPr="00A37160">
        <w:fldChar w:fldCharType="end"/>
      </w:r>
      <w:r w:rsidRPr="00A37160">
        <w:t>.</w:t>
      </w:r>
    </w:p>
    <w:p w14:paraId="01C7005E" w14:textId="77777777" w:rsidR="001B1EAB" w:rsidRPr="00A37160" w:rsidRDefault="001B1EAB" w:rsidP="008D5876">
      <w:pPr>
        <w:numPr>
          <w:ilvl w:val="1"/>
          <w:numId w:val="7"/>
        </w:numPr>
        <w:autoSpaceDE w:val="0"/>
        <w:autoSpaceDN w:val="0"/>
        <w:spacing w:before="120" w:after="120"/>
        <w:ind w:left="0" w:firstLine="0"/>
        <w:jc w:val="both"/>
      </w:pPr>
      <w:r w:rsidRPr="00A37160">
        <w:t xml:space="preserve">На каждом шаге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A37160">
        <w:t xml:space="preserve"> симуляции Монте-Карло, для каждого пути j, рассчитывается  стоимость инструмента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37160">
        <w:t xml:space="preserve"> на основе сгенерированных значений факторов риска с применением утвержденной в Банке модели расчета текущей стоимости.</w:t>
      </w:r>
    </w:p>
    <w:p w14:paraId="4A65CE7F" w14:textId="77777777" w:rsidR="001B1EAB" w:rsidRPr="00A37160" w:rsidRDefault="001B1EAB" w:rsidP="001B1EAB">
      <w:pPr>
        <w:numPr>
          <w:ilvl w:val="1"/>
          <w:numId w:val="7"/>
        </w:numPr>
        <w:autoSpaceDE w:val="0"/>
        <w:autoSpaceDN w:val="0"/>
        <w:spacing w:before="120" w:after="120"/>
        <w:ind w:left="0" w:firstLine="0"/>
        <w:jc w:val="both"/>
      </w:pPr>
      <w:r w:rsidRPr="00A37160">
        <w:t xml:space="preserve"> Подверженность риску </w:t>
      </w:r>
      <w:r w:rsidRPr="00A37160">
        <w:rPr>
          <w:lang w:val="en-US"/>
        </w:rPr>
        <w:t>EPE</w:t>
      </w:r>
      <w:r w:rsidRPr="00A37160">
        <w:t>(</w:t>
      </w:r>
      <w:r w:rsidRPr="00A37160">
        <w:rPr>
          <w:lang w:val="en-US"/>
        </w:rPr>
        <w:t>t</w:t>
      </w:r>
      <w:r w:rsidRPr="00A37160">
        <w:t xml:space="preserve">) </w:t>
      </w:r>
      <m:oMath>
        <m:r>
          <m:rPr>
            <m:sty m:val="p"/>
          </m:rPr>
          <w:rPr>
            <w:rFonts w:ascii="Cambria Math" w:hAnsi="Cambria Math"/>
          </w:rPr>
          <m:t>в формуле 2.1</m:t>
        </m:r>
      </m:oMath>
      <w:r w:rsidRPr="00A37160">
        <w:t xml:space="preserve"> вычисляется в моменты времени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A37160">
        <w:t xml:space="preserve">, как средняя дисконтированная величина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,0</m:t>
                </m:r>
              </m:e>
            </m:d>
          </m:e>
        </m:func>
      </m:oMath>
      <w:r w:rsidRPr="00A37160">
        <w:t>:</w:t>
      </w:r>
    </w:p>
    <w:p w14:paraId="3EAFA865" w14:textId="77777777" w:rsidR="001B1EAB" w:rsidRPr="00A37160" w:rsidRDefault="001B1EAB" w:rsidP="001B1EAB">
      <w:pPr>
        <w:autoSpaceDE w:val="0"/>
        <w:autoSpaceDN w:val="0"/>
        <w:spacing w:after="240"/>
        <w:ind w:left="1134"/>
        <w:jc w:val="both"/>
      </w:pPr>
      <m:oMath>
        <m:r>
          <w:rPr>
            <w:rFonts w:ascii="Cambria Math" w:hAnsi="Cambria Math"/>
            <w:lang w:val="en-US"/>
          </w:rPr>
          <m:t>EPE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e>
            </m:func>
          </m:e>
        </m:nary>
      </m:oMath>
      <w:r w:rsidRPr="00A37160">
        <w:t>,</w:t>
      </w:r>
    </w:p>
    <w:p w14:paraId="73DBF564" w14:textId="77777777" w:rsidR="001B1EAB" w:rsidRPr="00A37160" w:rsidRDefault="001B1EAB" w:rsidP="001B1EAB">
      <w:pPr>
        <w:autoSpaceDE w:val="0"/>
        <w:autoSpaceDN w:val="0"/>
        <w:spacing w:after="240"/>
        <w:ind w:left="1134"/>
        <w:jc w:val="both"/>
      </w:pPr>
      <w:r w:rsidRPr="00A37160">
        <w:t>где</w:t>
      </w:r>
    </w:p>
    <w:p w14:paraId="58620133" w14:textId="77777777" w:rsidR="001B1EAB" w:rsidRPr="00A37160" w:rsidRDefault="001B1EAB" w:rsidP="001B1EAB">
      <w:pPr>
        <w:spacing w:after="120"/>
        <w:ind w:left="1134"/>
        <w:jc w:val="both"/>
      </w:pPr>
      <w:r w:rsidRPr="00A37160">
        <w:rPr>
          <w:i/>
          <w:lang w:val="en-GB"/>
        </w:rPr>
        <w:t>N</w:t>
      </w:r>
      <w:r w:rsidRPr="00A37160">
        <w:t xml:space="preserve"> – количество сценариев Монте-Карло.</w:t>
      </w:r>
    </w:p>
    <w:p w14:paraId="42D4F5BE" w14:textId="77777777" w:rsidR="001B1EAB" w:rsidRPr="00A37160" w:rsidRDefault="001B1EAB" w:rsidP="001B1EAB">
      <w:pPr>
        <w:autoSpaceDE w:val="0"/>
        <w:autoSpaceDN w:val="0"/>
        <w:spacing w:after="240"/>
        <w:ind w:left="644"/>
        <w:jc w:val="both"/>
      </w:pPr>
      <w:r w:rsidRPr="00A37160">
        <w:t xml:space="preserve">Вероятность дефолта </w:t>
      </w:r>
      <m:oMath>
        <m:r>
          <m:rPr>
            <m:sty m:val="p"/>
          </m:rPr>
          <w:rPr>
            <w:rFonts w:ascii="Cambria Math" w:hAnsi="Cambria Math"/>
          </w:rPr>
          <m:t>PD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A37160">
        <w:t xml:space="preserve"> определяется по формуле (5.1)</w:t>
      </w:r>
    </w:p>
    <w:p w14:paraId="7EE4494B" w14:textId="77777777" w:rsidR="001B1EAB" w:rsidRPr="00A37160" w:rsidRDefault="001B1EAB" w:rsidP="001B1EAB">
      <w:pPr>
        <w:autoSpaceDE w:val="0"/>
        <w:autoSpaceDN w:val="0"/>
        <w:spacing w:after="240"/>
        <w:ind w:left="644"/>
        <w:jc w:val="both"/>
      </w:pPr>
      <w:r w:rsidRPr="00A37160">
        <w:t>CVA вычисляется по формуле (2.1)</w:t>
      </w:r>
    </w:p>
    <w:p w14:paraId="16DCC932" w14:textId="77777777" w:rsidR="001B1EAB" w:rsidRPr="00A37160" w:rsidRDefault="001B1EAB" w:rsidP="001B1EAB">
      <w:pPr>
        <w:spacing w:after="200" w:line="276" w:lineRule="auto"/>
        <w:rPr>
          <w:lang w:eastAsia="en-US"/>
        </w:rPr>
      </w:pPr>
    </w:p>
    <w:p w14:paraId="2F1F3BE3" w14:textId="77777777" w:rsidR="001B1EAB" w:rsidRPr="00033828" w:rsidRDefault="001B1EAB" w:rsidP="00C26FF3">
      <w:pPr>
        <w:pStyle w:val="2"/>
        <w:ind w:left="6373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A37160">
        <w:rPr>
          <w:iCs/>
          <w:lang w:eastAsia="en-US"/>
        </w:rPr>
        <w:br w:type="page"/>
      </w:r>
      <w:bookmarkStart w:id="56" w:name="_Ref408910004"/>
      <w:bookmarkStart w:id="57" w:name="_Ref408927477"/>
      <w:bookmarkStart w:id="58" w:name="_Toc470105879"/>
      <w:r w:rsidRPr="00033828">
        <w:rPr>
          <w:rFonts w:ascii="Times New Roman" w:hAnsi="Times New Roman"/>
          <w:color w:val="auto"/>
          <w:sz w:val="24"/>
          <w:szCs w:val="24"/>
        </w:rPr>
        <w:lastRenderedPageBreak/>
        <w:t>Приложение №</w:t>
      </w:r>
      <w:bookmarkEnd w:id="56"/>
      <w:bookmarkEnd w:id="57"/>
      <w:r w:rsidR="004266B9">
        <w:rPr>
          <w:rFonts w:ascii="Times New Roman" w:hAnsi="Times New Roman"/>
          <w:color w:val="auto"/>
          <w:sz w:val="24"/>
          <w:szCs w:val="24"/>
        </w:rPr>
        <w:t>6</w:t>
      </w:r>
      <w:bookmarkEnd w:id="58"/>
    </w:p>
    <w:p w14:paraId="5C493A32" w14:textId="77777777" w:rsidR="001B1EAB" w:rsidRPr="00A37160" w:rsidRDefault="001B1EAB" w:rsidP="001B1EAB">
      <w:pPr>
        <w:rPr>
          <w:lang w:eastAsia="en-US"/>
        </w:rPr>
      </w:pPr>
    </w:p>
    <w:p w14:paraId="004A7BFD" w14:textId="77777777" w:rsidR="001B1EAB" w:rsidRDefault="001B1EAB" w:rsidP="001B1EAB">
      <w:pPr>
        <w:pStyle w:val="2"/>
        <w:rPr>
          <w:color w:val="auto"/>
          <w:sz w:val="24"/>
          <w:szCs w:val="24"/>
          <w:lang w:eastAsia="en-US"/>
        </w:rPr>
      </w:pPr>
      <w:bookmarkStart w:id="59" w:name="_Toc470105880"/>
      <w:r w:rsidRPr="00A37160">
        <w:rPr>
          <w:color w:val="auto"/>
          <w:sz w:val="24"/>
          <w:szCs w:val="24"/>
          <w:lang w:eastAsia="en-US"/>
        </w:rPr>
        <w:t>Примеры моделирования факторов риска в однофакторной модели</w:t>
      </w:r>
      <w:bookmarkEnd w:id="59"/>
    </w:p>
    <w:p w14:paraId="44835AFF" w14:textId="77777777" w:rsidR="00C26FF3" w:rsidRPr="00C26FF3" w:rsidRDefault="00C26FF3" w:rsidP="00C26FF3">
      <w:pPr>
        <w:rPr>
          <w:b/>
          <w:lang w:eastAsia="en-US"/>
        </w:rPr>
      </w:pPr>
    </w:p>
    <w:p w14:paraId="7E46CA6B" w14:textId="77777777" w:rsidR="001B1EAB" w:rsidRPr="00C26FF3" w:rsidRDefault="008B19C0" w:rsidP="00C26FF3">
      <w:pPr>
        <w:rPr>
          <w:b/>
        </w:rPr>
      </w:pPr>
      <w:r w:rsidRPr="00C26FF3">
        <w:rPr>
          <w:b/>
        </w:rPr>
        <w:t xml:space="preserve">1. </w:t>
      </w:r>
      <w:r w:rsidR="001B1EAB" w:rsidRPr="00C26FF3">
        <w:rPr>
          <w:b/>
        </w:rPr>
        <w:t>Валютный курс</w:t>
      </w:r>
    </w:p>
    <w:p w14:paraId="7CD054AB" w14:textId="77777777" w:rsidR="001B1EAB" w:rsidRPr="00A37160" w:rsidRDefault="001B1EAB" w:rsidP="001B1EAB">
      <w:pPr>
        <w:pStyle w:val="a7"/>
        <w:numPr>
          <w:ilvl w:val="1"/>
          <w:numId w:val="10"/>
        </w:numPr>
        <w:autoSpaceDE w:val="0"/>
        <w:autoSpaceDN w:val="0"/>
        <w:spacing w:before="120" w:after="120"/>
        <w:jc w:val="both"/>
      </w:pPr>
      <w:r w:rsidRPr="00A37160">
        <w:t xml:space="preserve">Для оценки подверженности риску контрагента по производным финансовым инструментам, зависящим от поведения валютного курса (например, кросс-валютный своп) рыночным стандартом является применение модели геометрического броуновского движения (Geometric Brown Motion) для процесса эволюции валютного курса. </w:t>
      </w:r>
    </w:p>
    <w:p w14:paraId="5F4D103E" w14:textId="77777777"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>1.2</w:t>
      </w:r>
      <w:r w:rsidRPr="00A37160">
        <w:tab/>
        <w:t>Процесс для валютного курса, в этом случае, имеет следующую форму:</w:t>
      </w:r>
    </w:p>
    <w:p w14:paraId="2A74F88F" w14:textId="77777777" w:rsidR="001B1EAB" w:rsidRPr="00A37160" w:rsidRDefault="001B1EAB" w:rsidP="001B1EAB">
      <w:pPr>
        <w:autoSpaceDE w:val="0"/>
        <w:autoSpaceDN w:val="0"/>
        <w:spacing w:after="240"/>
        <w:ind w:left="708" w:firstLine="426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(t)-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(t))dt</m:t>
          </m:r>
          <m:r>
            <m:rPr>
              <m:sty m:val="p"/>
            </m:rPr>
            <w:rPr>
              <w:rFonts w:ascii="Cambria Math" w:hAnsi="Cambria Math"/>
            </w:rPr>
            <m:t>+X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4705E36" w14:textId="77777777" w:rsidR="001B1EAB" w:rsidRPr="00A37160" w:rsidRDefault="001B1EAB" w:rsidP="001B1EAB">
      <w:pPr>
        <w:spacing w:after="120"/>
        <w:ind w:left="1134"/>
        <w:jc w:val="both"/>
      </w:pPr>
      <w:r w:rsidRPr="00A37160">
        <w:t xml:space="preserve">где </w:t>
      </w:r>
    </w:p>
    <w:p w14:paraId="45DB3CC5" w14:textId="77777777" w:rsidR="001B1EAB" w:rsidRPr="00A37160" w:rsidRDefault="001B1EAB" w:rsidP="001B1EAB">
      <w:pPr>
        <w:spacing w:after="120"/>
        <w:ind w:left="1134"/>
        <w:jc w:val="both"/>
      </w:pPr>
      <m:oMath>
        <m:r>
          <m:rPr>
            <m:sty m:val="p"/>
          </m:rPr>
          <w:rPr>
            <w:rFonts w:ascii="Cambria Math" w:hAnsi="Cambria Math"/>
          </w:rPr>
          <m:t>X(t)</m:t>
        </m:r>
      </m:oMath>
      <w:r w:rsidRPr="00A37160">
        <w:t xml:space="preserve"> – валютный курс, т.е. обменный курс валюты </w:t>
      </w:r>
      <w:r w:rsidRPr="00A37160">
        <w:rPr>
          <w:lang w:val="en-US"/>
        </w:rPr>
        <w:t>f</w:t>
      </w:r>
      <w:r w:rsidRPr="00A37160">
        <w:t xml:space="preserve"> к валюте </w:t>
      </w:r>
      <w:r w:rsidRPr="00A37160">
        <w:rPr>
          <w:lang w:val="en-US"/>
        </w:rPr>
        <w:t>d</w:t>
      </w:r>
      <w:r w:rsidRPr="00A37160">
        <w:t xml:space="preserve">, выраженный в единицах валюты </w:t>
      </w:r>
      <w:r w:rsidRPr="00A37160">
        <w:rPr>
          <w:lang w:val="en-US"/>
        </w:rPr>
        <w:t>d</w:t>
      </w:r>
      <w:r w:rsidRPr="00A37160">
        <w:t xml:space="preserve"> за единицу валюты </w:t>
      </w:r>
      <w:r w:rsidRPr="00A37160">
        <w:rPr>
          <w:lang w:val="en-US"/>
        </w:rPr>
        <w:t>f</w:t>
      </w:r>
      <w:r w:rsidRPr="00A37160">
        <w:t xml:space="preserve"> на момент времени t</w:t>
      </w:r>
    </w:p>
    <w:p w14:paraId="06B734C6" w14:textId="77777777" w:rsidR="001B1EAB" w:rsidRPr="00A37160" w:rsidRDefault="001B1EAB" w:rsidP="001B1EAB">
      <w:pPr>
        <w:spacing w:after="120"/>
        <w:ind w:left="1134"/>
        <w:jc w:val="both"/>
      </w:pP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Pr="00A37160">
        <w:t xml:space="preserve"> – волатильность валютного курса, </w:t>
      </w:r>
    </w:p>
    <w:p w14:paraId="3D70564A" w14:textId="77777777" w:rsidR="001B1EAB" w:rsidRPr="00A37160" w:rsidRDefault="00DA21A1" w:rsidP="001B1EAB">
      <w:pPr>
        <w:spacing w:after="120"/>
        <w:ind w:left="1134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B1EAB" w:rsidRPr="00A37160">
        <w:t xml:space="preserve">– стандартное броуновское движение для валютного курса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1B1EAB" w:rsidRPr="00A37160">
        <w:t>,</w:t>
      </w:r>
    </w:p>
    <w:p w14:paraId="19AB1DDE" w14:textId="77777777" w:rsidR="001B1EAB" w:rsidRPr="00A37160" w:rsidRDefault="00DA21A1" w:rsidP="001B1EAB">
      <w:pPr>
        <w:spacing w:after="120"/>
        <w:ind w:left="1134"/>
        <w:jc w:val="both"/>
        <w:rPr>
          <w:b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B1EAB" w:rsidRPr="00A37160">
        <w:rPr>
          <w:bCs/>
        </w:rPr>
        <w:t xml:space="preserve"> </w:t>
      </w:r>
      <w:r w:rsidR="001B1EAB" w:rsidRPr="00A37160">
        <w:t xml:space="preserve">– безрисковая ставка для валюты </w:t>
      </w:r>
      <w:r w:rsidR="001B1EAB" w:rsidRPr="00A37160">
        <w:rPr>
          <w:lang w:val="en-US"/>
        </w:rPr>
        <w:t>d</w:t>
      </w:r>
    </w:p>
    <w:p w14:paraId="54A57DFA" w14:textId="77777777" w:rsidR="001B1EAB" w:rsidRPr="00A37160" w:rsidRDefault="00DA21A1" w:rsidP="001B1EAB">
      <w:pPr>
        <w:spacing w:after="120"/>
        <w:ind w:left="1134"/>
        <w:jc w:val="both"/>
        <w:rPr>
          <w:b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B1EAB" w:rsidRPr="00A37160">
        <w:rPr>
          <w:bCs/>
        </w:rPr>
        <w:t xml:space="preserve"> </w:t>
      </w:r>
      <w:r w:rsidR="001B1EAB" w:rsidRPr="00A37160">
        <w:t>– безрисковая ставка для</w:t>
      </w:r>
      <w:r w:rsidR="001B1EAB" w:rsidRPr="00A37160">
        <w:rPr>
          <w:bCs/>
        </w:rPr>
        <w:t xml:space="preserve"> валюты </w:t>
      </w:r>
      <w:r w:rsidR="001B1EAB" w:rsidRPr="00A37160">
        <w:rPr>
          <w:bCs/>
          <w:lang w:val="en-US"/>
        </w:rPr>
        <w:t>f</w:t>
      </w:r>
    </w:p>
    <w:p w14:paraId="6BDEBFBA" w14:textId="77777777" w:rsidR="001B1EAB" w:rsidRPr="00A37160" w:rsidRDefault="001B1EAB" w:rsidP="001B1EAB">
      <w:pPr>
        <w:spacing w:after="120"/>
        <w:ind w:firstLine="1134"/>
        <w:jc w:val="both"/>
      </w:pPr>
    </w:p>
    <w:p w14:paraId="5B6E2F97" w14:textId="77777777" w:rsidR="001B1EAB" w:rsidRPr="00A37160" w:rsidRDefault="001B1EAB" w:rsidP="001B1EAB">
      <w:pPr>
        <w:pStyle w:val="a7"/>
        <w:numPr>
          <w:ilvl w:val="2"/>
          <w:numId w:val="11"/>
        </w:numPr>
        <w:autoSpaceDE w:val="0"/>
        <w:autoSpaceDN w:val="0"/>
        <w:spacing w:after="120"/>
        <w:jc w:val="both"/>
      </w:pPr>
      <w:r w:rsidRPr="00A37160">
        <w:t xml:space="preserve">Волатильности для курсов валют определяются из текущих рыночных данных. </w:t>
      </w:r>
    </w:p>
    <w:p w14:paraId="2D2498C9" w14:textId="77777777" w:rsidR="001B1EAB" w:rsidRPr="00C26FF3" w:rsidRDefault="008B19C0" w:rsidP="00C26FF3">
      <w:pPr>
        <w:rPr>
          <w:b/>
        </w:rPr>
      </w:pPr>
      <w:r w:rsidRPr="00C26FF3">
        <w:rPr>
          <w:b/>
        </w:rPr>
        <w:t xml:space="preserve">2. </w:t>
      </w:r>
      <w:r w:rsidR="001B1EAB" w:rsidRPr="00C26FF3">
        <w:rPr>
          <w:b/>
        </w:rPr>
        <w:t>Процентные ставки</w:t>
      </w:r>
    </w:p>
    <w:p w14:paraId="70062431" w14:textId="77777777" w:rsidR="00C26FF3" w:rsidRPr="00C26FF3" w:rsidRDefault="00C26FF3" w:rsidP="00C26FF3"/>
    <w:p w14:paraId="36A76F73" w14:textId="77777777" w:rsidR="001B1EAB" w:rsidRPr="00A37160" w:rsidRDefault="001B1EAB" w:rsidP="001B1EAB">
      <w:pPr>
        <w:pStyle w:val="a7"/>
        <w:numPr>
          <w:ilvl w:val="1"/>
          <w:numId w:val="12"/>
        </w:numPr>
        <w:autoSpaceDE w:val="0"/>
        <w:autoSpaceDN w:val="0"/>
        <w:spacing w:after="120"/>
        <w:jc w:val="both"/>
      </w:pPr>
      <w:r w:rsidRPr="00A37160">
        <w:t>Для оценки подверженности риску контрагента по производным финансовым инструментам, зависящим от изменения процентных ставок, целесообразно использовать модели, связанные с построением временной структуры процентных ставок (term structure models). Данные модели описывают эволюцию всех бескупонных процентных ставок (кривых доходности) на заданном временном горизонте.</w:t>
      </w:r>
    </w:p>
    <w:p w14:paraId="506B6E29" w14:textId="77777777" w:rsidR="001B1EAB" w:rsidRPr="00A37160" w:rsidRDefault="001B1EAB" w:rsidP="001B1EAB">
      <w:pPr>
        <w:pStyle w:val="a7"/>
        <w:numPr>
          <w:ilvl w:val="1"/>
          <w:numId w:val="12"/>
        </w:numPr>
        <w:autoSpaceDE w:val="0"/>
        <w:autoSpaceDN w:val="0"/>
        <w:spacing w:after="120"/>
        <w:jc w:val="both"/>
      </w:pPr>
      <w:r w:rsidRPr="00A37160">
        <w:t xml:space="preserve">Основой данных моделей является понятие краткосрочной ставки r(t) в момент времени t, которая представляет собой процентную ставку, устанавливаемую на бесконечно малый период времени </w:t>
      </w:r>
      <m:oMath>
        <m:r>
          <m:rPr>
            <m:sty m:val="p"/>
          </m:rPr>
          <w:rPr>
            <w:rFonts w:ascii="Cambria Math" w:hAnsi="Cambria Math"/>
          </w:rPr>
          <m:t>dt</m:t>
        </m:r>
      </m:oMath>
      <w:r w:rsidRPr="00A37160">
        <w:t>, начинающийся в момент времени t. Цены финансовых инструментов, в рамках данного класса моделей, будут зависеть от поведения краткосрочной ставки r.</w:t>
      </w:r>
    </w:p>
    <w:p w14:paraId="446DFD80" w14:textId="77777777" w:rsidR="001B1EAB" w:rsidRPr="00A37160" w:rsidRDefault="001B1EAB" w:rsidP="001B1EAB">
      <w:pPr>
        <w:pStyle w:val="a7"/>
        <w:numPr>
          <w:ilvl w:val="1"/>
          <w:numId w:val="12"/>
        </w:numPr>
        <w:autoSpaceDE w:val="0"/>
        <w:autoSpaceDN w:val="0"/>
        <w:spacing w:after="120"/>
        <w:jc w:val="both"/>
      </w:pPr>
      <w:r w:rsidRPr="00A37160">
        <w:t>К данному классу моделей относится, например, модель Hull-White (далее - HW)</w:t>
      </w:r>
      <w:r w:rsidRPr="00A37160">
        <w:rPr>
          <w:vertAlign w:val="superscript"/>
        </w:rPr>
        <w:footnoteReference w:id="19"/>
      </w:r>
      <w:r w:rsidRPr="00A37160">
        <w:t xml:space="preserve"> для описания изменений краткосрочной ставки r(t). Данная модель относится к классу безарбитражных моделей, т.е. учитывает текущую временную структуру процентных ставок.</w:t>
      </w:r>
    </w:p>
    <w:p w14:paraId="4AA2F2D6" w14:textId="77777777" w:rsidR="001B1EAB" w:rsidRPr="00A37160" w:rsidRDefault="001B1EAB" w:rsidP="001B1EAB">
      <w:pPr>
        <w:pStyle w:val="a7"/>
        <w:numPr>
          <w:ilvl w:val="1"/>
          <w:numId w:val="12"/>
        </w:numPr>
        <w:autoSpaceDE w:val="0"/>
        <w:autoSpaceDN w:val="0"/>
        <w:spacing w:after="120"/>
        <w:jc w:val="both"/>
      </w:pPr>
      <w:r w:rsidRPr="00A37160">
        <w:t xml:space="preserve">В соответствии с моделью HW движение краткосрочной ставки описывается как: </w:t>
      </w:r>
    </w:p>
    <w:p w14:paraId="684AE5B0" w14:textId="77777777" w:rsidR="001B1EAB" w:rsidRPr="00A37160" w:rsidRDefault="00853883" w:rsidP="001B1EAB">
      <w:pPr>
        <w:autoSpaceDE w:val="0"/>
        <w:autoSpaceDN w:val="0"/>
        <w:spacing w:before="120" w:after="120"/>
        <w:ind w:firstLine="708"/>
        <w:jc w:val="both"/>
      </w:pPr>
      <w:r w:rsidRPr="00A37160">
        <w:rPr>
          <w:noProof/>
          <w:position w:val="-10"/>
        </w:rPr>
        <w:object w:dxaOrig="3200" w:dyaOrig="320" w14:anchorId="3E5B5C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02.05pt;height:22.05pt;mso-width-percent:0;mso-height-percent:0;mso-width-percent:0;mso-height-percent:0" o:ole="">
            <v:imagedata r:id="rId9" o:title=""/>
          </v:shape>
          <o:OLEObject Type="Embed" ProgID="Equation.3" ShapeID="_x0000_i1028" DrawAspect="Content" ObjectID="_1704802012" r:id="rId10"/>
        </w:object>
      </w:r>
    </w:p>
    <w:p w14:paraId="1C5A8B00" w14:textId="77777777" w:rsidR="001B1EAB" w:rsidRPr="00A37160" w:rsidRDefault="001B1EAB" w:rsidP="001B1EAB">
      <w:pPr>
        <w:spacing w:before="120" w:after="120"/>
        <w:ind w:firstLine="708"/>
        <w:jc w:val="both"/>
        <w:rPr>
          <w:rFonts w:ascii="Cambria Math" w:hAnsi="Cambria Math"/>
        </w:rPr>
      </w:pPr>
      <w:r w:rsidRPr="00A37160">
        <w:rPr>
          <w:rFonts w:ascii="Cambria Math" w:hAnsi="Cambria Math"/>
        </w:rPr>
        <w:t xml:space="preserve">где </w:t>
      </w:r>
    </w:p>
    <w:p w14:paraId="58932E5A" w14:textId="77777777" w:rsidR="001B1EAB" w:rsidRPr="00A37160" w:rsidRDefault="001B1EAB" w:rsidP="001B1EAB">
      <w:pPr>
        <w:spacing w:before="120" w:after="120"/>
        <w:ind w:firstLine="708"/>
        <w:jc w:val="both"/>
        <w:rPr>
          <w:rFonts w:ascii="Cambria Math" w:hAnsi="Cambria Math"/>
        </w:rPr>
      </w:pPr>
      <w:r w:rsidRPr="00A37160">
        <w:rPr>
          <w:rFonts w:ascii="Cambria Math" w:hAnsi="Cambria Math"/>
          <w:lang w:val="en-US"/>
        </w:rPr>
        <w:lastRenderedPageBreak/>
        <w:t>a</w:t>
      </w:r>
      <w:r w:rsidRPr="00A37160">
        <w:rPr>
          <w:rFonts w:ascii="Cambria Math" w:hAnsi="Cambria Math"/>
        </w:rPr>
        <w:t xml:space="preserve"> – константа,</w:t>
      </w:r>
    </w:p>
    <w:p w14:paraId="21662B1B" w14:textId="77777777" w:rsidR="001B1EAB" w:rsidRPr="00A37160" w:rsidRDefault="001B1EAB" w:rsidP="001B1EAB">
      <w:pPr>
        <w:spacing w:before="120" w:after="120"/>
        <w:ind w:left="708"/>
        <w:jc w:val="both"/>
      </w:pPr>
      <m:oMath>
        <m:r>
          <m:rPr>
            <m:sty m:val="p"/>
          </m:rPr>
          <w:rPr>
            <w:rFonts w:ascii="Cambria Math" w:hAnsi="Cambria Math"/>
          </w:rPr>
          <m:t>θ(t)</m:t>
        </m:r>
      </m:oMath>
      <w:r w:rsidRPr="00A37160">
        <w:t xml:space="preserve"> – функция, которую вычисляется по первоначальной временной структуре процентных ставок:</w:t>
      </w:r>
    </w:p>
    <w:p w14:paraId="679080AD" w14:textId="77777777" w:rsidR="001B1EAB" w:rsidRPr="00A37160" w:rsidRDefault="00853883" w:rsidP="001B1EAB">
      <w:pPr>
        <w:spacing w:before="120" w:after="120"/>
        <w:ind w:firstLine="708"/>
        <w:jc w:val="both"/>
        <w:rPr>
          <w:rFonts w:ascii="Cambria Math" w:hAnsi="Cambria Math"/>
        </w:rPr>
      </w:pPr>
      <w:r w:rsidRPr="00A37160">
        <w:rPr>
          <w:rFonts w:ascii="Cambria Math" w:hAnsi="Cambria Math"/>
          <w:noProof/>
          <w:position w:val="-58"/>
        </w:rPr>
        <w:object w:dxaOrig="4660" w:dyaOrig="1280" w14:anchorId="1A7305D2">
          <v:shape id="_x0000_i1027" type="#_x0000_t75" alt="" style="width:234pt;height:63.85pt;mso-width-percent:0;mso-height-percent:0;mso-width-percent:0;mso-height-percent:0" o:ole="">
            <v:imagedata r:id="rId11" o:title=""/>
          </v:shape>
          <o:OLEObject Type="Embed" ProgID="Equation.3" ShapeID="_x0000_i1027" DrawAspect="Content" ObjectID="_1704802013" r:id="rId12"/>
        </w:object>
      </w:r>
    </w:p>
    <w:p w14:paraId="2DA54CD5" w14:textId="77777777" w:rsidR="001B1EAB" w:rsidRPr="00A37160" w:rsidRDefault="001B1EAB" w:rsidP="001B1EAB">
      <w:pPr>
        <w:spacing w:before="120" w:after="120"/>
        <w:ind w:firstLine="708"/>
        <w:jc w:val="both"/>
      </w:pPr>
      <w:r w:rsidRPr="00A37160">
        <w:rPr>
          <w:lang w:val="en-US"/>
        </w:rPr>
        <w:t>F</w:t>
      </w:r>
      <w:r w:rsidRPr="00A37160">
        <w:rPr>
          <w:i/>
          <w:vertAlign w:val="superscript"/>
          <w:lang w:val="en-US"/>
        </w:rPr>
        <w:t>mrkt</w:t>
      </w:r>
      <w:r w:rsidRPr="00A37160">
        <w:t>(0,</w:t>
      </w:r>
      <w:r w:rsidRPr="00A37160">
        <w:rPr>
          <w:lang w:val="en-US"/>
        </w:rPr>
        <w:t>t</w:t>
      </w:r>
      <w:r w:rsidRPr="00A37160">
        <w:t>) - мгновенная форвардная процентная ставка в момент t</w:t>
      </w:r>
    </w:p>
    <w:p w14:paraId="39815501" w14:textId="77777777" w:rsidR="001B1EAB" w:rsidRPr="00A37160" w:rsidRDefault="001B1EAB" w:rsidP="001B1EAB">
      <w:pPr>
        <w:spacing w:before="120" w:after="120"/>
        <w:ind w:firstLine="708"/>
        <w:jc w:val="both"/>
      </w:pP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</w:rPr>
          <m:t>)</m:t>
        </m:r>
      </m:oMath>
      <w:r w:rsidRPr="00A37160">
        <w:t xml:space="preserve"> – волатильность процентной ставки.</w:t>
      </w:r>
    </w:p>
    <w:p w14:paraId="31A6E819" w14:textId="77777777" w:rsidR="001B1EAB" w:rsidRPr="00C26FF3" w:rsidRDefault="001B1EAB" w:rsidP="00033828">
      <w:pPr>
        <w:spacing w:after="200" w:line="276" w:lineRule="auto"/>
        <w:rPr>
          <w:b/>
        </w:rPr>
      </w:pPr>
      <w:r w:rsidRPr="00A37160">
        <w:t>2.5 Можно показать, что дрейф процесса, описывающего поведение краткосрочно</w:t>
      </w:r>
      <w:r w:rsidRPr="00A37160">
        <w:tab/>
        <w:t xml:space="preserve">й процентной ставки r в момент времени t, стремится 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0,t</m:t>
            </m:r>
          </m:e>
        </m:d>
        <m:r>
          <m:rPr>
            <m:sty m:val="p"/>
          </m:rPr>
          <w:rPr>
            <w:rFonts w:ascii="Cambria Math" w:hAnsi="Cambria Math"/>
          </w:rPr>
          <m:t>+a(F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0,t</m:t>
            </m:r>
          </m:e>
        </m:d>
        <m:r>
          <m:rPr>
            <m:sty m:val="p"/>
          </m:rPr>
          <w:rPr>
            <w:rFonts w:ascii="Cambria Math" w:hAnsi="Cambria Math"/>
          </w:rPr>
          <m:t>-r)</m:t>
        </m:r>
      </m:oMath>
      <w:r w:rsidRPr="00A37160">
        <w:t>. Отсюда следует, что в среднем величина r представляет собой наклон первоначальной кривой мгновенной форвардной ставки. Если она отклоняется от этой кривой, то с течением времени возвращается назад со скоростью, заданной константой a.</w:t>
      </w:r>
    </w:p>
    <w:p w14:paraId="6B22CDAA" w14:textId="77777777" w:rsidR="001B1EAB" w:rsidRDefault="008B19C0" w:rsidP="00C26FF3">
      <w:pPr>
        <w:rPr>
          <w:b/>
        </w:rPr>
      </w:pPr>
      <w:r w:rsidRPr="00C26FF3">
        <w:rPr>
          <w:b/>
        </w:rPr>
        <w:t xml:space="preserve">3. </w:t>
      </w:r>
      <w:r w:rsidR="00033828" w:rsidRPr="00C26FF3">
        <w:rPr>
          <w:b/>
        </w:rPr>
        <w:t xml:space="preserve"> </w:t>
      </w:r>
      <w:r w:rsidR="001B1EAB" w:rsidRPr="00C26FF3">
        <w:rPr>
          <w:b/>
        </w:rPr>
        <w:t>Товары</w:t>
      </w:r>
    </w:p>
    <w:p w14:paraId="3138D0A5" w14:textId="77777777" w:rsidR="00C26FF3" w:rsidRPr="00C26FF3" w:rsidRDefault="00C26FF3" w:rsidP="00C26FF3">
      <w:pPr>
        <w:rPr>
          <w:b/>
        </w:rPr>
      </w:pPr>
    </w:p>
    <w:p w14:paraId="6BA91458" w14:textId="77777777" w:rsidR="001B1EAB" w:rsidRPr="00A37160" w:rsidRDefault="00033828" w:rsidP="00033828">
      <w:pPr>
        <w:autoSpaceDE w:val="0"/>
        <w:autoSpaceDN w:val="0"/>
        <w:spacing w:after="120"/>
        <w:jc w:val="both"/>
      </w:pPr>
      <w:r w:rsidRPr="00033828">
        <w:t>3.1</w:t>
      </w:r>
      <w:r w:rsidR="002D5CCA" w:rsidRPr="00033828">
        <w:t>. Д</w:t>
      </w:r>
      <w:r w:rsidR="001B1EAB" w:rsidRPr="00A37160">
        <w:t xml:space="preserve">ля оценки подверженности риску контрагента по производным финансовым инструментам, зависящим от поведения </w:t>
      </w:r>
      <w:r w:rsidR="00AA5C82" w:rsidRPr="00A37160">
        <w:t>цены товара</w:t>
      </w:r>
      <w:r w:rsidR="001B1EAB" w:rsidRPr="00A37160">
        <w:t xml:space="preserve"> (например, сделки с нефтью марки Brent, сделки с сырой нефтью Dated Brent) применяется модель геометрического броуновского движения (Geometric Brown Motion) для процесса эволюции  цены товара. </w:t>
      </w:r>
    </w:p>
    <w:p w14:paraId="507E5BF8" w14:textId="77777777"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 xml:space="preserve">3.2 </w:t>
      </w:r>
      <w:r w:rsidRPr="00A37160">
        <w:tab/>
        <w:t>Процесс для цены товара в этом случае, имеет следующую форму:</w:t>
      </w:r>
    </w:p>
    <w:p w14:paraId="1A9B176E" w14:textId="77777777" w:rsidR="001B1EAB" w:rsidRPr="00A37160" w:rsidRDefault="001B1EAB" w:rsidP="001B1EAB">
      <w:pPr>
        <w:autoSpaceDE w:val="0"/>
        <w:autoSpaceDN w:val="0"/>
        <w:spacing w:after="240"/>
        <w:ind w:left="708" w:firstLine="426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(t)dt</m:t>
          </m:r>
          <m:r>
            <m:rPr>
              <m:sty m:val="p"/>
            </m:rPr>
            <w:rPr>
              <w:rFonts w:ascii="Cambria Math" w:hAnsi="Cambria Math"/>
            </w:rPr>
            <m:t>+X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ADEA4BC" w14:textId="77777777" w:rsidR="001B1EAB" w:rsidRPr="00A37160" w:rsidRDefault="001B1EAB" w:rsidP="001B1EAB">
      <w:pPr>
        <w:spacing w:after="120"/>
        <w:ind w:left="1134"/>
        <w:jc w:val="both"/>
      </w:pPr>
      <w:r w:rsidRPr="00A37160">
        <w:t xml:space="preserve">где </w:t>
      </w:r>
    </w:p>
    <w:p w14:paraId="5A62AEF7" w14:textId="77777777" w:rsidR="001B1EAB" w:rsidRPr="00A37160" w:rsidRDefault="001B1EAB" w:rsidP="001B1EAB">
      <w:pPr>
        <w:spacing w:after="120"/>
        <w:ind w:left="1134"/>
        <w:jc w:val="both"/>
      </w:pPr>
      <m:oMath>
        <m:r>
          <m:rPr>
            <m:sty m:val="p"/>
          </m:rPr>
          <w:rPr>
            <w:rFonts w:ascii="Cambria Math" w:hAnsi="Cambria Math"/>
          </w:rPr>
          <m:t>X(t)</m:t>
        </m:r>
      </m:oMath>
      <w:r w:rsidRPr="00A37160">
        <w:t xml:space="preserve"> – цена товара на момент времени t</w:t>
      </w:r>
    </w:p>
    <w:p w14:paraId="16DF1E70" w14:textId="77777777" w:rsidR="001B1EAB" w:rsidRPr="00A37160" w:rsidRDefault="001B1EAB" w:rsidP="001B1EAB">
      <w:pPr>
        <w:spacing w:after="120"/>
        <w:ind w:left="1134"/>
        <w:jc w:val="both"/>
      </w:pP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Pr="00A37160">
        <w:t xml:space="preserve"> – волатильность цены товара, </w:t>
      </w:r>
    </w:p>
    <w:p w14:paraId="089F66F6" w14:textId="77777777" w:rsidR="001B1EAB" w:rsidRPr="00A37160" w:rsidRDefault="00DA21A1" w:rsidP="001B1EAB">
      <w:pPr>
        <w:spacing w:after="120"/>
        <w:ind w:left="1134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B1EAB" w:rsidRPr="00A37160">
        <w:t xml:space="preserve">– стандартное броуновское движение для цены товара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1B1EAB" w:rsidRPr="00A37160">
        <w:t>,</w:t>
      </w:r>
    </w:p>
    <w:p w14:paraId="663DAEA7" w14:textId="77777777" w:rsidR="001B1EAB" w:rsidRPr="00A37160" w:rsidRDefault="00DA21A1" w:rsidP="001B1EAB">
      <w:pPr>
        <w:spacing w:after="120"/>
        <w:ind w:left="1134"/>
        <w:jc w:val="both"/>
        <w:rPr>
          <w:b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B1EAB" w:rsidRPr="00A37160">
        <w:rPr>
          <w:bCs/>
        </w:rPr>
        <w:t xml:space="preserve"> </w:t>
      </w:r>
      <w:r w:rsidR="001B1EAB" w:rsidRPr="00A37160">
        <w:t>–</w:t>
      </w:r>
      <w:r w:rsidR="00AA5C82" w:rsidRPr="00A37160">
        <w:t>ставка для расчета форва</w:t>
      </w:r>
      <w:r w:rsidR="001B1EAB" w:rsidRPr="00A37160">
        <w:t xml:space="preserve">рдной </w:t>
      </w:r>
      <w:r w:rsidR="001B1EAB" w:rsidRPr="00A37160">
        <w:rPr>
          <w:bCs/>
        </w:rPr>
        <w:t xml:space="preserve"> цены  товара</w:t>
      </w:r>
    </w:p>
    <w:p w14:paraId="67621ADA" w14:textId="77777777" w:rsidR="001B1EAB" w:rsidRPr="00A37160" w:rsidRDefault="001B1EAB" w:rsidP="001B1EAB">
      <w:pPr>
        <w:spacing w:after="200" w:line="276" w:lineRule="auto"/>
        <w:jc w:val="center"/>
        <w:rPr>
          <w:b/>
        </w:rPr>
      </w:pPr>
    </w:p>
    <w:p w14:paraId="39AD0366" w14:textId="77777777" w:rsidR="001B1EAB" w:rsidRDefault="001B1EAB" w:rsidP="00AA5C82">
      <w:pPr>
        <w:spacing w:after="200" w:line="276" w:lineRule="auto"/>
        <w:rPr>
          <w:b/>
        </w:rPr>
      </w:pPr>
    </w:p>
    <w:p w14:paraId="3D68309A" w14:textId="77777777" w:rsidR="00C26FF3" w:rsidRPr="00A37160" w:rsidRDefault="00C26FF3" w:rsidP="00AA5C82">
      <w:pPr>
        <w:spacing w:after="200" w:line="276" w:lineRule="auto"/>
        <w:rPr>
          <w:b/>
        </w:rPr>
      </w:pPr>
    </w:p>
    <w:p w14:paraId="611D67E6" w14:textId="77777777" w:rsidR="00C26FF3" w:rsidRDefault="00C26FF3">
      <w:pPr>
        <w:spacing w:after="200" w:line="276" w:lineRule="auto"/>
        <w:rPr>
          <w:rFonts w:ascii="Cambria" w:hAnsi="Cambria"/>
          <w:b/>
          <w:bCs/>
        </w:rPr>
      </w:pPr>
      <w:bookmarkStart w:id="60" w:name="_Ref408927884"/>
      <w:r>
        <w:br w:type="page"/>
      </w:r>
    </w:p>
    <w:p w14:paraId="4027C83C" w14:textId="77777777" w:rsidR="001B1EAB" w:rsidRPr="00A37160" w:rsidRDefault="001B1EAB" w:rsidP="001B1EAB">
      <w:pPr>
        <w:pStyle w:val="2"/>
        <w:ind w:left="7080"/>
        <w:rPr>
          <w:color w:val="auto"/>
          <w:sz w:val="24"/>
          <w:szCs w:val="24"/>
        </w:rPr>
      </w:pPr>
      <w:bookmarkStart w:id="61" w:name="_Toc470105881"/>
      <w:r w:rsidRPr="00A37160">
        <w:rPr>
          <w:color w:val="auto"/>
          <w:sz w:val="24"/>
          <w:szCs w:val="24"/>
        </w:rPr>
        <w:lastRenderedPageBreak/>
        <w:t xml:space="preserve">Приложение </w:t>
      </w:r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>№</w:t>
      </w:r>
      <w:r w:rsidRPr="00A37160">
        <w:rPr>
          <w:color w:val="auto"/>
          <w:sz w:val="24"/>
          <w:szCs w:val="24"/>
        </w:rPr>
        <w:t>7</w:t>
      </w:r>
      <w:bookmarkEnd w:id="60"/>
      <w:bookmarkEnd w:id="61"/>
    </w:p>
    <w:p w14:paraId="51396BEE" w14:textId="77777777" w:rsidR="001B1EAB" w:rsidRPr="00A37160" w:rsidRDefault="001B1EAB" w:rsidP="001B1EAB">
      <w:pPr>
        <w:spacing w:after="200" w:line="276" w:lineRule="auto"/>
        <w:jc w:val="center"/>
        <w:rPr>
          <w:b/>
        </w:rPr>
      </w:pPr>
    </w:p>
    <w:p w14:paraId="22EE63E7" w14:textId="77777777" w:rsidR="001B1EAB" w:rsidRPr="008B19C0" w:rsidRDefault="008B19C0" w:rsidP="001B1EAB">
      <w:pPr>
        <w:pStyle w:val="2"/>
        <w:jc w:val="center"/>
        <w:rPr>
          <w:color w:val="auto"/>
          <w:sz w:val="24"/>
          <w:szCs w:val="24"/>
        </w:rPr>
      </w:pPr>
      <w:bookmarkStart w:id="62" w:name="_Toc470105882"/>
      <w:r w:rsidRPr="008D5876">
        <w:rPr>
          <w:color w:val="auto"/>
          <w:sz w:val="24"/>
          <w:szCs w:val="24"/>
        </w:rPr>
        <w:t>Профиль расчета CVA для продукта</w:t>
      </w:r>
      <w:bookmarkEnd w:id="62"/>
      <w:r w:rsidRPr="00A37160" w:rsidDel="008B19C0">
        <w:rPr>
          <w:color w:val="auto"/>
          <w:sz w:val="24"/>
          <w:szCs w:val="24"/>
        </w:rPr>
        <w:t xml:space="preserve"> </w:t>
      </w:r>
    </w:p>
    <w:p w14:paraId="2E7B519C" w14:textId="77777777" w:rsidR="001B1EAB" w:rsidRPr="00A37160" w:rsidRDefault="001B1EAB" w:rsidP="001B1EAB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B1EAB" w:rsidRPr="00A37160" w14:paraId="5142D5BA" w14:textId="77777777" w:rsidTr="00A30756">
        <w:tc>
          <w:tcPr>
            <w:tcW w:w="9571" w:type="dxa"/>
            <w:shd w:val="clear" w:color="auto" w:fill="A6A6A6" w:themeFill="background1" w:themeFillShade="A6"/>
          </w:tcPr>
          <w:p w14:paraId="4BF6AC75" w14:textId="77777777" w:rsidR="001B1EAB" w:rsidRPr="00A37160" w:rsidRDefault="001B1EAB">
            <w:pPr>
              <w:spacing w:before="60" w:after="60"/>
              <w:rPr>
                <w:b/>
              </w:rPr>
            </w:pPr>
            <w:r w:rsidRPr="00A37160">
              <w:rPr>
                <w:b/>
              </w:rPr>
              <w:t xml:space="preserve">Краткое описание </w:t>
            </w:r>
            <w:r w:rsidR="008B19C0">
              <w:rPr>
                <w:b/>
              </w:rPr>
              <w:t>продукта</w:t>
            </w:r>
          </w:p>
        </w:tc>
      </w:tr>
      <w:tr w:rsidR="001B1EAB" w:rsidRPr="00A37160" w14:paraId="11704C01" w14:textId="77777777" w:rsidTr="00A30756">
        <w:tc>
          <w:tcPr>
            <w:tcW w:w="9571" w:type="dxa"/>
            <w:vAlign w:val="center"/>
          </w:tcPr>
          <w:p w14:paraId="0C0E1684" w14:textId="77777777" w:rsidR="001B1EAB" w:rsidRPr="00A37160" w:rsidRDefault="001B1EAB" w:rsidP="00A30756">
            <w:pPr>
              <w:spacing w:before="120" w:after="120"/>
            </w:pPr>
            <w:r w:rsidRPr="00A37160">
              <w:rPr>
                <w:lang w:val="en-US"/>
              </w:rPr>
              <w:t>-</w:t>
            </w:r>
          </w:p>
          <w:p w14:paraId="1382868B" w14:textId="77777777" w:rsidR="001B1EAB" w:rsidRPr="00A37160" w:rsidRDefault="001B1EAB" w:rsidP="00A30756">
            <w:pPr>
              <w:spacing w:before="120" w:after="120"/>
            </w:pPr>
          </w:p>
        </w:tc>
      </w:tr>
      <w:tr w:rsidR="001B1EAB" w:rsidRPr="00A37160" w14:paraId="256C5E3C" w14:textId="77777777" w:rsidTr="00A30756">
        <w:tc>
          <w:tcPr>
            <w:tcW w:w="9571" w:type="dxa"/>
            <w:shd w:val="clear" w:color="auto" w:fill="A6A6A6" w:themeFill="background1" w:themeFillShade="A6"/>
            <w:vAlign w:val="center"/>
          </w:tcPr>
          <w:p w14:paraId="1C207D1C" w14:textId="77777777" w:rsidR="001B1EAB" w:rsidRPr="00A37160" w:rsidRDefault="00BF5349">
            <w:pPr>
              <w:spacing w:before="60" w:after="60"/>
            </w:pPr>
            <w:r w:rsidRPr="00A37160">
              <w:rPr>
                <w:b/>
              </w:rPr>
              <w:t xml:space="preserve">Описание </w:t>
            </w:r>
            <w:r>
              <w:rPr>
                <w:b/>
              </w:rPr>
              <w:t xml:space="preserve">расчета </w:t>
            </w:r>
            <w:r>
              <w:rPr>
                <w:b/>
                <w:lang w:val="en-US"/>
              </w:rPr>
              <w:t>EPE</w:t>
            </w:r>
            <w:r w:rsidRPr="00084359"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ENE</w:t>
            </w:r>
            <w:r w:rsidRPr="00084359">
              <w:rPr>
                <w:b/>
              </w:rPr>
              <w:t xml:space="preserve">  </w:t>
            </w:r>
            <w:r>
              <w:rPr>
                <w:b/>
              </w:rPr>
              <w:t>для продукта</w:t>
            </w:r>
            <w:r w:rsidRPr="00A37160">
              <w:rPr>
                <w:b/>
              </w:rPr>
              <w:t xml:space="preserve"> </w:t>
            </w:r>
          </w:p>
        </w:tc>
      </w:tr>
      <w:tr w:rsidR="001B1EAB" w:rsidRPr="00A37160" w14:paraId="778F9F04" w14:textId="77777777" w:rsidTr="008D5876">
        <w:trPr>
          <w:trHeight w:val="1032"/>
        </w:trPr>
        <w:tc>
          <w:tcPr>
            <w:tcW w:w="9571" w:type="dxa"/>
            <w:vAlign w:val="center"/>
          </w:tcPr>
          <w:p w14:paraId="4967ED14" w14:textId="77777777" w:rsidR="001B1EAB" w:rsidRDefault="001B1EAB" w:rsidP="00A30756">
            <w:pPr>
              <w:spacing w:before="120" w:after="120"/>
            </w:pPr>
            <w:r w:rsidRPr="00C26FF3">
              <w:t>-</w:t>
            </w:r>
          </w:p>
          <w:p w14:paraId="32FEE478" w14:textId="77777777" w:rsidR="00BF5349" w:rsidRPr="00A37160" w:rsidRDefault="00BF5349" w:rsidP="00A30756">
            <w:pPr>
              <w:spacing w:before="120" w:after="120"/>
            </w:pPr>
          </w:p>
        </w:tc>
      </w:tr>
      <w:tr w:rsidR="001B1EAB" w:rsidRPr="00A37160" w14:paraId="7A4D094C" w14:textId="77777777" w:rsidTr="00A30756">
        <w:tc>
          <w:tcPr>
            <w:tcW w:w="9571" w:type="dxa"/>
            <w:shd w:val="clear" w:color="auto" w:fill="A6A6A6" w:themeFill="background1" w:themeFillShade="A6"/>
            <w:vAlign w:val="center"/>
          </w:tcPr>
          <w:p w14:paraId="5BD44AF9" w14:textId="77777777" w:rsidR="001B1EAB" w:rsidRPr="008B19C0" w:rsidRDefault="00BF5349" w:rsidP="008D5876">
            <w:r w:rsidRPr="00A37160">
              <w:rPr>
                <w:b/>
              </w:rPr>
              <w:t xml:space="preserve">Описание валидирующих тестов для </w:t>
            </w:r>
            <w:r w:rsidRPr="00A37160" w:rsidDel="00BF534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EPE</w:t>
            </w:r>
            <w:r w:rsidRPr="00084359"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ENE</w:t>
            </w:r>
            <w:r w:rsidRPr="00084359">
              <w:rPr>
                <w:b/>
              </w:rPr>
              <w:t xml:space="preserve">  </w:t>
            </w:r>
          </w:p>
        </w:tc>
      </w:tr>
    </w:tbl>
    <w:p w14:paraId="786A9673" w14:textId="77777777" w:rsidR="001B1EAB" w:rsidRPr="00A37160" w:rsidRDefault="001B1EAB" w:rsidP="001B1EAB"/>
    <w:p w14:paraId="2C1AC512" w14:textId="77777777" w:rsidR="008B19C0" w:rsidRPr="00A37160" w:rsidRDefault="008B19C0" w:rsidP="008B19C0">
      <w:pPr>
        <w:spacing w:before="120" w:after="120"/>
      </w:pPr>
      <w:r w:rsidRPr="00A37160">
        <w:rPr>
          <w:lang w:val="en-US"/>
        </w:rPr>
        <w:t>-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F5349" w:rsidRPr="00A37160" w14:paraId="1C1BF9A4" w14:textId="77777777" w:rsidTr="00F42552">
        <w:tc>
          <w:tcPr>
            <w:tcW w:w="9571" w:type="dxa"/>
            <w:shd w:val="clear" w:color="auto" w:fill="A6A6A6" w:themeFill="background1" w:themeFillShade="A6"/>
            <w:vAlign w:val="center"/>
          </w:tcPr>
          <w:p w14:paraId="1A0710CB" w14:textId="77777777" w:rsidR="00BF5349" w:rsidRPr="008D5876" w:rsidRDefault="006C5781" w:rsidP="008D5876">
            <w:pPr>
              <w:rPr>
                <w:b/>
              </w:rPr>
            </w:pPr>
            <w:r w:rsidRPr="008D5876">
              <w:rPr>
                <w:b/>
              </w:rPr>
              <w:t xml:space="preserve">Ссылка на Профиль моделирования риск факторов для </w:t>
            </w:r>
            <w:r w:rsidRPr="008D5876">
              <w:rPr>
                <w:b/>
                <w:lang w:val="en-US"/>
              </w:rPr>
              <w:t>CVA</w:t>
            </w:r>
            <w:r w:rsidR="00F734A8">
              <w:rPr>
                <w:b/>
              </w:rPr>
              <w:t>,</w:t>
            </w:r>
            <w:r w:rsidRPr="008D5876">
              <w:rPr>
                <w:b/>
              </w:rPr>
              <w:t xml:space="preserve"> который используется для продукта</w:t>
            </w:r>
          </w:p>
        </w:tc>
      </w:tr>
      <w:tr w:rsidR="00BF5349" w:rsidRPr="00A37160" w14:paraId="72F23C19" w14:textId="77777777" w:rsidTr="00F42552">
        <w:trPr>
          <w:trHeight w:val="1032"/>
        </w:trPr>
        <w:tc>
          <w:tcPr>
            <w:tcW w:w="9571" w:type="dxa"/>
            <w:vAlign w:val="center"/>
          </w:tcPr>
          <w:p w14:paraId="7844BD66" w14:textId="77777777" w:rsidR="00BF5349" w:rsidRDefault="00BF5349" w:rsidP="00F42552">
            <w:pPr>
              <w:spacing w:before="120" w:after="120"/>
            </w:pPr>
            <w:r w:rsidRPr="00C26FF3">
              <w:t>-</w:t>
            </w:r>
          </w:p>
          <w:tbl>
            <w:tblPr>
              <w:tblStyle w:val="a9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39"/>
            </w:tblGrid>
            <w:tr w:rsidR="006C5781" w:rsidRPr="00A37160" w14:paraId="45577B86" w14:textId="77777777" w:rsidTr="00F42552">
              <w:tc>
                <w:tcPr>
                  <w:tcW w:w="9571" w:type="dxa"/>
                  <w:shd w:val="clear" w:color="auto" w:fill="A6A6A6" w:themeFill="background1" w:themeFillShade="A6"/>
                  <w:vAlign w:val="center"/>
                </w:tcPr>
                <w:p w14:paraId="0022F46F" w14:textId="77777777" w:rsidR="006C5781" w:rsidRDefault="006C5781" w:rsidP="006C5781">
                  <w:pPr>
                    <w:rPr>
                      <w:b/>
                    </w:rPr>
                  </w:pPr>
                  <w:r w:rsidRPr="00A37160">
                    <w:rPr>
                      <w:b/>
                    </w:rPr>
                    <w:t>Ответственный за согласование  из Отдела рисков корпоративного инвестиционного бизнеса</w:t>
                  </w:r>
                </w:p>
                <w:p w14:paraId="5807FBE6" w14:textId="77777777" w:rsidR="006C5781" w:rsidRPr="008B19C0" w:rsidRDefault="006C5781" w:rsidP="00F42552"/>
              </w:tc>
            </w:tr>
          </w:tbl>
          <w:p w14:paraId="482AAB28" w14:textId="77777777" w:rsidR="006C5781" w:rsidRPr="00A37160" w:rsidRDefault="006C5781" w:rsidP="006C5781"/>
          <w:p w14:paraId="27F4F174" w14:textId="77777777" w:rsidR="006C5781" w:rsidRPr="00A37160" w:rsidRDefault="006C5781" w:rsidP="006C5781">
            <w:pPr>
              <w:spacing w:before="120" w:after="120"/>
            </w:pPr>
            <w:r w:rsidRPr="00A37160">
              <w:rPr>
                <w:lang w:val="en-US"/>
              </w:rPr>
              <w:t>-</w:t>
            </w:r>
          </w:p>
          <w:p w14:paraId="7ADFB366" w14:textId="77777777" w:rsidR="00BF5349" w:rsidRPr="00A37160" w:rsidRDefault="00BF5349" w:rsidP="00F42552">
            <w:pPr>
              <w:spacing w:before="120" w:after="120"/>
            </w:pPr>
          </w:p>
        </w:tc>
      </w:tr>
    </w:tbl>
    <w:p w14:paraId="51F88896" w14:textId="77777777" w:rsidR="008B19C0" w:rsidRDefault="008B19C0"/>
    <w:p w14:paraId="469CC5EC" w14:textId="77777777" w:rsidR="00BF5349" w:rsidRDefault="00BF5349"/>
    <w:p w14:paraId="0761CA00" w14:textId="77777777" w:rsidR="00BF5349" w:rsidRDefault="00BF5349"/>
    <w:p w14:paraId="4D8F1E9E" w14:textId="77777777" w:rsidR="00BF5349" w:rsidRDefault="00BF5349"/>
    <w:p w14:paraId="06966B38" w14:textId="77777777" w:rsidR="00BF5349" w:rsidRDefault="00BF5349"/>
    <w:p w14:paraId="539BF253" w14:textId="77777777" w:rsidR="00BF5349" w:rsidRDefault="00BF5349"/>
    <w:p w14:paraId="20AC2FB9" w14:textId="77777777" w:rsidR="00BF5349" w:rsidRDefault="00BF5349"/>
    <w:p w14:paraId="08AF9052" w14:textId="77777777" w:rsidR="00BF5349" w:rsidRDefault="00BF5349"/>
    <w:p w14:paraId="52405189" w14:textId="77777777" w:rsidR="00BF5349" w:rsidRDefault="00BF5349"/>
    <w:p w14:paraId="0884D402" w14:textId="77777777" w:rsidR="00BF5349" w:rsidRDefault="00BF5349">
      <w:pPr>
        <w:spacing w:after="200" w:line="276" w:lineRule="auto"/>
      </w:pPr>
      <w:r>
        <w:br w:type="page"/>
      </w:r>
    </w:p>
    <w:p w14:paraId="6AC5FF08" w14:textId="77777777" w:rsidR="00BF5349" w:rsidRDefault="00BF5349"/>
    <w:p w14:paraId="48D5B97C" w14:textId="77777777" w:rsidR="00BF5349" w:rsidRDefault="00BF5349"/>
    <w:p w14:paraId="4A39B352" w14:textId="77777777" w:rsidR="00BF5349" w:rsidRDefault="00BF5349"/>
    <w:p w14:paraId="22A1327F" w14:textId="77777777" w:rsidR="00BF5349" w:rsidRPr="00A37160" w:rsidRDefault="00BF5349" w:rsidP="00BF5349">
      <w:pPr>
        <w:pStyle w:val="2"/>
        <w:ind w:left="7080"/>
        <w:rPr>
          <w:color w:val="auto"/>
          <w:sz w:val="24"/>
          <w:szCs w:val="24"/>
        </w:rPr>
      </w:pPr>
      <w:bookmarkStart w:id="63" w:name="_Toc470105883"/>
      <w:r w:rsidRPr="00A37160">
        <w:rPr>
          <w:color w:val="auto"/>
          <w:sz w:val="24"/>
          <w:szCs w:val="24"/>
        </w:rPr>
        <w:t xml:space="preserve">Приложение </w:t>
      </w:r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>№</w:t>
      </w:r>
      <w:r>
        <w:rPr>
          <w:color w:val="auto"/>
          <w:sz w:val="24"/>
          <w:szCs w:val="24"/>
        </w:rPr>
        <w:t>8</w:t>
      </w:r>
      <w:bookmarkEnd w:id="63"/>
    </w:p>
    <w:p w14:paraId="1D1B0695" w14:textId="77777777" w:rsidR="00BF5349" w:rsidRPr="00A37160" w:rsidRDefault="00BF5349" w:rsidP="00BF5349">
      <w:pPr>
        <w:spacing w:after="200" w:line="276" w:lineRule="auto"/>
        <w:jc w:val="center"/>
        <w:rPr>
          <w:b/>
        </w:rPr>
      </w:pPr>
    </w:p>
    <w:p w14:paraId="30D850CE" w14:textId="77777777" w:rsidR="00BF5349" w:rsidRPr="008B19C0" w:rsidRDefault="00BF5349" w:rsidP="00BF5349">
      <w:pPr>
        <w:pStyle w:val="2"/>
        <w:jc w:val="center"/>
        <w:rPr>
          <w:color w:val="auto"/>
          <w:sz w:val="24"/>
          <w:szCs w:val="24"/>
        </w:rPr>
      </w:pPr>
      <w:bookmarkStart w:id="64" w:name="_Toc470105884"/>
      <w:r w:rsidRPr="00084359">
        <w:rPr>
          <w:color w:val="auto"/>
          <w:sz w:val="24"/>
          <w:szCs w:val="24"/>
        </w:rPr>
        <w:t xml:space="preserve">Профиль </w:t>
      </w:r>
      <w:r>
        <w:rPr>
          <w:color w:val="auto"/>
          <w:sz w:val="24"/>
          <w:szCs w:val="24"/>
        </w:rPr>
        <w:t xml:space="preserve">моделирования риск факторов для </w:t>
      </w:r>
      <w:r>
        <w:rPr>
          <w:color w:val="auto"/>
          <w:sz w:val="24"/>
          <w:szCs w:val="24"/>
          <w:lang w:val="en-US"/>
        </w:rPr>
        <w:t>CVA</w:t>
      </w:r>
      <w:bookmarkEnd w:id="64"/>
      <w:r w:rsidRPr="00C26FF3">
        <w:rPr>
          <w:color w:val="auto"/>
          <w:sz w:val="24"/>
          <w:szCs w:val="24"/>
        </w:rPr>
        <w:t xml:space="preserve"> </w:t>
      </w:r>
    </w:p>
    <w:p w14:paraId="75A0BE08" w14:textId="77777777" w:rsidR="00BF5349" w:rsidRPr="00A37160" w:rsidRDefault="00BF5349" w:rsidP="00BF5349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F5349" w:rsidRPr="00A37160" w14:paraId="543E193B" w14:textId="77777777" w:rsidTr="00F42552">
        <w:tc>
          <w:tcPr>
            <w:tcW w:w="9571" w:type="dxa"/>
            <w:shd w:val="clear" w:color="auto" w:fill="A6A6A6" w:themeFill="background1" w:themeFillShade="A6"/>
          </w:tcPr>
          <w:p w14:paraId="32A738E3" w14:textId="77777777" w:rsidR="00BF5349" w:rsidRPr="00BF5349" w:rsidRDefault="00BF5349">
            <w:pPr>
              <w:spacing w:before="60" w:after="60"/>
              <w:rPr>
                <w:b/>
              </w:rPr>
            </w:pPr>
            <w:r w:rsidRPr="00A37160">
              <w:rPr>
                <w:b/>
              </w:rPr>
              <w:t xml:space="preserve">Краткое описание </w:t>
            </w:r>
            <w:r>
              <w:rPr>
                <w:b/>
              </w:rPr>
              <w:t>модели</w:t>
            </w:r>
          </w:p>
        </w:tc>
      </w:tr>
      <w:tr w:rsidR="00BF5349" w:rsidRPr="00A37160" w14:paraId="0071AC88" w14:textId="77777777" w:rsidTr="00F42552">
        <w:tc>
          <w:tcPr>
            <w:tcW w:w="9571" w:type="dxa"/>
            <w:vAlign w:val="center"/>
          </w:tcPr>
          <w:p w14:paraId="6D5AD22F" w14:textId="77777777" w:rsidR="00BF5349" w:rsidRPr="00A37160" w:rsidRDefault="00BF5349" w:rsidP="00F42552">
            <w:pPr>
              <w:spacing w:before="120" w:after="120"/>
            </w:pPr>
            <w:r w:rsidRPr="00A37160">
              <w:rPr>
                <w:lang w:val="en-US"/>
              </w:rPr>
              <w:t>-</w:t>
            </w:r>
          </w:p>
          <w:p w14:paraId="503E488A" w14:textId="77777777" w:rsidR="00BF5349" w:rsidRPr="00A37160" w:rsidRDefault="00BF5349" w:rsidP="00F42552">
            <w:pPr>
              <w:spacing w:before="120" w:after="120"/>
            </w:pPr>
          </w:p>
        </w:tc>
      </w:tr>
      <w:tr w:rsidR="00BF5349" w:rsidRPr="00A37160" w14:paraId="75228568" w14:textId="77777777" w:rsidTr="00F42552">
        <w:tc>
          <w:tcPr>
            <w:tcW w:w="9571" w:type="dxa"/>
            <w:shd w:val="clear" w:color="auto" w:fill="A6A6A6" w:themeFill="background1" w:themeFillShade="A6"/>
            <w:vAlign w:val="center"/>
          </w:tcPr>
          <w:p w14:paraId="23F47B14" w14:textId="77777777" w:rsidR="00BF5349" w:rsidRPr="00A37160" w:rsidRDefault="00BF5349">
            <w:pPr>
              <w:spacing w:before="60" w:after="60"/>
            </w:pPr>
            <w:r>
              <w:rPr>
                <w:b/>
              </w:rPr>
              <w:t xml:space="preserve">Применение </w:t>
            </w:r>
            <w:r w:rsidRPr="00A37160">
              <w:rPr>
                <w:b/>
              </w:rPr>
              <w:t xml:space="preserve"> </w:t>
            </w:r>
            <w:r>
              <w:rPr>
                <w:b/>
              </w:rPr>
              <w:t>модели</w:t>
            </w:r>
            <w:r w:rsidRPr="00084359">
              <w:rPr>
                <w:b/>
              </w:rPr>
              <w:t xml:space="preserve"> </w:t>
            </w:r>
            <w:r>
              <w:rPr>
                <w:b/>
              </w:rPr>
              <w:t xml:space="preserve">для  </w:t>
            </w:r>
            <w:r>
              <w:rPr>
                <w:b/>
                <w:lang w:val="en-US"/>
              </w:rPr>
              <w:t>CVA</w:t>
            </w:r>
            <w:r w:rsidRPr="00C26FF3">
              <w:rPr>
                <w:b/>
              </w:rPr>
              <w:t>/</w:t>
            </w:r>
            <w:r>
              <w:rPr>
                <w:b/>
                <w:lang w:val="en-US"/>
              </w:rPr>
              <w:t>DVA</w:t>
            </w:r>
            <w:r w:rsidRPr="00C26FF3">
              <w:rPr>
                <w:b/>
              </w:rPr>
              <w:t xml:space="preserve"> </w:t>
            </w:r>
            <w:r>
              <w:rPr>
                <w:b/>
              </w:rPr>
              <w:t>риск фактора</w:t>
            </w:r>
          </w:p>
        </w:tc>
      </w:tr>
      <w:tr w:rsidR="00BF5349" w:rsidRPr="00A37160" w14:paraId="34EEA2FB" w14:textId="77777777" w:rsidTr="00F42552">
        <w:tc>
          <w:tcPr>
            <w:tcW w:w="9571" w:type="dxa"/>
            <w:vAlign w:val="center"/>
          </w:tcPr>
          <w:p w14:paraId="4864D5A3" w14:textId="77777777" w:rsidR="00BF5349" w:rsidRPr="00A37160" w:rsidRDefault="00BF5349" w:rsidP="00F42552">
            <w:pPr>
              <w:spacing w:before="120" w:after="120"/>
            </w:pPr>
            <w:r w:rsidRPr="00C26FF3">
              <w:t>-</w:t>
            </w:r>
          </w:p>
          <w:p w14:paraId="5F64B132" w14:textId="77777777" w:rsidR="00BF5349" w:rsidRPr="00A37160" w:rsidRDefault="00BF5349" w:rsidP="00F42552">
            <w:pPr>
              <w:spacing w:before="120" w:after="120"/>
            </w:pPr>
          </w:p>
        </w:tc>
      </w:tr>
      <w:tr w:rsidR="00BF5349" w:rsidRPr="00A37160" w14:paraId="1457AC9D" w14:textId="77777777" w:rsidTr="00F42552">
        <w:tc>
          <w:tcPr>
            <w:tcW w:w="9571" w:type="dxa"/>
            <w:shd w:val="clear" w:color="auto" w:fill="A6A6A6" w:themeFill="background1" w:themeFillShade="A6"/>
            <w:vAlign w:val="center"/>
          </w:tcPr>
          <w:p w14:paraId="41EF4C87" w14:textId="77777777" w:rsidR="00BF5349" w:rsidRPr="008B19C0" w:rsidRDefault="00BF5349" w:rsidP="00F42552">
            <w:pPr>
              <w:spacing w:before="120" w:after="120"/>
            </w:pPr>
            <w:r>
              <w:rPr>
                <w:b/>
              </w:rPr>
              <w:t>О</w:t>
            </w:r>
            <w:r w:rsidRPr="00A37160">
              <w:rPr>
                <w:b/>
              </w:rPr>
              <w:t>босновани</w:t>
            </w:r>
            <w:r>
              <w:rPr>
                <w:b/>
              </w:rPr>
              <w:t>е</w:t>
            </w:r>
            <w:r w:rsidRPr="00A37160">
              <w:rPr>
                <w:b/>
              </w:rPr>
              <w:t xml:space="preserve"> выбора модели</w:t>
            </w:r>
          </w:p>
        </w:tc>
      </w:tr>
      <w:tr w:rsidR="00BF5349" w:rsidRPr="00A37160" w14:paraId="645C6475" w14:textId="77777777" w:rsidTr="00F42552">
        <w:tc>
          <w:tcPr>
            <w:tcW w:w="9571" w:type="dxa"/>
            <w:shd w:val="clear" w:color="auto" w:fill="auto"/>
            <w:vAlign w:val="center"/>
          </w:tcPr>
          <w:p w14:paraId="0285C726" w14:textId="77777777" w:rsidR="00BF5349" w:rsidRPr="00A37160" w:rsidRDefault="00BF5349" w:rsidP="00F42552">
            <w:pPr>
              <w:spacing w:before="120" w:after="120"/>
              <w:rPr>
                <w:b/>
              </w:rPr>
            </w:pPr>
            <w:r w:rsidRPr="00A37160">
              <w:rPr>
                <w:b/>
              </w:rPr>
              <w:t>-</w:t>
            </w:r>
          </w:p>
          <w:p w14:paraId="6135B48D" w14:textId="77777777" w:rsidR="00BF5349" w:rsidRPr="00A37160" w:rsidRDefault="00BF5349" w:rsidP="00F42552">
            <w:pPr>
              <w:spacing w:before="120" w:after="120"/>
            </w:pPr>
          </w:p>
        </w:tc>
      </w:tr>
      <w:tr w:rsidR="00BF5349" w:rsidRPr="00A37160" w14:paraId="3C5721F2" w14:textId="77777777" w:rsidTr="00F42552">
        <w:tc>
          <w:tcPr>
            <w:tcW w:w="9571" w:type="dxa"/>
            <w:shd w:val="clear" w:color="auto" w:fill="A6A6A6" w:themeFill="background1" w:themeFillShade="A6"/>
            <w:vAlign w:val="center"/>
          </w:tcPr>
          <w:p w14:paraId="4786C82D" w14:textId="77777777" w:rsidR="00BF5349" w:rsidRDefault="00BF5349" w:rsidP="00F42552">
            <w:pPr>
              <w:rPr>
                <w:b/>
              </w:rPr>
            </w:pPr>
            <w:r w:rsidRPr="00A37160">
              <w:rPr>
                <w:b/>
              </w:rPr>
              <w:t>Ответственный за согласование  из Отдела рисков корпоративного инвестиционного бизнеса</w:t>
            </w:r>
          </w:p>
          <w:p w14:paraId="18BA40DD" w14:textId="77777777" w:rsidR="00BF5349" w:rsidRPr="008B19C0" w:rsidRDefault="00BF5349" w:rsidP="00F42552">
            <w:pPr>
              <w:tabs>
                <w:tab w:val="left" w:pos="1778"/>
              </w:tabs>
              <w:spacing w:before="120" w:after="120" w:line="276" w:lineRule="auto"/>
              <w:jc w:val="both"/>
            </w:pPr>
          </w:p>
        </w:tc>
      </w:tr>
    </w:tbl>
    <w:p w14:paraId="75BE1B93" w14:textId="77777777" w:rsidR="00BF5349" w:rsidRPr="00A37160" w:rsidRDefault="00BF5349" w:rsidP="00BF5349"/>
    <w:p w14:paraId="1934CE5E" w14:textId="77777777" w:rsidR="00BF5349" w:rsidRPr="00A37160" w:rsidRDefault="00BF5349" w:rsidP="00BF5349">
      <w:pPr>
        <w:spacing w:before="120" w:after="120"/>
      </w:pPr>
      <w:r w:rsidRPr="00A37160">
        <w:rPr>
          <w:lang w:val="en-US"/>
        </w:rPr>
        <w:t>-</w:t>
      </w:r>
    </w:p>
    <w:p w14:paraId="19DD9849" w14:textId="77777777" w:rsidR="00BF5349" w:rsidRDefault="00BF5349" w:rsidP="00BF5349"/>
    <w:p w14:paraId="6527DB78" w14:textId="77777777" w:rsidR="00BF5349" w:rsidRDefault="00BF5349" w:rsidP="00BF5349"/>
    <w:p w14:paraId="451B7837" w14:textId="77777777" w:rsidR="00BF5349" w:rsidRDefault="00BF5349" w:rsidP="00BF5349"/>
    <w:p w14:paraId="49DFA5DB" w14:textId="77777777" w:rsidR="00BF5349" w:rsidRDefault="00BF5349">
      <w:pPr>
        <w:spacing w:after="200" w:line="276" w:lineRule="auto"/>
      </w:pPr>
      <w:r>
        <w:br w:type="page"/>
      </w:r>
    </w:p>
    <w:p w14:paraId="23EA8E2A" w14:textId="77777777" w:rsidR="00BF5349" w:rsidRDefault="00BF5349"/>
    <w:p w14:paraId="785C9F4C" w14:textId="77777777" w:rsidR="00BF5349" w:rsidRPr="00A37160" w:rsidRDefault="00BF5349" w:rsidP="00BF5349">
      <w:pPr>
        <w:pStyle w:val="2"/>
        <w:ind w:left="7080"/>
        <w:rPr>
          <w:color w:val="auto"/>
          <w:sz w:val="24"/>
          <w:szCs w:val="24"/>
        </w:rPr>
      </w:pPr>
      <w:bookmarkStart w:id="65" w:name="_Toc470105885"/>
      <w:r w:rsidRPr="00A37160">
        <w:rPr>
          <w:color w:val="auto"/>
          <w:sz w:val="24"/>
          <w:szCs w:val="24"/>
        </w:rPr>
        <w:t xml:space="preserve">Приложение </w:t>
      </w:r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>№</w:t>
      </w:r>
      <w:r>
        <w:rPr>
          <w:color w:val="auto"/>
          <w:sz w:val="24"/>
          <w:szCs w:val="24"/>
        </w:rPr>
        <w:t>9</w:t>
      </w:r>
      <w:bookmarkEnd w:id="65"/>
    </w:p>
    <w:p w14:paraId="14580FBD" w14:textId="77777777" w:rsidR="00BF5349" w:rsidRDefault="00BF5349"/>
    <w:p w14:paraId="11607325" w14:textId="77777777" w:rsidR="00BF5349" w:rsidRPr="00CE60CA" w:rsidRDefault="00BF5349" w:rsidP="00BF5349">
      <w:pPr>
        <w:jc w:val="center"/>
        <w:rPr>
          <w:b/>
          <w:sz w:val="28"/>
          <w:szCs w:val="28"/>
        </w:rPr>
      </w:pP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8"/>
        <w:gridCol w:w="2774"/>
        <w:gridCol w:w="3423"/>
      </w:tblGrid>
      <w:tr w:rsidR="00BF5349" w:rsidRPr="0096702F" w14:paraId="0C70FBC2" w14:textId="77777777" w:rsidTr="00F42552">
        <w:tc>
          <w:tcPr>
            <w:tcW w:w="3227" w:type="dxa"/>
            <w:vAlign w:val="center"/>
          </w:tcPr>
          <w:p w14:paraId="3C2E0FBC" w14:textId="77777777" w:rsidR="00BF5349" w:rsidRPr="0072339B" w:rsidRDefault="00BF5349" w:rsidP="00F42552">
            <w:pPr>
              <w:jc w:val="center"/>
            </w:pPr>
            <w:r w:rsidRPr="0072339B">
              <w:t>Название роли</w:t>
            </w:r>
          </w:p>
        </w:tc>
        <w:tc>
          <w:tcPr>
            <w:tcW w:w="2835" w:type="dxa"/>
            <w:vAlign w:val="center"/>
          </w:tcPr>
          <w:p w14:paraId="4E1E691A" w14:textId="77777777" w:rsidR="00BF5349" w:rsidRPr="0072339B" w:rsidRDefault="00BF5349" w:rsidP="00F42552">
            <w:pPr>
              <w:jc w:val="center"/>
            </w:pPr>
            <w:r w:rsidRPr="0072339B">
              <w:t xml:space="preserve">Название </w:t>
            </w:r>
            <w:r>
              <w:t>Организации Группы</w:t>
            </w:r>
          </w:p>
        </w:tc>
        <w:tc>
          <w:tcPr>
            <w:tcW w:w="3508" w:type="dxa"/>
            <w:vAlign w:val="center"/>
          </w:tcPr>
          <w:p w14:paraId="7FB2E10F" w14:textId="77777777" w:rsidR="00BF5349" w:rsidRPr="00360E27" w:rsidRDefault="00BF5349" w:rsidP="00F42552">
            <w:pPr>
              <w:jc w:val="center"/>
            </w:pPr>
            <w:r>
              <w:t xml:space="preserve">Название подразделения в </w:t>
            </w:r>
            <w:r w:rsidRPr="0072339B">
              <w:t>О</w:t>
            </w:r>
            <w:r>
              <w:t>рганизации</w:t>
            </w:r>
          </w:p>
        </w:tc>
      </w:tr>
      <w:tr w:rsidR="00BF5349" w:rsidRPr="00360BF3" w14:paraId="025BFBD1" w14:textId="77777777" w:rsidTr="00F42552">
        <w:trPr>
          <w:trHeight w:val="70"/>
        </w:trPr>
        <w:tc>
          <w:tcPr>
            <w:tcW w:w="3227" w:type="dxa"/>
            <w:vMerge w:val="restart"/>
            <w:vAlign w:val="center"/>
          </w:tcPr>
          <w:p w14:paraId="6576E5F7" w14:textId="77777777" w:rsidR="00BF5349" w:rsidRPr="001E20AC" w:rsidRDefault="00BF5349" w:rsidP="00F42552">
            <w:pPr>
              <w:spacing w:after="200" w:line="276" w:lineRule="auto"/>
            </w:pPr>
            <w:r>
              <w:t>Торговое подразделение</w:t>
            </w:r>
          </w:p>
        </w:tc>
        <w:tc>
          <w:tcPr>
            <w:tcW w:w="2835" w:type="dxa"/>
            <w:vAlign w:val="center"/>
          </w:tcPr>
          <w:p w14:paraId="1D61202E" w14:textId="77777777" w:rsidR="00BF5349" w:rsidRPr="0072339B" w:rsidRDefault="00BF5349" w:rsidP="00F42552">
            <w:pPr>
              <w:spacing w:after="200" w:line="276" w:lineRule="auto"/>
            </w:pPr>
            <w:r w:rsidRPr="001E20AC">
              <w:t>ГК Сбербанк КИБ</w:t>
            </w:r>
          </w:p>
        </w:tc>
        <w:tc>
          <w:tcPr>
            <w:tcW w:w="3508" w:type="dxa"/>
            <w:vAlign w:val="center"/>
          </w:tcPr>
          <w:p w14:paraId="321C4A52" w14:textId="77777777" w:rsidR="00BF5349" w:rsidRPr="001E20AC" w:rsidRDefault="00BF5349" w:rsidP="00F42552">
            <w:pPr>
              <w:spacing w:after="200" w:line="276" w:lineRule="auto"/>
            </w:pPr>
            <w:r>
              <w:t>Департамент Глобальных рынков</w:t>
            </w:r>
          </w:p>
        </w:tc>
      </w:tr>
      <w:tr w:rsidR="00BF5349" w:rsidRPr="0090569E" w14:paraId="4F7CF119" w14:textId="77777777" w:rsidTr="00F42552">
        <w:trPr>
          <w:trHeight w:val="70"/>
        </w:trPr>
        <w:tc>
          <w:tcPr>
            <w:tcW w:w="3227" w:type="dxa"/>
            <w:vMerge/>
            <w:vAlign w:val="center"/>
          </w:tcPr>
          <w:p w14:paraId="1DD8341B" w14:textId="77777777" w:rsidR="00BF5349" w:rsidRDefault="00BF5349" w:rsidP="00F42552">
            <w:pPr>
              <w:spacing w:after="200" w:line="276" w:lineRule="auto"/>
            </w:pPr>
          </w:p>
        </w:tc>
        <w:tc>
          <w:tcPr>
            <w:tcW w:w="2835" w:type="dxa"/>
            <w:vAlign w:val="center"/>
          </w:tcPr>
          <w:p w14:paraId="0A53A59D" w14:textId="77777777" w:rsidR="00BF5349" w:rsidRPr="001E20AC" w:rsidRDefault="00786319" w:rsidP="00F42552">
            <w:pPr>
              <w:spacing w:after="200" w:line="276" w:lineRule="auto"/>
            </w:pPr>
            <w:r>
              <w:t>ПАО Сбербанк</w:t>
            </w:r>
          </w:p>
        </w:tc>
        <w:tc>
          <w:tcPr>
            <w:tcW w:w="3508" w:type="dxa"/>
            <w:vAlign w:val="center"/>
          </w:tcPr>
          <w:p w14:paraId="46052C2F" w14:textId="77777777" w:rsidR="00BF5349" w:rsidRPr="00505690" w:rsidRDefault="00BF5349" w:rsidP="00F42552">
            <w:pPr>
              <w:spacing w:after="200" w:line="276" w:lineRule="auto"/>
            </w:pPr>
            <w:r>
              <w:t>Центр операций на глобальных рынках, Казначейство</w:t>
            </w:r>
          </w:p>
        </w:tc>
      </w:tr>
      <w:tr w:rsidR="00BF5349" w:rsidRPr="00505690" w14:paraId="5DBBCB70" w14:textId="77777777" w:rsidTr="00F42552">
        <w:trPr>
          <w:trHeight w:val="70"/>
        </w:trPr>
        <w:tc>
          <w:tcPr>
            <w:tcW w:w="3227" w:type="dxa"/>
            <w:vMerge w:val="restart"/>
            <w:vAlign w:val="center"/>
          </w:tcPr>
          <w:p w14:paraId="073A26C0" w14:textId="77777777" w:rsidR="00BF5349" w:rsidRPr="001E20AC" w:rsidRDefault="00BF5349" w:rsidP="00F42552">
            <w:pPr>
              <w:spacing w:after="200" w:line="276" w:lineRule="auto"/>
            </w:pPr>
            <w:r w:rsidRPr="001E20AC">
              <w:t xml:space="preserve">Подразделение финансов </w:t>
            </w:r>
          </w:p>
        </w:tc>
        <w:tc>
          <w:tcPr>
            <w:tcW w:w="2835" w:type="dxa"/>
            <w:vAlign w:val="center"/>
          </w:tcPr>
          <w:p w14:paraId="5CED3EFB" w14:textId="77777777" w:rsidR="00BF5349" w:rsidRPr="006F4F2C" w:rsidRDefault="00BF5349" w:rsidP="00F42552">
            <w:pPr>
              <w:spacing w:after="200" w:line="276" w:lineRule="auto"/>
            </w:pPr>
            <w:r w:rsidRPr="001E20AC">
              <w:t>ГК Сбербанк КИБ</w:t>
            </w:r>
          </w:p>
        </w:tc>
        <w:tc>
          <w:tcPr>
            <w:tcW w:w="3508" w:type="dxa"/>
            <w:vAlign w:val="center"/>
          </w:tcPr>
          <w:p w14:paraId="14961BF9" w14:textId="77777777" w:rsidR="00BF5349" w:rsidRPr="001E20AC" w:rsidRDefault="00BF5349" w:rsidP="00F42552">
            <w:pPr>
              <w:spacing w:after="200" w:line="276" w:lineRule="auto"/>
            </w:pPr>
            <w:r>
              <w:t>Финансовое управление</w:t>
            </w:r>
            <w:r w:rsidRPr="001E20AC">
              <w:t xml:space="preserve"> </w:t>
            </w:r>
          </w:p>
        </w:tc>
      </w:tr>
      <w:tr w:rsidR="00BF5349" w:rsidRPr="0090569E" w14:paraId="5F158BEB" w14:textId="77777777" w:rsidTr="00F42552">
        <w:trPr>
          <w:trHeight w:val="207"/>
        </w:trPr>
        <w:tc>
          <w:tcPr>
            <w:tcW w:w="3227" w:type="dxa"/>
            <w:vMerge/>
            <w:vAlign w:val="center"/>
          </w:tcPr>
          <w:p w14:paraId="0878796F" w14:textId="77777777" w:rsidR="00BF5349" w:rsidRPr="001E20AC" w:rsidRDefault="00BF5349" w:rsidP="00F42552"/>
        </w:tc>
        <w:tc>
          <w:tcPr>
            <w:tcW w:w="2835" w:type="dxa"/>
            <w:vAlign w:val="center"/>
          </w:tcPr>
          <w:p w14:paraId="10D74077" w14:textId="77777777" w:rsidR="00BF5349" w:rsidRPr="001E20AC" w:rsidDel="0033651C" w:rsidRDefault="00786319" w:rsidP="00F42552">
            <w:r>
              <w:t>ПАО Сбербанк</w:t>
            </w:r>
          </w:p>
        </w:tc>
        <w:tc>
          <w:tcPr>
            <w:tcW w:w="3508" w:type="dxa"/>
            <w:vAlign w:val="center"/>
          </w:tcPr>
          <w:p w14:paraId="2CD0BDFE" w14:textId="77777777" w:rsidR="00BF5349" w:rsidRPr="001E20AC" w:rsidRDefault="00BF5349" w:rsidP="00F42552">
            <w:r w:rsidRPr="001E20AC">
              <w:t>Отдел отчётности на финансовых рынках</w:t>
            </w:r>
          </w:p>
        </w:tc>
      </w:tr>
    </w:tbl>
    <w:p w14:paraId="58A59D9F" w14:textId="77777777" w:rsidR="00BF5349" w:rsidRPr="00920D8A" w:rsidRDefault="00BF5349" w:rsidP="00BF5349">
      <w:pPr>
        <w:spacing w:before="120" w:after="120"/>
      </w:pPr>
    </w:p>
    <w:p w14:paraId="649CC223" w14:textId="77777777" w:rsidR="00BF5349" w:rsidRPr="00A37160" w:rsidRDefault="00BF5349"/>
    <w:sectPr w:rsidR="00BF5349" w:rsidRPr="00A37160" w:rsidSect="008A26F5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8B055" w14:textId="77777777" w:rsidR="00DA21A1" w:rsidRDefault="00DA21A1" w:rsidP="001B1EAB">
      <w:r>
        <w:separator/>
      </w:r>
    </w:p>
  </w:endnote>
  <w:endnote w:type="continuationSeparator" w:id="0">
    <w:p w14:paraId="5FE7644E" w14:textId="77777777" w:rsidR="00DA21A1" w:rsidRDefault="00DA21A1" w:rsidP="001B1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altName w:val="Arial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35E77" w14:textId="77777777" w:rsidR="00F23371" w:rsidRDefault="00F23371" w:rsidP="00A30756">
    <w:pPr>
      <w:pStyle w:val="af2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2C8BE1BC" w14:textId="77777777" w:rsidR="00F23371" w:rsidRDefault="00F23371" w:rsidP="00A30756">
    <w:pPr>
      <w:pStyle w:val="af2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8079985"/>
      <w:docPartObj>
        <w:docPartGallery w:val="Page Numbers (Bottom of Page)"/>
        <w:docPartUnique/>
      </w:docPartObj>
    </w:sdtPr>
    <w:sdtEndPr/>
    <w:sdtContent>
      <w:p w14:paraId="2AD70988" w14:textId="77777777" w:rsidR="00F23371" w:rsidRDefault="00F23371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356E" w:rsidRPr="00C0356E">
          <w:rPr>
            <w:noProof/>
            <w:lang w:val="ru-RU"/>
          </w:rPr>
          <w:t>14</w:t>
        </w:r>
        <w:r>
          <w:fldChar w:fldCharType="end"/>
        </w:r>
      </w:p>
    </w:sdtContent>
  </w:sdt>
  <w:p w14:paraId="16956739" w14:textId="77777777" w:rsidR="00F23371" w:rsidRPr="00E7019D" w:rsidRDefault="00F23371">
    <w:pPr>
      <w:pStyle w:val="af2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BA64A" w14:textId="77777777" w:rsidR="00DA21A1" w:rsidRDefault="00DA21A1" w:rsidP="001B1EAB">
      <w:r>
        <w:separator/>
      </w:r>
    </w:p>
  </w:footnote>
  <w:footnote w:type="continuationSeparator" w:id="0">
    <w:p w14:paraId="7E858612" w14:textId="77777777" w:rsidR="00DA21A1" w:rsidRDefault="00DA21A1" w:rsidP="001B1EAB">
      <w:r>
        <w:continuationSeparator/>
      </w:r>
    </w:p>
  </w:footnote>
  <w:footnote w:id="1">
    <w:p w14:paraId="6DA6512E" w14:textId="77777777" w:rsidR="00F23371" w:rsidRDefault="00F23371">
      <w:pPr>
        <w:pStyle w:val="aa"/>
      </w:pPr>
      <w:r>
        <w:rPr>
          <w:rStyle w:val="ac"/>
        </w:rPr>
        <w:footnoteRef/>
      </w:r>
      <w:r>
        <w:t xml:space="preserve"> В соответствии с регламентом №2948</w:t>
      </w:r>
    </w:p>
  </w:footnote>
  <w:footnote w:id="2">
    <w:p w14:paraId="20853DD6" w14:textId="77777777" w:rsidR="00F23371" w:rsidRDefault="00F23371">
      <w:pPr>
        <w:pStyle w:val="aa"/>
      </w:pPr>
      <w:r>
        <w:rPr>
          <w:rStyle w:val="ac"/>
        </w:rPr>
        <w:footnoteRef/>
      </w:r>
      <w:r>
        <w:t xml:space="preserve"> В соответствии с регламентом №2948</w:t>
      </w:r>
    </w:p>
  </w:footnote>
  <w:footnote w:id="3">
    <w:p w14:paraId="32A1F26A" w14:textId="77777777" w:rsidR="00F23371" w:rsidRPr="00160CD1" w:rsidRDefault="00F23371" w:rsidP="001B1EAB">
      <w:pPr>
        <w:rPr>
          <w:sz w:val="20"/>
          <w:szCs w:val="20"/>
        </w:rPr>
      </w:pPr>
      <w:r>
        <w:rPr>
          <w:rStyle w:val="ac"/>
        </w:rPr>
        <w:footnoteRef/>
      </w:r>
      <w:r>
        <w:t xml:space="preserve"> </w:t>
      </w:r>
      <w:r w:rsidRPr="00160CD1">
        <w:rPr>
          <w:sz w:val="20"/>
          <w:szCs w:val="20"/>
        </w:rPr>
        <w:t>Существует несколько широко используемых метрик кредитного риска. Такие, например, как</w:t>
      </w:r>
      <w:r>
        <w:rPr>
          <w:sz w:val="20"/>
          <w:szCs w:val="20"/>
        </w:rPr>
        <w:t xml:space="preserve"> </w:t>
      </w:r>
      <w:r w:rsidRPr="00160CD1">
        <w:rPr>
          <w:sz w:val="20"/>
          <w:szCs w:val="20"/>
        </w:rPr>
        <w:t>кредитный VaR; текущий размер позиции под риском (current exposure); потенциальный размер позиции под риском в будущем (Potential Future Exposure - PFE); ожидаемый  положительный размер позиции под риском (Expected Positive Exposure - EPE); размер позиции, подверженн</w:t>
      </w:r>
      <w:r>
        <w:rPr>
          <w:sz w:val="20"/>
          <w:szCs w:val="20"/>
        </w:rPr>
        <w:t xml:space="preserve">ой дефолту (Exposure At Default </w:t>
      </w:r>
      <w:r w:rsidRPr="00160CD1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160CD1">
        <w:rPr>
          <w:sz w:val="20"/>
          <w:szCs w:val="20"/>
        </w:rPr>
        <w:t>EAD) в сочетании с кредитным рейтингом контрагента, вероят</w:t>
      </w:r>
      <w:r>
        <w:rPr>
          <w:sz w:val="20"/>
          <w:szCs w:val="20"/>
        </w:rPr>
        <w:t xml:space="preserve">ностью его дефолта (Probability of Default - </w:t>
      </w:r>
      <w:r w:rsidRPr="00160CD1">
        <w:rPr>
          <w:sz w:val="20"/>
          <w:szCs w:val="20"/>
        </w:rPr>
        <w:t>PD) и величиной потерь при дефолте (Loss Given Default – LGD) и т.д.</w:t>
      </w:r>
    </w:p>
    <w:p w14:paraId="09DDA4C7" w14:textId="77777777" w:rsidR="00F23371" w:rsidRDefault="00F23371" w:rsidP="001B1EAB"/>
  </w:footnote>
  <w:footnote w:id="4">
    <w:p w14:paraId="170718B9" w14:textId="77777777" w:rsidR="00F23371" w:rsidRPr="00E73D82" w:rsidRDefault="00F23371" w:rsidP="001B1EAB">
      <w:pPr>
        <w:pStyle w:val="aa"/>
      </w:pPr>
      <w:r>
        <w:rPr>
          <w:rStyle w:val="ac"/>
        </w:rPr>
        <w:footnoteRef/>
      </w:r>
      <w:r>
        <w:t xml:space="preserve"> Здесь и далее в данном документе под инструментом понимается составной инструмент, представляющий собой портфель сделок с контрагентом в рамках единого набора неттинга (</w:t>
      </w:r>
      <w:r>
        <w:rPr>
          <w:lang w:val="en-US"/>
        </w:rPr>
        <w:t>netting</w:t>
      </w:r>
      <w:r w:rsidRPr="00F17576">
        <w:t xml:space="preserve"> </w:t>
      </w:r>
      <w:r>
        <w:rPr>
          <w:lang w:val="en-US"/>
        </w:rPr>
        <w:t>set</w:t>
      </w:r>
      <w:r>
        <w:t>)</w:t>
      </w:r>
    </w:p>
  </w:footnote>
  <w:footnote w:id="5">
    <w:p w14:paraId="064C2E0D" w14:textId="77777777" w:rsidR="00F23371" w:rsidRDefault="00F23371" w:rsidP="001B1EAB">
      <w:pPr>
        <w:pStyle w:val="aa"/>
      </w:pPr>
      <w:r>
        <w:rPr>
          <w:rStyle w:val="ac"/>
        </w:rPr>
        <w:footnoteRef/>
      </w:r>
      <w:r>
        <w:t xml:space="preserve"> Также называемая «</w:t>
      </w:r>
      <w:r w:rsidRPr="00292488">
        <w:t>подверженность</w:t>
      </w:r>
      <w:r>
        <w:t>ю</w:t>
      </w:r>
      <w:r w:rsidRPr="00292488">
        <w:t xml:space="preserve"> риску</w:t>
      </w:r>
      <w:r>
        <w:t xml:space="preserve"> контрагента»</w:t>
      </w:r>
      <w:r w:rsidRPr="00654E05">
        <w:t xml:space="preserve"> </w:t>
      </w:r>
      <w:r>
        <w:t xml:space="preserve">или </w:t>
      </w:r>
      <w:r w:rsidRPr="00292488">
        <w:t>Exposure</w:t>
      </w:r>
    </w:p>
  </w:footnote>
  <w:footnote w:id="6">
    <w:p w14:paraId="338F6F15" w14:textId="77777777" w:rsidR="00F23371" w:rsidRDefault="00F23371" w:rsidP="001B1EAB">
      <w:pPr>
        <w:pStyle w:val="aa"/>
      </w:pPr>
      <w:r>
        <w:rPr>
          <w:rStyle w:val="ac"/>
        </w:rPr>
        <w:footnoteRef/>
      </w:r>
      <w:r>
        <w:t xml:space="preserve"> 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Q</m:t>
            </m:r>
          </m:sup>
        </m:sSup>
      </m:oMath>
      <w:r>
        <w:t xml:space="preserve"> – математическое ожидание в риск-нейтральной мере.</w:t>
      </w:r>
    </w:p>
  </w:footnote>
  <w:footnote w:id="7">
    <w:p w14:paraId="20A5419C" w14:textId="77777777" w:rsidR="00F23371" w:rsidRDefault="00F23371" w:rsidP="001B1EAB">
      <w:pPr>
        <w:pStyle w:val="aa"/>
      </w:pPr>
      <w:r>
        <w:rPr>
          <w:rStyle w:val="ac"/>
        </w:rPr>
        <w:footnoteRef/>
      </w:r>
      <w:r>
        <w:t xml:space="preserve"> В результате использования предположения о независимости, методика не учитывает возможность появления </w:t>
      </w:r>
      <w:r w:rsidRPr="00266BD8">
        <w:rPr>
          <w:lang w:val="en-US"/>
        </w:rPr>
        <w:t>wrong</w:t>
      </w:r>
      <w:r w:rsidRPr="00590B7E">
        <w:t>-</w:t>
      </w:r>
      <w:r w:rsidRPr="00266BD8">
        <w:rPr>
          <w:lang w:val="en-US"/>
        </w:rPr>
        <w:t>way</w:t>
      </w:r>
      <w:r>
        <w:t xml:space="preserve"> (</w:t>
      </w:r>
      <w:r w:rsidRPr="00266BD8">
        <w:rPr>
          <w:lang w:val="en-US"/>
        </w:rPr>
        <w:t>right</w:t>
      </w:r>
      <w:r w:rsidRPr="00590B7E">
        <w:t>-</w:t>
      </w:r>
      <w:r w:rsidRPr="00266BD8">
        <w:rPr>
          <w:lang w:val="en-US"/>
        </w:rPr>
        <w:t>way</w:t>
      </w:r>
      <w:r>
        <w:t>)</w:t>
      </w:r>
      <w:r w:rsidRPr="00590B7E">
        <w:t xml:space="preserve"> </w:t>
      </w:r>
      <w:r>
        <w:t>рисков, т.е. рисков связанных с увеличением (уменьшением) уровня потенциальных потерь при возрастании вероятности дефолта. Для</w:t>
      </w:r>
      <w:r w:rsidRPr="00590B7E">
        <w:t xml:space="preserve"> </w:t>
      </w:r>
      <w:r>
        <w:t>учета</w:t>
      </w:r>
      <w:r w:rsidRPr="00590B7E">
        <w:t xml:space="preserve"> </w:t>
      </w:r>
      <w:r w:rsidRPr="00147E9B">
        <w:rPr>
          <w:lang w:val="en-US"/>
        </w:rPr>
        <w:t>wrong</w:t>
      </w:r>
      <w:r w:rsidRPr="00590B7E">
        <w:t>-</w:t>
      </w:r>
      <w:r w:rsidRPr="00266BD8">
        <w:rPr>
          <w:lang w:val="en-US"/>
        </w:rPr>
        <w:t>way</w:t>
      </w:r>
      <w:r w:rsidRPr="00590B7E">
        <w:t>/</w:t>
      </w:r>
      <w:r w:rsidRPr="00266BD8">
        <w:rPr>
          <w:lang w:val="en-US"/>
        </w:rPr>
        <w:t>right</w:t>
      </w:r>
      <w:r w:rsidRPr="00590B7E">
        <w:t>-</w:t>
      </w:r>
      <w:r w:rsidRPr="00266BD8">
        <w:rPr>
          <w:lang w:val="en-US"/>
        </w:rPr>
        <w:t>way</w:t>
      </w:r>
      <w:r w:rsidRPr="00590B7E">
        <w:t xml:space="preserve"> </w:t>
      </w:r>
      <w:r>
        <w:t>рисков необходимо моделирование зависимости события дефолта и поведения базовых активов. Данный тип риска может быть актуален, например, для валютных инструментов. Т.к. снижение странового рейтинга обычно сопровождается девальвацией национальной валюты.</w:t>
      </w:r>
    </w:p>
  </w:footnote>
  <w:footnote w:id="8">
    <w:p w14:paraId="7ED2D45C" w14:textId="77777777" w:rsidR="00F23371" w:rsidRDefault="00F23371" w:rsidP="001B1EAB">
      <w:pPr>
        <w:pStyle w:val="aa"/>
      </w:pPr>
      <w:r>
        <w:rPr>
          <w:rStyle w:val="ac"/>
        </w:rPr>
        <w:footnoteRef/>
      </w:r>
      <w:r>
        <w:t xml:space="preserve"> Для портфеля сделок </w:t>
      </w:r>
      <w:r>
        <w:rPr>
          <w:lang w:val="en-US"/>
        </w:rPr>
        <w:t>T</w:t>
      </w:r>
      <w:r w:rsidRPr="00F17576">
        <w:t xml:space="preserve"> </w:t>
      </w:r>
      <w:r>
        <w:t>– это максимальный срок экспирации среди всех инструментов портфеля</w:t>
      </w:r>
    </w:p>
  </w:footnote>
  <w:footnote w:id="9">
    <w:p w14:paraId="7929D3B1" w14:textId="77777777" w:rsidR="00F23371" w:rsidRPr="00D93655" w:rsidRDefault="00F23371" w:rsidP="001B1EAB">
      <w:pPr>
        <w:rPr>
          <w:sz w:val="20"/>
          <w:szCs w:val="20"/>
        </w:rPr>
      </w:pPr>
      <w:r>
        <w:rPr>
          <w:rStyle w:val="ac"/>
        </w:rPr>
        <w:footnoteRef/>
      </w:r>
      <w:r>
        <w:t xml:space="preserve"> </w:t>
      </w:r>
      <w:r w:rsidRPr="00D93655">
        <w:rPr>
          <w:sz w:val="20"/>
          <w:szCs w:val="20"/>
        </w:rPr>
        <w:t>Используемые на практике модели оценки кредитного риска можно разделить на две основные категории:</w:t>
      </w:r>
    </w:p>
    <w:p w14:paraId="54AB1A52" w14:textId="77777777" w:rsidR="00F23371" w:rsidRPr="00D93655" w:rsidRDefault="00F23371" w:rsidP="001B1EAB">
      <w:pPr>
        <w:pStyle w:val="a7"/>
        <w:numPr>
          <w:ilvl w:val="0"/>
          <w:numId w:val="2"/>
        </w:numPr>
        <w:rPr>
          <w:sz w:val="20"/>
          <w:szCs w:val="20"/>
        </w:rPr>
      </w:pPr>
      <w:r w:rsidRPr="00D93655">
        <w:rPr>
          <w:sz w:val="20"/>
          <w:szCs w:val="20"/>
        </w:rPr>
        <w:t>Структурные модели (</w:t>
      </w:r>
      <w:r w:rsidRPr="00160CD1">
        <w:rPr>
          <w:sz w:val="20"/>
          <w:szCs w:val="20"/>
          <w:lang w:val="en-US"/>
        </w:rPr>
        <w:t>structural</w:t>
      </w:r>
      <w:r w:rsidRPr="00D93655">
        <w:rPr>
          <w:sz w:val="20"/>
          <w:szCs w:val="20"/>
        </w:rPr>
        <w:t xml:space="preserve"> </w:t>
      </w:r>
      <w:r w:rsidRPr="00160CD1">
        <w:rPr>
          <w:sz w:val="20"/>
          <w:szCs w:val="20"/>
          <w:lang w:val="en-US"/>
        </w:rPr>
        <w:t>models</w:t>
      </w:r>
      <w:r w:rsidRPr="00D93655">
        <w:rPr>
          <w:sz w:val="20"/>
          <w:szCs w:val="20"/>
        </w:rPr>
        <w:t>) – модели с явными событиями дефолта, основанные на моделировании структуры активов и пассивов компании.</w:t>
      </w:r>
    </w:p>
    <w:p w14:paraId="431DA0B8" w14:textId="77777777" w:rsidR="00F23371" w:rsidRPr="00D91A34" w:rsidRDefault="00F23371" w:rsidP="001B1EAB">
      <w:pPr>
        <w:pStyle w:val="a7"/>
        <w:numPr>
          <w:ilvl w:val="0"/>
          <w:numId w:val="2"/>
        </w:numPr>
        <w:rPr>
          <w:sz w:val="20"/>
          <w:szCs w:val="20"/>
        </w:rPr>
      </w:pPr>
      <w:r w:rsidRPr="00D93655">
        <w:rPr>
          <w:sz w:val="20"/>
          <w:szCs w:val="20"/>
        </w:rPr>
        <w:t>«Сокращенные» модели (</w:t>
      </w:r>
      <w:r w:rsidRPr="00160CD1">
        <w:rPr>
          <w:sz w:val="20"/>
          <w:szCs w:val="20"/>
          <w:lang w:val="en-US"/>
        </w:rPr>
        <w:t>reduced</w:t>
      </w:r>
      <w:r w:rsidRPr="00D93655">
        <w:rPr>
          <w:sz w:val="20"/>
          <w:szCs w:val="20"/>
        </w:rPr>
        <w:t xml:space="preserve"> </w:t>
      </w:r>
      <w:r w:rsidRPr="00160CD1">
        <w:rPr>
          <w:sz w:val="20"/>
          <w:szCs w:val="20"/>
          <w:lang w:val="en-US"/>
        </w:rPr>
        <w:t>models</w:t>
      </w:r>
      <w:r w:rsidRPr="00D93655">
        <w:rPr>
          <w:sz w:val="20"/>
          <w:szCs w:val="20"/>
        </w:rPr>
        <w:t xml:space="preserve">) – модели, в которых событие наступления дефолта </w:t>
      </w:r>
      <w:r w:rsidRPr="00D91A34">
        <w:rPr>
          <w:sz w:val="20"/>
          <w:szCs w:val="20"/>
        </w:rPr>
        <w:t>является случайной величиной и моделируется напрямую.</w:t>
      </w:r>
    </w:p>
  </w:footnote>
  <w:footnote w:id="10">
    <w:p w14:paraId="62AB8005" w14:textId="77777777" w:rsidR="00F23371" w:rsidRPr="00DB5088" w:rsidRDefault="00F23371" w:rsidP="001B1EAB">
      <w:pPr>
        <w:pStyle w:val="aa"/>
      </w:pPr>
      <w:r w:rsidRPr="00D91A34">
        <w:rPr>
          <w:rStyle w:val="ac"/>
        </w:rPr>
        <w:footnoteRef/>
      </w:r>
      <w:r w:rsidR="00DB5088">
        <w:t xml:space="preserve"> См. </w:t>
      </w:r>
      <w:r w:rsidR="00DB5088" w:rsidRPr="00E8580E">
        <w:t xml:space="preserve"> </w:t>
      </w:r>
      <w:r w:rsidR="00DB5088">
        <w:t>Часть 2 настоящего Сборника</w:t>
      </w:r>
    </w:p>
  </w:footnote>
  <w:footnote w:id="11">
    <w:p w14:paraId="685B1D1A" w14:textId="77777777" w:rsidR="00F23371" w:rsidRDefault="00F23371" w:rsidP="001B1EAB">
      <w:pPr>
        <w:pStyle w:val="aa"/>
      </w:pPr>
      <w:r w:rsidRPr="00D91A34">
        <w:rPr>
          <w:rStyle w:val="ac"/>
        </w:rPr>
        <w:footnoteRef/>
      </w:r>
      <w:r w:rsidRPr="00D91A34">
        <w:t xml:space="preserve"> В общем случае, при моделировании зависимостей события дефолта и цены инструмента </w:t>
      </w:r>
      <w:r w:rsidRPr="00D91A34">
        <w:rPr>
          <w:rFonts w:ascii="Symbol" w:hAnsi="Symbol"/>
          <w:i/>
          <w:lang w:val="en-US"/>
        </w:rPr>
        <w:t></w:t>
      </w:r>
      <w:r w:rsidRPr="00D91A34">
        <w:rPr>
          <w:i/>
          <w:vertAlign w:val="subscript"/>
          <w:lang w:val="en-US"/>
        </w:rPr>
        <w:t>t</w:t>
      </w:r>
      <w:r w:rsidRPr="00D91A34">
        <w:t xml:space="preserve">  может моделироваться как случайная величина скоррелированная с поведением контракта или базо</w:t>
      </w:r>
      <w:r>
        <w:t>вого актива.</w:t>
      </w:r>
    </w:p>
  </w:footnote>
  <w:footnote w:id="12">
    <w:p w14:paraId="0A784DC2" w14:textId="77777777" w:rsidR="00F23371" w:rsidRPr="00D13FEA" w:rsidRDefault="00F23371">
      <w:pPr>
        <w:pStyle w:val="aa"/>
      </w:pPr>
      <w:r>
        <w:rPr>
          <w:rStyle w:val="ac"/>
        </w:rPr>
        <w:footnoteRef/>
      </w:r>
      <w:r>
        <w:t xml:space="preserve"> Значения </w:t>
      </w:r>
      <w:r>
        <w:rPr>
          <w:lang w:val="en-US"/>
        </w:rPr>
        <w:t>d</w:t>
      </w:r>
      <w:r w:rsidRPr="008D5876">
        <w:t xml:space="preserve"> </w:t>
      </w:r>
      <w:r>
        <w:t>и прочих параметров, перечисленных в данном пункте, устанавливаются в профилях моделирования для риск факторов.</w:t>
      </w:r>
    </w:p>
  </w:footnote>
  <w:footnote w:id="13">
    <w:p w14:paraId="444BC0C0" w14:textId="77777777" w:rsidR="00F23371" w:rsidRPr="0095691D" w:rsidRDefault="00F23371" w:rsidP="001B1EAB">
      <w:pPr>
        <w:pStyle w:val="aa"/>
      </w:pPr>
      <w:r>
        <w:rPr>
          <w:rStyle w:val="ac"/>
        </w:rPr>
        <w:footnoteRef/>
      </w:r>
      <w:r>
        <w:t xml:space="preserve"> В случае расчета стоимости по нескольким сделкам в рамках единого набора неттинга (</w:t>
      </w:r>
      <w:r>
        <w:rPr>
          <w:lang w:val="en-US"/>
        </w:rPr>
        <w:t>netting</w:t>
      </w:r>
      <w:r w:rsidRPr="00F17576">
        <w:t xml:space="preserve"> </w:t>
      </w:r>
      <w:r>
        <w:rPr>
          <w:lang w:val="en-US"/>
        </w:rPr>
        <w:t>set</w:t>
      </w:r>
      <w:r>
        <w:t xml:space="preserve">), </w:t>
      </w:r>
      <w:r>
        <w:rPr>
          <w:lang w:val="en-US"/>
        </w:rPr>
        <w:t>V</w:t>
      </w:r>
      <w:r w:rsidRPr="00317809">
        <w:t>(</w:t>
      </w:r>
      <w:r>
        <w:rPr>
          <w:lang w:val="en-US"/>
        </w:rPr>
        <w:t>t</w:t>
      </w:r>
      <w:r w:rsidRPr="00317809">
        <w:t>)</w:t>
      </w:r>
      <w:r>
        <w:t xml:space="preserve"> определяется как сумма стоимостей отдельных сделок, входящих в рассматриваемый </w:t>
      </w:r>
      <w:r>
        <w:rPr>
          <w:lang w:val="en-US"/>
        </w:rPr>
        <w:t>netting</w:t>
      </w:r>
      <w:r>
        <w:t xml:space="preserve"> </w:t>
      </w:r>
      <w:r>
        <w:rPr>
          <w:lang w:val="en-US"/>
        </w:rPr>
        <w:t>set</w:t>
      </w:r>
      <w:r>
        <w:t>.</w:t>
      </w:r>
    </w:p>
  </w:footnote>
  <w:footnote w:id="14">
    <w:p w14:paraId="292E6536" w14:textId="77777777" w:rsidR="00F23371" w:rsidRPr="00112478" w:rsidRDefault="00F23371">
      <w:pPr>
        <w:pStyle w:val="aa"/>
      </w:pPr>
      <w:r>
        <w:rPr>
          <w:rStyle w:val="ac"/>
        </w:rPr>
        <w:footnoteRef/>
      </w:r>
      <w:r>
        <w:t xml:space="preserve"> Методика оценки вероятности дефолта контрагента (Редакция 2). В</w:t>
      </w:r>
      <w:r w:rsidRPr="00112478">
        <w:t xml:space="preserve"> </w:t>
      </w:r>
      <w:r>
        <w:t>актуальной</w:t>
      </w:r>
      <w:r w:rsidRPr="00112478">
        <w:t xml:space="preserve"> </w:t>
      </w:r>
      <w:r>
        <w:t>редакции</w:t>
      </w:r>
      <w:r w:rsidRPr="00112478">
        <w:t xml:space="preserve">. </w:t>
      </w:r>
    </w:p>
  </w:footnote>
  <w:footnote w:id="15">
    <w:p w14:paraId="73ED8BD3" w14:textId="77777777" w:rsidR="00F23371" w:rsidRPr="006E7350" w:rsidRDefault="00F23371">
      <w:pPr>
        <w:pStyle w:val="aa"/>
      </w:pPr>
      <w:r>
        <w:rPr>
          <w:rStyle w:val="ac"/>
        </w:rPr>
        <w:footnoteRef/>
      </w:r>
      <w:r>
        <w:t xml:space="preserve"> «Методика по определению приемлемого обеспечения по операциям на финансовых рынках» №3388 от 04.07.2014</w:t>
      </w:r>
    </w:p>
  </w:footnote>
  <w:footnote w:id="16">
    <w:p w14:paraId="7B1A1B3B" w14:textId="77777777" w:rsidR="00F23371" w:rsidRPr="008D5876" w:rsidRDefault="00F23371">
      <w:pPr>
        <w:pStyle w:val="aa"/>
      </w:pPr>
      <w:r>
        <w:rPr>
          <w:rStyle w:val="ac"/>
        </w:rPr>
        <w:footnoteRef/>
      </w:r>
      <w:r w:rsidRPr="008D5876">
        <w:t xml:space="preserve"> </w:t>
      </w:r>
      <w:r>
        <w:t>В</w:t>
      </w:r>
      <w:r w:rsidRPr="008D5876">
        <w:t xml:space="preserve"> </w:t>
      </w:r>
      <w:r>
        <w:t>актуальной</w:t>
      </w:r>
      <w:r w:rsidRPr="008D5876">
        <w:t xml:space="preserve"> </w:t>
      </w:r>
      <w:r>
        <w:t>редакции</w:t>
      </w:r>
    </w:p>
  </w:footnote>
  <w:footnote w:id="17">
    <w:p w14:paraId="339390C2" w14:textId="77777777" w:rsidR="00F23371" w:rsidRPr="00BF5349" w:rsidRDefault="00F23371">
      <w:pPr>
        <w:pStyle w:val="aa"/>
      </w:pPr>
      <w:r>
        <w:rPr>
          <w:rStyle w:val="ac"/>
        </w:rPr>
        <w:footnoteRef/>
      </w:r>
      <w:r w:rsidRPr="00BF5349">
        <w:t xml:space="preserve"> </w:t>
      </w:r>
      <w:r>
        <w:t xml:space="preserve">До формирования Департамента Рисков </w:t>
      </w:r>
      <w:r>
        <w:rPr>
          <w:lang w:val="en-US"/>
        </w:rPr>
        <w:t>CIB</w:t>
      </w:r>
      <w:r w:rsidRPr="008D5876">
        <w:t xml:space="preserve"> </w:t>
      </w:r>
      <w:r>
        <w:t xml:space="preserve"> распоряжение утверждается управляющим директором Блока Риски, отвечающим за риски на глобальных рынках</w:t>
      </w:r>
    </w:p>
  </w:footnote>
  <w:footnote w:id="18">
    <w:p w14:paraId="3F2532BA" w14:textId="77777777" w:rsidR="00F23371" w:rsidRPr="001929F4" w:rsidRDefault="00F23371">
      <w:pPr>
        <w:pStyle w:val="aa"/>
        <w:rPr>
          <w:lang w:val="en-US"/>
        </w:rPr>
      </w:pPr>
      <w:r>
        <w:rPr>
          <w:rStyle w:val="ac"/>
        </w:rPr>
        <w:footnoteRef/>
      </w:r>
      <w:r w:rsidRPr="008D5876">
        <w:rPr>
          <w:lang w:val="en-US"/>
        </w:rPr>
        <w:t xml:space="preserve"> </w:t>
      </w:r>
      <w:r>
        <w:t>Включая</w:t>
      </w:r>
      <w:r w:rsidRPr="001929F4">
        <w:rPr>
          <w:lang w:val="en-US"/>
        </w:rPr>
        <w:t xml:space="preserve"> </w:t>
      </w:r>
      <w:r>
        <w:t>ГК</w:t>
      </w:r>
      <w:r w:rsidRPr="001929F4">
        <w:rPr>
          <w:lang w:val="en-US"/>
        </w:rPr>
        <w:t xml:space="preserve"> </w:t>
      </w:r>
      <w:r>
        <w:t>Сбербанк</w:t>
      </w:r>
      <w:r w:rsidRPr="001929F4">
        <w:rPr>
          <w:lang w:val="en-US"/>
        </w:rPr>
        <w:t xml:space="preserve"> </w:t>
      </w:r>
      <w:r>
        <w:t>КИБ</w:t>
      </w:r>
    </w:p>
  </w:footnote>
  <w:footnote w:id="19">
    <w:p w14:paraId="1117D1A8" w14:textId="77777777" w:rsidR="00F23371" w:rsidRPr="003B20EA" w:rsidRDefault="00F23371" w:rsidP="001B1EAB">
      <w:pPr>
        <w:pStyle w:val="aa"/>
        <w:rPr>
          <w:lang w:val="en-US"/>
        </w:rPr>
      </w:pPr>
      <w:r>
        <w:rPr>
          <w:rStyle w:val="ac"/>
        </w:rPr>
        <w:footnoteRef/>
      </w:r>
      <w:r w:rsidRPr="003B20EA">
        <w:rPr>
          <w:lang w:val="en-US"/>
        </w:rPr>
        <w:t xml:space="preserve"> </w:t>
      </w:r>
      <w:r w:rsidRPr="003B20EA">
        <w:rPr>
          <w:rFonts w:ascii="Arial" w:hAnsi="Arial" w:cs="Arial"/>
          <w:bCs/>
          <w:color w:val="000000"/>
          <w:sz w:val="16"/>
          <w:szCs w:val="29"/>
          <w:lang w:val="en-US"/>
        </w:rPr>
        <w:t>Options, Futures, and Other Derivatives</w:t>
      </w:r>
      <w:r>
        <w:rPr>
          <w:rFonts w:ascii="Arial" w:hAnsi="Arial" w:cs="Arial"/>
          <w:bCs/>
          <w:color w:val="000000"/>
          <w:sz w:val="16"/>
          <w:szCs w:val="29"/>
          <w:lang w:val="en-US"/>
        </w:rPr>
        <w:t xml:space="preserve">, </w:t>
      </w:r>
      <w:r w:rsidRPr="003B20EA">
        <w:rPr>
          <w:rFonts w:ascii="Arial" w:hAnsi="Arial" w:cs="Arial"/>
          <w:bCs/>
          <w:color w:val="000000"/>
          <w:sz w:val="16"/>
          <w:szCs w:val="29"/>
          <w:lang w:val="en-US"/>
        </w:rPr>
        <w:t>(8th Edition)</w:t>
      </w:r>
      <w:r>
        <w:rPr>
          <w:rFonts w:ascii="Arial" w:hAnsi="Arial" w:cs="Arial"/>
          <w:bCs/>
          <w:color w:val="000000"/>
          <w:sz w:val="16"/>
          <w:szCs w:val="29"/>
          <w:lang w:val="en-US"/>
        </w:rPr>
        <w:t xml:space="preserve">, </w:t>
      </w:r>
      <w:hyperlink r:id="rId1" w:history="1">
        <w:r w:rsidRPr="003B20EA">
          <w:rPr>
            <w:rFonts w:ascii="Arial" w:hAnsi="Arial" w:cs="Arial"/>
            <w:bCs/>
            <w:color w:val="000000"/>
            <w:sz w:val="16"/>
            <w:szCs w:val="29"/>
            <w:lang w:val="en-US"/>
          </w:rPr>
          <w:t>John C. Hull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304"/>
    <w:multiLevelType w:val="multilevel"/>
    <w:tmpl w:val="147A031C"/>
    <w:lvl w:ilvl="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6" w:hanging="1800"/>
      </w:pPr>
      <w:rPr>
        <w:rFonts w:hint="default"/>
      </w:rPr>
    </w:lvl>
  </w:abstractNum>
  <w:abstractNum w:abstractNumId="1" w15:restartNumberingAfterBreak="0">
    <w:nsid w:val="006C62B9"/>
    <w:multiLevelType w:val="hybridMultilevel"/>
    <w:tmpl w:val="19982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D2B"/>
    <w:multiLevelType w:val="hybridMultilevel"/>
    <w:tmpl w:val="63067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337A5"/>
    <w:multiLevelType w:val="multilevel"/>
    <w:tmpl w:val="EC60A7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18331BE1"/>
    <w:multiLevelType w:val="multilevel"/>
    <w:tmpl w:val="A880DA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3B06F3"/>
    <w:multiLevelType w:val="hybridMultilevel"/>
    <w:tmpl w:val="8AF4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240E0"/>
    <w:multiLevelType w:val="singleLevel"/>
    <w:tmpl w:val="67A6E1D2"/>
    <w:lvl w:ilvl="0">
      <w:start w:val="1"/>
      <w:numFmt w:val="decimal"/>
      <w:lvlText w:val="Приложение %1."/>
      <w:lvlJc w:val="left"/>
      <w:pPr>
        <w:tabs>
          <w:tab w:val="num" w:pos="0"/>
        </w:tabs>
        <w:ind w:left="720" w:hanging="720"/>
      </w:pPr>
      <w:rPr>
        <w:rFonts w:hint="default"/>
        <w:b w:val="0"/>
        <w:bCs w:val="0"/>
        <w:i w:val="0"/>
        <w:iCs w:val="0"/>
        <w:sz w:val="32"/>
        <w:szCs w:val="36"/>
      </w:rPr>
    </w:lvl>
  </w:abstractNum>
  <w:abstractNum w:abstractNumId="7" w15:restartNumberingAfterBreak="0">
    <w:nsid w:val="2AB063D7"/>
    <w:multiLevelType w:val="multilevel"/>
    <w:tmpl w:val="E50238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EC44DBA"/>
    <w:multiLevelType w:val="hybridMultilevel"/>
    <w:tmpl w:val="A38CB4E6"/>
    <w:lvl w:ilvl="0" w:tplc="7CF2C9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326800B9"/>
    <w:multiLevelType w:val="hybridMultilevel"/>
    <w:tmpl w:val="D9787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92235"/>
    <w:multiLevelType w:val="multilevel"/>
    <w:tmpl w:val="0B981A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E131A2"/>
    <w:multiLevelType w:val="hybridMultilevel"/>
    <w:tmpl w:val="2A9AC0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64953C2"/>
    <w:multiLevelType w:val="multilevel"/>
    <w:tmpl w:val="A274BF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3" w15:restartNumberingAfterBreak="0">
    <w:nsid w:val="3BA14B46"/>
    <w:multiLevelType w:val="hybridMultilevel"/>
    <w:tmpl w:val="E4FAE5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5A02CC"/>
    <w:multiLevelType w:val="hybridMultilevel"/>
    <w:tmpl w:val="4E7428D0"/>
    <w:lvl w:ilvl="0" w:tplc="2DC0965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49C129F8"/>
    <w:multiLevelType w:val="multilevel"/>
    <w:tmpl w:val="08A6355C"/>
    <w:styleLink w:val="HeadingsList"/>
    <w:lvl w:ilvl="0">
      <w:start w:val="1"/>
      <w:numFmt w:val="decimal"/>
      <w:lvlRestart w:val="0"/>
      <w:lvlText w:val="%1."/>
      <w:lvlJc w:val="left"/>
      <w:pPr>
        <w:ind w:left="936" w:hanging="936"/>
      </w:pPr>
      <w:rPr>
        <w:rFonts w:asciiTheme="majorHAnsi" w:eastAsiaTheme="majorEastAsia" w:hAnsiTheme="majorHAnsi" w:cstheme="majorBidi" w:hint="default"/>
        <w:b w:val="0"/>
        <w:bCs w:val="0"/>
        <w:i w:val="0"/>
        <w:iCs w:val="0"/>
        <w:sz w:val="32"/>
        <w:szCs w:val="36"/>
      </w:rPr>
    </w:lvl>
    <w:lvl w:ilvl="1">
      <w:start w:val="1"/>
      <w:numFmt w:val="decimal"/>
      <w:lvlText w:val="%1.%2."/>
      <w:lvlJc w:val="left"/>
      <w:pPr>
        <w:ind w:left="936" w:hanging="936"/>
      </w:pPr>
      <w:rPr>
        <w:rFonts w:asciiTheme="majorHAnsi" w:eastAsiaTheme="majorEastAsia" w:hAnsiTheme="majorHAnsi" w:cstheme="majorBidi"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936" w:hanging="936"/>
      </w:pPr>
      <w:rPr>
        <w:rFonts w:asciiTheme="majorHAnsi" w:eastAsiaTheme="majorEastAsia" w:hAnsiTheme="majorHAnsi" w:cstheme="majorBidi" w:hint="default"/>
        <w:b/>
        <w:bCs/>
        <w:i/>
        <w:i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296" w:hanging="1296"/>
      </w:pPr>
      <w:rPr>
        <w:rFonts w:asciiTheme="majorHAnsi" w:eastAsiaTheme="majorEastAsia" w:hAnsiTheme="majorHAnsi" w:cstheme="majorBidi" w:hint="default"/>
        <w:b w:val="0"/>
        <w:bCs w:val="0"/>
        <w:i/>
        <w:iCs/>
        <w:sz w:val="28"/>
        <w:szCs w:val="28"/>
      </w:rPr>
    </w:lvl>
    <w:lvl w:ilvl="4">
      <w:start w:val="1"/>
      <w:numFmt w:val="decimal"/>
      <w:pStyle w:val="5"/>
      <w:lvlText w:val="%1.%2.%3.%4.%5."/>
      <w:lvlJc w:val="left"/>
      <w:pPr>
        <w:ind w:left="1296" w:hanging="1296"/>
      </w:pPr>
      <w:rPr>
        <w:rFonts w:asciiTheme="majorHAnsi" w:eastAsiaTheme="majorEastAsia" w:hAnsiTheme="majorHAnsi" w:cstheme="majorBidi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pStyle w:val="6"/>
      <w:lvlText w:val="%1.%2.%3.%4.%5.%6."/>
      <w:lvlJc w:val="left"/>
      <w:pPr>
        <w:ind w:left="1296" w:hanging="1296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296" w:hanging="1296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296" w:hanging="1296"/>
      </w:pPr>
      <w:rPr>
        <w:rFonts w:hint="default"/>
      </w:rPr>
    </w:lvl>
  </w:abstractNum>
  <w:abstractNum w:abstractNumId="16" w15:restartNumberingAfterBreak="0">
    <w:nsid w:val="49F46B1F"/>
    <w:multiLevelType w:val="multilevel"/>
    <w:tmpl w:val="B3124A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7" w15:restartNumberingAfterBreak="0">
    <w:nsid w:val="4F34477D"/>
    <w:multiLevelType w:val="multilevel"/>
    <w:tmpl w:val="70D0713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F9B3B28"/>
    <w:multiLevelType w:val="hybridMultilevel"/>
    <w:tmpl w:val="4EE8A7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25438A3"/>
    <w:multiLevelType w:val="multilevel"/>
    <w:tmpl w:val="C5AAAC1C"/>
    <w:lvl w:ilvl="0">
      <w:start w:val="1"/>
      <w:numFmt w:val="upperLetter"/>
      <w:pStyle w:val="AppendixHeading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H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ppendixH2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ED325A"/>
    <w:multiLevelType w:val="hybridMultilevel"/>
    <w:tmpl w:val="0D1AE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D55A2"/>
    <w:multiLevelType w:val="multilevel"/>
    <w:tmpl w:val="1AF8FE2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cs="Times New Roman" w:hint="default"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imes New Roman" w:eastAsia="Times New Roman" w:hAnsi="Times New Roman" w:cs="Times New Roman"/>
        <w:color w:val="auto"/>
      </w:rPr>
    </w:lvl>
    <w:lvl w:ilvl="3">
      <w:start w:val="1"/>
      <w:numFmt w:val="decimal"/>
      <w:lvlText w:val="%1.%2.%3.%4."/>
      <w:lvlJc w:val="left"/>
      <w:pPr>
        <w:ind w:left="86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2" w15:restartNumberingAfterBreak="0">
    <w:nsid w:val="6B794726"/>
    <w:multiLevelType w:val="multilevel"/>
    <w:tmpl w:val="AFD2AD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imes New Roman" w:eastAsia="PMingLiU" w:hAnsi="Times New Roman" w:cs="Times New Roman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3" w15:restartNumberingAfterBreak="0">
    <w:nsid w:val="789A6BA8"/>
    <w:multiLevelType w:val="hybridMultilevel"/>
    <w:tmpl w:val="AE6AAD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7B35621A"/>
    <w:multiLevelType w:val="multilevel"/>
    <w:tmpl w:val="8E80353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5" w15:restartNumberingAfterBreak="0">
    <w:nsid w:val="7F565DFC"/>
    <w:multiLevelType w:val="hybridMultilevel"/>
    <w:tmpl w:val="96DE72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11"/>
  </w:num>
  <w:num w:numId="5">
    <w:abstractNumId w:val="23"/>
  </w:num>
  <w:num w:numId="6">
    <w:abstractNumId w:val="18"/>
  </w:num>
  <w:num w:numId="7">
    <w:abstractNumId w:val="16"/>
  </w:num>
  <w:num w:numId="8">
    <w:abstractNumId w:val="13"/>
  </w:num>
  <w:num w:numId="9">
    <w:abstractNumId w:val="12"/>
  </w:num>
  <w:num w:numId="10">
    <w:abstractNumId w:val="7"/>
  </w:num>
  <w:num w:numId="11">
    <w:abstractNumId w:val="17"/>
  </w:num>
  <w:num w:numId="12">
    <w:abstractNumId w:val="10"/>
  </w:num>
  <w:num w:numId="13">
    <w:abstractNumId w:val="19"/>
  </w:num>
  <w:num w:numId="14">
    <w:abstractNumId w:val="6"/>
  </w:num>
  <w:num w:numId="15">
    <w:abstractNumId w:val="20"/>
  </w:num>
  <w:num w:numId="16">
    <w:abstractNumId w:val="9"/>
  </w:num>
  <w:num w:numId="17">
    <w:abstractNumId w:val="22"/>
  </w:num>
  <w:num w:numId="18">
    <w:abstractNumId w:val="3"/>
  </w:num>
  <w:num w:numId="19">
    <w:abstractNumId w:val="4"/>
  </w:num>
  <w:num w:numId="20">
    <w:abstractNumId w:val="25"/>
  </w:num>
  <w:num w:numId="21">
    <w:abstractNumId w:val="5"/>
  </w:num>
  <w:num w:numId="22">
    <w:abstractNumId w:val="15"/>
    <w:lvlOverride w:ilvl="0">
      <w:lvl w:ilvl="0">
        <w:start w:val="1"/>
        <w:numFmt w:val="decimal"/>
        <w:lvlRestart w:val="0"/>
        <w:lvlText w:val="%1."/>
        <w:lvlJc w:val="left"/>
        <w:pPr>
          <w:ind w:left="1078" w:hanging="936"/>
        </w:pPr>
        <w:rPr>
          <w:rFonts w:ascii="Times New Roman" w:eastAsiaTheme="majorEastAsia" w:hAnsi="Times New Roman" w:cs="Times New Roman" w:hint="default"/>
          <w:b w:val="0"/>
          <w:bCs w:val="0"/>
          <w:i w:val="0"/>
          <w:iCs w:val="0"/>
          <w:sz w:val="32"/>
          <w:szCs w:val="36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36" w:hanging="936"/>
        </w:pPr>
        <w:rPr>
          <w:rFonts w:asciiTheme="majorHAnsi" w:eastAsiaTheme="majorEastAsia" w:hAnsiTheme="majorHAnsi" w:cstheme="majorBidi" w:hint="default"/>
          <w:b/>
          <w:bCs/>
          <w:i w:val="0"/>
          <w:iCs w:val="0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8" w:hanging="936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sz w:val="24"/>
          <w:szCs w:val="24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296" w:hanging="1296"/>
        </w:pPr>
        <w:rPr>
          <w:rFonts w:ascii="Times New Roman" w:eastAsiaTheme="majorEastAsia" w:hAnsi="Times New Roman" w:cs="Times New Roman" w:hint="default"/>
          <w:b w:val="0"/>
          <w:bCs w:val="0"/>
          <w:i w:val="0"/>
          <w:iCs/>
          <w:sz w:val="24"/>
          <w:szCs w:val="24"/>
        </w:rPr>
      </w:lvl>
    </w:lvlOverride>
    <w:lvlOverride w:ilvl="4">
      <w:lvl w:ilvl="4">
        <w:start w:val="1"/>
        <w:numFmt w:val="decimal"/>
        <w:pStyle w:val="5"/>
        <w:lvlText w:val="%1.%2.%3.%4.%5."/>
        <w:lvlJc w:val="left"/>
        <w:pPr>
          <w:ind w:left="1296" w:hanging="1296"/>
        </w:pPr>
        <w:rPr>
          <w:rFonts w:asciiTheme="majorHAnsi" w:eastAsiaTheme="majorEastAsia" w:hAnsiTheme="majorHAnsi" w:cstheme="majorBidi" w:hint="default"/>
          <w:b w:val="0"/>
          <w:bCs w:val="0"/>
          <w:i/>
          <w:iCs/>
          <w:sz w:val="24"/>
          <w:szCs w:val="24"/>
        </w:rPr>
      </w:lvl>
    </w:lvlOverride>
    <w:lvlOverride w:ilvl="5">
      <w:lvl w:ilvl="5">
        <w:start w:val="1"/>
        <w:numFmt w:val="decimal"/>
        <w:pStyle w:val="6"/>
        <w:lvlText w:val="%1.%2.%3.%4.%5.%6."/>
        <w:lvlJc w:val="left"/>
        <w:pPr>
          <w:ind w:left="1296" w:hanging="1296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.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."/>
        <w:lvlJc w:val="left"/>
        <w:pPr>
          <w:ind w:left="1296" w:hanging="1296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."/>
        <w:lvlJc w:val="left"/>
        <w:pPr>
          <w:ind w:left="1296" w:hanging="1296"/>
        </w:pPr>
        <w:rPr>
          <w:rFonts w:hint="default"/>
        </w:rPr>
      </w:lvl>
    </w:lvlOverride>
  </w:num>
  <w:num w:numId="23">
    <w:abstractNumId w:val="15"/>
  </w:num>
  <w:num w:numId="24">
    <w:abstractNumId w:val="24"/>
  </w:num>
  <w:num w:numId="25">
    <w:abstractNumId w:val="19"/>
  </w:num>
  <w:num w:numId="26">
    <w:abstractNumId w:val="2"/>
  </w:num>
  <w:num w:numId="27">
    <w:abstractNumId w:val="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hideSpellingErrors/>
  <w:hideGrammaticalError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AB"/>
    <w:rsid w:val="00000D06"/>
    <w:rsid w:val="00020EC9"/>
    <w:rsid w:val="00021142"/>
    <w:rsid w:val="00027D44"/>
    <w:rsid w:val="000332ED"/>
    <w:rsid w:val="00033828"/>
    <w:rsid w:val="00037F0B"/>
    <w:rsid w:val="00082873"/>
    <w:rsid w:val="00091A7C"/>
    <w:rsid w:val="00095880"/>
    <w:rsid w:val="000C07D9"/>
    <w:rsid w:val="000E5508"/>
    <w:rsid w:val="00101B17"/>
    <w:rsid w:val="001064C8"/>
    <w:rsid w:val="00112478"/>
    <w:rsid w:val="00142D64"/>
    <w:rsid w:val="001453D3"/>
    <w:rsid w:val="00145AF2"/>
    <w:rsid w:val="001555D2"/>
    <w:rsid w:val="001724A1"/>
    <w:rsid w:val="00182177"/>
    <w:rsid w:val="0018223C"/>
    <w:rsid w:val="001929F4"/>
    <w:rsid w:val="00193188"/>
    <w:rsid w:val="00194FA4"/>
    <w:rsid w:val="001973F4"/>
    <w:rsid w:val="001A620D"/>
    <w:rsid w:val="001B1EAB"/>
    <w:rsid w:val="001B5EB1"/>
    <w:rsid w:val="001C192D"/>
    <w:rsid w:val="001F70AC"/>
    <w:rsid w:val="0021080A"/>
    <w:rsid w:val="00227E12"/>
    <w:rsid w:val="002311ED"/>
    <w:rsid w:val="00251016"/>
    <w:rsid w:val="00251A4B"/>
    <w:rsid w:val="00262959"/>
    <w:rsid w:val="00284F3A"/>
    <w:rsid w:val="002948BB"/>
    <w:rsid w:val="002C3D57"/>
    <w:rsid w:val="002D5CCA"/>
    <w:rsid w:val="002F36F4"/>
    <w:rsid w:val="00325AF0"/>
    <w:rsid w:val="0033064C"/>
    <w:rsid w:val="00351EDD"/>
    <w:rsid w:val="00367CA1"/>
    <w:rsid w:val="003707C6"/>
    <w:rsid w:val="00375245"/>
    <w:rsid w:val="00384ACD"/>
    <w:rsid w:val="003D6150"/>
    <w:rsid w:val="003D6641"/>
    <w:rsid w:val="003E2F67"/>
    <w:rsid w:val="00421890"/>
    <w:rsid w:val="004266B9"/>
    <w:rsid w:val="00434E50"/>
    <w:rsid w:val="00457490"/>
    <w:rsid w:val="00481DFF"/>
    <w:rsid w:val="00483B39"/>
    <w:rsid w:val="004A48E4"/>
    <w:rsid w:val="004B3EAA"/>
    <w:rsid w:val="004D07FA"/>
    <w:rsid w:val="004E1903"/>
    <w:rsid w:val="004E6354"/>
    <w:rsid w:val="00500562"/>
    <w:rsid w:val="00505599"/>
    <w:rsid w:val="00507592"/>
    <w:rsid w:val="005112C9"/>
    <w:rsid w:val="00517CAF"/>
    <w:rsid w:val="005354A6"/>
    <w:rsid w:val="00543658"/>
    <w:rsid w:val="0055211C"/>
    <w:rsid w:val="00570820"/>
    <w:rsid w:val="00573986"/>
    <w:rsid w:val="0059028C"/>
    <w:rsid w:val="005956D9"/>
    <w:rsid w:val="005B2851"/>
    <w:rsid w:val="005D5ED9"/>
    <w:rsid w:val="005E7035"/>
    <w:rsid w:val="00643F91"/>
    <w:rsid w:val="00663941"/>
    <w:rsid w:val="00685067"/>
    <w:rsid w:val="00685DBD"/>
    <w:rsid w:val="006920EB"/>
    <w:rsid w:val="006C3602"/>
    <w:rsid w:val="006C5781"/>
    <w:rsid w:val="006D37F5"/>
    <w:rsid w:val="006D7053"/>
    <w:rsid w:val="006D7C12"/>
    <w:rsid w:val="006D7DB8"/>
    <w:rsid w:val="006E6A1F"/>
    <w:rsid w:val="006E7350"/>
    <w:rsid w:val="00712190"/>
    <w:rsid w:val="00714DA0"/>
    <w:rsid w:val="007327C2"/>
    <w:rsid w:val="00746498"/>
    <w:rsid w:val="00762533"/>
    <w:rsid w:val="00786319"/>
    <w:rsid w:val="007A2727"/>
    <w:rsid w:val="007B0C0A"/>
    <w:rsid w:val="007D185E"/>
    <w:rsid w:val="007D3074"/>
    <w:rsid w:val="007F2438"/>
    <w:rsid w:val="007F3D17"/>
    <w:rsid w:val="007F5361"/>
    <w:rsid w:val="007F6B4A"/>
    <w:rsid w:val="00816DA3"/>
    <w:rsid w:val="00853883"/>
    <w:rsid w:val="00860C37"/>
    <w:rsid w:val="00866385"/>
    <w:rsid w:val="00882FAE"/>
    <w:rsid w:val="008839CE"/>
    <w:rsid w:val="00886387"/>
    <w:rsid w:val="008A0996"/>
    <w:rsid w:val="008A26F5"/>
    <w:rsid w:val="008A71F2"/>
    <w:rsid w:val="008B19C0"/>
    <w:rsid w:val="008D5876"/>
    <w:rsid w:val="008E6D30"/>
    <w:rsid w:val="008E6FD8"/>
    <w:rsid w:val="00904171"/>
    <w:rsid w:val="0090520E"/>
    <w:rsid w:val="00914938"/>
    <w:rsid w:val="0092327A"/>
    <w:rsid w:val="00951D0A"/>
    <w:rsid w:val="00957B66"/>
    <w:rsid w:val="00957C15"/>
    <w:rsid w:val="0096696E"/>
    <w:rsid w:val="00987AD8"/>
    <w:rsid w:val="0099181F"/>
    <w:rsid w:val="00993ED0"/>
    <w:rsid w:val="00995C84"/>
    <w:rsid w:val="009F6984"/>
    <w:rsid w:val="00A30756"/>
    <w:rsid w:val="00A355EF"/>
    <w:rsid w:val="00A35C1D"/>
    <w:rsid w:val="00A37160"/>
    <w:rsid w:val="00A4020A"/>
    <w:rsid w:val="00A53352"/>
    <w:rsid w:val="00A7578C"/>
    <w:rsid w:val="00A8381B"/>
    <w:rsid w:val="00A9632B"/>
    <w:rsid w:val="00AA5C82"/>
    <w:rsid w:val="00AC16B4"/>
    <w:rsid w:val="00AD5120"/>
    <w:rsid w:val="00AF4D57"/>
    <w:rsid w:val="00B16EC4"/>
    <w:rsid w:val="00B24AB8"/>
    <w:rsid w:val="00B24BA1"/>
    <w:rsid w:val="00B25E33"/>
    <w:rsid w:val="00B36EE1"/>
    <w:rsid w:val="00B43BE6"/>
    <w:rsid w:val="00B545F7"/>
    <w:rsid w:val="00B57A07"/>
    <w:rsid w:val="00B665D3"/>
    <w:rsid w:val="00B719C3"/>
    <w:rsid w:val="00B81541"/>
    <w:rsid w:val="00B82961"/>
    <w:rsid w:val="00B9360A"/>
    <w:rsid w:val="00B95F0B"/>
    <w:rsid w:val="00BA6C8C"/>
    <w:rsid w:val="00BC1787"/>
    <w:rsid w:val="00BC696C"/>
    <w:rsid w:val="00BE70D1"/>
    <w:rsid w:val="00BF5349"/>
    <w:rsid w:val="00C0356E"/>
    <w:rsid w:val="00C26FF3"/>
    <w:rsid w:val="00C408C0"/>
    <w:rsid w:val="00C40D68"/>
    <w:rsid w:val="00C468AF"/>
    <w:rsid w:val="00C61346"/>
    <w:rsid w:val="00C66756"/>
    <w:rsid w:val="00C737DA"/>
    <w:rsid w:val="00C73B17"/>
    <w:rsid w:val="00CA0C85"/>
    <w:rsid w:val="00CA39DE"/>
    <w:rsid w:val="00CA7094"/>
    <w:rsid w:val="00CB15D7"/>
    <w:rsid w:val="00CC2CD9"/>
    <w:rsid w:val="00CC485D"/>
    <w:rsid w:val="00CF5304"/>
    <w:rsid w:val="00CF5FB9"/>
    <w:rsid w:val="00D05DD2"/>
    <w:rsid w:val="00D06301"/>
    <w:rsid w:val="00D13FEA"/>
    <w:rsid w:val="00D31663"/>
    <w:rsid w:val="00D37F01"/>
    <w:rsid w:val="00D45B70"/>
    <w:rsid w:val="00D524F5"/>
    <w:rsid w:val="00D55DFD"/>
    <w:rsid w:val="00D740C9"/>
    <w:rsid w:val="00D74F1D"/>
    <w:rsid w:val="00D829F2"/>
    <w:rsid w:val="00D87A63"/>
    <w:rsid w:val="00DA21A1"/>
    <w:rsid w:val="00DB5088"/>
    <w:rsid w:val="00DB76A5"/>
    <w:rsid w:val="00DC423A"/>
    <w:rsid w:val="00DD47E2"/>
    <w:rsid w:val="00DF7C2D"/>
    <w:rsid w:val="00E14B7B"/>
    <w:rsid w:val="00E224AD"/>
    <w:rsid w:val="00E260C2"/>
    <w:rsid w:val="00E37E81"/>
    <w:rsid w:val="00E47022"/>
    <w:rsid w:val="00E61616"/>
    <w:rsid w:val="00E7019D"/>
    <w:rsid w:val="00E77A2F"/>
    <w:rsid w:val="00E83085"/>
    <w:rsid w:val="00E8580E"/>
    <w:rsid w:val="00ED3D15"/>
    <w:rsid w:val="00ED5C69"/>
    <w:rsid w:val="00ED65A3"/>
    <w:rsid w:val="00EE6C2C"/>
    <w:rsid w:val="00EF7C1E"/>
    <w:rsid w:val="00F02A1F"/>
    <w:rsid w:val="00F02CCA"/>
    <w:rsid w:val="00F12544"/>
    <w:rsid w:val="00F1687D"/>
    <w:rsid w:val="00F23371"/>
    <w:rsid w:val="00F3085D"/>
    <w:rsid w:val="00F42552"/>
    <w:rsid w:val="00F47581"/>
    <w:rsid w:val="00F7012E"/>
    <w:rsid w:val="00F734A8"/>
    <w:rsid w:val="00F74035"/>
    <w:rsid w:val="00F75930"/>
    <w:rsid w:val="00F7692E"/>
    <w:rsid w:val="00F81DB3"/>
    <w:rsid w:val="00F8401D"/>
    <w:rsid w:val="00F86626"/>
    <w:rsid w:val="00F91691"/>
    <w:rsid w:val="00F91791"/>
    <w:rsid w:val="00F96706"/>
    <w:rsid w:val="00FA157E"/>
    <w:rsid w:val="00FA4C08"/>
    <w:rsid w:val="00FB1475"/>
    <w:rsid w:val="00FC5195"/>
    <w:rsid w:val="00FC5A42"/>
    <w:rsid w:val="00FE795B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4FCA1"/>
  <w15:docId w15:val="{BD5918FE-39D9-5141-B84B-E3CFA2C0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E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B1EAB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1B1EA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1B1EA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0"/>
    <w:next w:val="a"/>
    <w:link w:val="50"/>
    <w:unhideWhenUsed/>
    <w:qFormat/>
    <w:rsid w:val="008B19C0"/>
    <w:pPr>
      <w:numPr>
        <w:ilvl w:val="4"/>
        <w:numId w:val="22"/>
      </w:numPr>
      <w:spacing w:after="240"/>
      <w:jc w:val="both"/>
      <w:outlineLvl w:val="4"/>
    </w:pPr>
    <w:rPr>
      <w:rFonts w:asciiTheme="majorHAnsi" w:eastAsiaTheme="majorEastAsia" w:hAnsiTheme="majorHAnsi" w:cstheme="majorBidi"/>
      <w:i/>
      <w:iCs/>
      <w:lang w:val="en-GB" w:eastAsia="ja-JP"/>
    </w:rPr>
  </w:style>
  <w:style w:type="paragraph" w:styleId="6">
    <w:name w:val="heading 6"/>
    <w:basedOn w:val="a"/>
    <w:next w:val="a0"/>
    <w:link w:val="60"/>
    <w:unhideWhenUsed/>
    <w:qFormat/>
    <w:rsid w:val="008B19C0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Cs/>
      <w:lang w:val="en-GB" w:eastAsia="ja-JP"/>
    </w:rPr>
  </w:style>
  <w:style w:type="paragraph" w:styleId="7">
    <w:name w:val="heading 7"/>
    <w:basedOn w:val="a"/>
    <w:next w:val="a0"/>
    <w:link w:val="70"/>
    <w:unhideWhenUsed/>
    <w:rsid w:val="008B19C0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Cs/>
      <w:lang w:val="en-GB" w:eastAsia="ja-JP"/>
    </w:rPr>
  </w:style>
  <w:style w:type="paragraph" w:styleId="8">
    <w:name w:val="heading 8"/>
    <w:basedOn w:val="a"/>
    <w:next w:val="a0"/>
    <w:link w:val="80"/>
    <w:unhideWhenUsed/>
    <w:rsid w:val="008B19C0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sz w:val="20"/>
      <w:lang w:val="en-GB" w:eastAsia="ja-JP"/>
    </w:rPr>
  </w:style>
  <w:style w:type="paragraph" w:styleId="9">
    <w:name w:val="heading 9"/>
    <w:basedOn w:val="a"/>
    <w:next w:val="a0"/>
    <w:link w:val="90"/>
    <w:unhideWhenUsed/>
    <w:rsid w:val="008B19C0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Cs/>
      <w:sz w:val="20"/>
      <w:lang w:val="en-GB"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1B1EAB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1B1EAB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1B1EAB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rsid w:val="001B1EA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1B1EA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basedOn w:val="a"/>
    <w:uiPriority w:val="99"/>
    <w:rsid w:val="001B1EAB"/>
    <w:pPr>
      <w:autoSpaceDE w:val="0"/>
      <w:autoSpaceDN w:val="0"/>
    </w:pPr>
    <w:rPr>
      <w:color w:val="000000"/>
      <w:lang w:eastAsia="en-US"/>
    </w:rPr>
  </w:style>
  <w:style w:type="character" w:styleId="a6">
    <w:name w:val="Hyperlink"/>
    <w:basedOn w:val="a1"/>
    <w:uiPriority w:val="99"/>
    <w:rsid w:val="001B1EAB"/>
    <w:rPr>
      <w:rFonts w:cs="Times New Roman"/>
      <w:color w:val="0000FF"/>
      <w:u w:val="single"/>
    </w:rPr>
  </w:style>
  <w:style w:type="paragraph" w:styleId="a7">
    <w:name w:val="List Paragraph"/>
    <w:basedOn w:val="a"/>
    <w:link w:val="a8"/>
    <w:uiPriority w:val="34"/>
    <w:qFormat/>
    <w:rsid w:val="001B1EAB"/>
    <w:pPr>
      <w:ind w:left="720"/>
    </w:pPr>
  </w:style>
  <w:style w:type="table" w:styleId="a9">
    <w:name w:val="Table Grid"/>
    <w:basedOn w:val="a2"/>
    <w:uiPriority w:val="59"/>
    <w:rsid w:val="001B1EA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a"/>
    <w:uiPriority w:val="99"/>
    <w:rsid w:val="001B1EAB"/>
    <w:pPr>
      <w:spacing w:before="40" w:after="40"/>
    </w:pPr>
    <w:rPr>
      <w:rFonts w:ascii="Arial" w:hAnsi="Arial" w:cs="Arial"/>
      <w:sz w:val="20"/>
      <w:szCs w:val="20"/>
      <w:lang w:val="en-GB" w:eastAsia="en-US"/>
    </w:rPr>
  </w:style>
  <w:style w:type="paragraph" w:styleId="aa">
    <w:name w:val="footnote text"/>
    <w:basedOn w:val="a"/>
    <w:link w:val="11"/>
    <w:uiPriority w:val="99"/>
    <w:rsid w:val="001B1EAB"/>
    <w:rPr>
      <w:sz w:val="20"/>
      <w:szCs w:val="20"/>
    </w:rPr>
  </w:style>
  <w:style w:type="character" w:customStyle="1" w:styleId="11">
    <w:name w:val="Текст сноски Знак1"/>
    <w:basedOn w:val="a1"/>
    <w:link w:val="aa"/>
    <w:uiPriority w:val="99"/>
    <w:rsid w:val="001B1E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TOC Heading"/>
    <w:basedOn w:val="1"/>
    <w:next w:val="a"/>
    <w:uiPriority w:val="99"/>
    <w:qFormat/>
    <w:rsid w:val="001B1EAB"/>
    <w:pPr>
      <w:spacing w:line="276" w:lineRule="auto"/>
      <w:outlineLvl w:val="9"/>
    </w:pPr>
    <w:rPr>
      <w:lang w:val="en-US" w:eastAsia="ja-JP"/>
    </w:rPr>
  </w:style>
  <w:style w:type="character" w:styleId="ac">
    <w:name w:val="footnote reference"/>
    <w:basedOn w:val="a1"/>
    <w:uiPriority w:val="99"/>
    <w:semiHidden/>
    <w:rsid w:val="001B1EAB"/>
    <w:rPr>
      <w:rFonts w:cs="Times New Roman"/>
      <w:vertAlign w:val="superscript"/>
    </w:rPr>
  </w:style>
  <w:style w:type="paragraph" w:styleId="12">
    <w:name w:val="toc 1"/>
    <w:basedOn w:val="a"/>
    <w:next w:val="a"/>
    <w:autoRedefine/>
    <w:uiPriority w:val="39"/>
    <w:rsid w:val="0018223C"/>
    <w:pPr>
      <w:tabs>
        <w:tab w:val="left" w:pos="426"/>
        <w:tab w:val="right" w:leader="dot" w:pos="9345"/>
      </w:tabs>
      <w:spacing w:after="100"/>
      <w:ind w:left="426" w:hanging="426"/>
    </w:pPr>
    <w:rPr>
      <w:b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1B1EAB"/>
    <w:pPr>
      <w:tabs>
        <w:tab w:val="left" w:pos="709"/>
        <w:tab w:val="right" w:leader="dot" w:pos="9345"/>
      </w:tabs>
      <w:spacing w:after="100"/>
      <w:ind w:left="709" w:hanging="709"/>
    </w:pPr>
  </w:style>
  <w:style w:type="paragraph" w:customStyle="1" w:styleId="HeadingNumber4">
    <w:name w:val="Heading Number 4"/>
    <w:basedOn w:val="a"/>
    <w:next w:val="a"/>
    <w:uiPriority w:val="99"/>
    <w:rsid w:val="001B1EAB"/>
    <w:pPr>
      <w:keepNext/>
      <w:tabs>
        <w:tab w:val="left" w:pos="907"/>
      </w:tabs>
      <w:spacing w:before="60" w:after="60"/>
      <w:outlineLvl w:val="3"/>
    </w:pPr>
    <w:rPr>
      <w:rFonts w:ascii="Arial" w:hAnsi="Arial" w:cs="Arial"/>
      <w:sz w:val="20"/>
      <w:szCs w:val="20"/>
      <w:lang w:val="en-GB" w:eastAsia="en-US"/>
    </w:rPr>
  </w:style>
  <w:style w:type="paragraph" w:styleId="ad">
    <w:name w:val="caption"/>
    <w:basedOn w:val="a"/>
    <w:next w:val="a"/>
    <w:uiPriority w:val="99"/>
    <w:qFormat/>
    <w:rsid w:val="001B1EAB"/>
    <w:pPr>
      <w:spacing w:after="200"/>
    </w:pPr>
    <w:rPr>
      <w:b/>
      <w:bCs/>
      <w:color w:val="4F81BD"/>
      <w:sz w:val="18"/>
      <w:szCs w:val="18"/>
    </w:rPr>
  </w:style>
  <w:style w:type="character" w:customStyle="1" w:styleId="ae">
    <w:name w:val="Заголовок Знак"/>
    <w:link w:val="af"/>
    <w:uiPriority w:val="99"/>
    <w:locked/>
    <w:rsid w:val="001B1EAB"/>
    <w:rPr>
      <w:rFonts w:ascii="Arial" w:hAnsi="Arial"/>
      <w:b/>
      <w:caps/>
      <w:spacing w:val="5"/>
      <w:kern w:val="28"/>
      <w:sz w:val="52"/>
    </w:rPr>
  </w:style>
  <w:style w:type="paragraph" w:styleId="af">
    <w:name w:val="Title"/>
    <w:basedOn w:val="a"/>
    <w:next w:val="a"/>
    <w:link w:val="ae"/>
    <w:uiPriority w:val="99"/>
    <w:qFormat/>
    <w:rsid w:val="001B1EAB"/>
    <w:pPr>
      <w:spacing w:after="300"/>
      <w:ind w:firstLine="709"/>
      <w:contextualSpacing/>
      <w:jc w:val="center"/>
    </w:pPr>
    <w:rPr>
      <w:rFonts w:ascii="Arial" w:eastAsiaTheme="minorHAnsi" w:hAnsi="Arial" w:cstheme="minorBidi"/>
      <w:b/>
      <w:caps/>
      <w:spacing w:val="5"/>
      <w:kern w:val="28"/>
      <w:sz w:val="52"/>
      <w:szCs w:val="22"/>
      <w:lang w:eastAsia="en-US"/>
    </w:rPr>
  </w:style>
  <w:style w:type="character" w:customStyle="1" w:styleId="TitleChar">
    <w:name w:val="Title Char"/>
    <w:basedOn w:val="a1"/>
    <w:uiPriority w:val="99"/>
    <w:rsid w:val="001B1E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3">
    <w:name w:val="Название Знак1"/>
    <w:basedOn w:val="a1"/>
    <w:uiPriority w:val="10"/>
    <w:rsid w:val="001B1EAB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itleChar1">
    <w:name w:val="Title Char1"/>
    <w:basedOn w:val="a1"/>
    <w:uiPriority w:val="99"/>
    <w:rsid w:val="001B1EAB"/>
    <w:rPr>
      <w:rFonts w:ascii="Cambria" w:hAnsi="Cambria" w:cs="Times New Roman"/>
      <w:color w:val="17365D"/>
      <w:spacing w:val="5"/>
      <w:kern w:val="28"/>
      <w:sz w:val="52"/>
      <w:szCs w:val="52"/>
      <w:lang w:val="x-none" w:eastAsia="ru-RU"/>
    </w:rPr>
  </w:style>
  <w:style w:type="character" w:styleId="af0">
    <w:name w:val="page number"/>
    <w:basedOn w:val="a1"/>
    <w:uiPriority w:val="99"/>
    <w:rsid w:val="001B1EAB"/>
    <w:rPr>
      <w:rFonts w:ascii="Times New Roman" w:hAnsi="Times New Roman" w:cs="Times New Roman"/>
      <w:sz w:val="20"/>
    </w:rPr>
  </w:style>
  <w:style w:type="character" w:customStyle="1" w:styleId="af1">
    <w:name w:val="Текст сноски Знак"/>
    <w:basedOn w:val="a1"/>
    <w:uiPriority w:val="99"/>
    <w:locked/>
    <w:rsid w:val="001B1EAB"/>
    <w:rPr>
      <w:rFonts w:cs="Times New Roman"/>
      <w:sz w:val="20"/>
      <w:lang w:val="en-GB" w:eastAsia="en-US"/>
    </w:rPr>
  </w:style>
  <w:style w:type="paragraph" w:customStyle="1" w:styleId="TOCHeading1">
    <w:name w:val="TOC Heading1"/>
    <w:basedOn w:val="a"/>
    <w:uiPriority w:val="99"/>
    <w:rsid w:val="001B1EAB"/>
    <w:pPr>
      <w:spacing w:before="300" w:line="360" w:lineRule="exact"/>
    </w:pPr>
    <w:rPr>
      <w:rFonts w:ascii="Arial Black" w:eastAsia="MS Mincho" w:hAnsi="Arial Black"/>
      <w:sz w:val="28"/>
      <w:szCs w:val="20"/>
      <w:lang w:val="en-GB" w:eastAsia="en-US"/>
    </w:rPr>
  </w:style>
  <w:style w:type="paragraph" w:styleId="af2">
    <w:name w:val="footer"/>
    <w:basedOn w:val="a"/>
    <w:link w:val="af3"/>
    <w:uiPriority w:val="99"/>
    <w:rsid w:val="001B1EAB"/>
    <w:pPr>
      <w:tabs>
        <w:tab w:val="center" w:pos="4320"/>
        <w:tab w:val="right" w:pos="8640"/>
      </w:tabs>
    </w:pPr>
    <w:rPr>
      <w:rFonts w:eastAsia="MS Mincho"/>
      <w:szCs w:val="20"/>
      <w:lang w:val="en-GB" w:eastAsia="en-US"/>
    </w:rPr>
  </w:style>
  <w:style w:type="character" w:customStyle="1" w:styleId="FooterChar">
    <w:name w:val="Footer Char"/>
    <w:basedOn w:val="a1"/>
    <w:uiPriority w:val="99"/>
    <w:rsid w:val="001B1E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1"/>
    <w:link w:val="af2"/>
    <w:uiPriority w:val="99"/>
    <w:locked/>
    <w:rsid w:val="001B1EAB"/>
    <w:rPr>
      <w:rFonts w:ascii="Times New Roman" w:eastAsia="MS Mincho" w:hAnsi="Times New Roman" w:cs="Times New Roman"/>
      <w:sz w:val="24"/>
      <w:szCs w:val="20"/>
      <w:lang w:val="en-GB"/>
    </w:rPr>
  </w:style>
  <w:style w:type="paragraph" w:customStyle="1" w:styleId="Caaieiaieoaaeeoueaa">
    <w:name w:val="Caaieiaie oaaeeou eaa."/>
    <w:basedOn w:val="a"/>
    <w:uiPriority w:val="99"/>
    <w:rsid w:val="001B1EAB"/>
    <w:pPr>
      <w:widowControl w:val="0"/>
      <w:spacing w:before="20" w:after="20"/>
    </w:pPr>
    <w:rPr>
      <w:rFonts w:eastAsia="MS Mincho"/>
      <w:b/>
      <w:bCs/>
      <w:sz w:val="20"/>
      <w:szCs w:val="20"/>
    </w:rPr>
  </w:style>
  <w:style w:type="paragraph" w:styleId="22">
    <w:name w:val="Body Text 2"/>
    <w:basedOn w:val="a"/>
    <w:link w:val="23"/>
    <w:uiPriority w:val="99"/>
    <w:rsid w:val="001B1EAB"/>
    <w:pPr>
      <w:spacing w:after="120" w:line="480" w:lineRule="auto"/>
    </w:pPr>
    <w:rPr>
      <w:rFonts w:eastAsia="PMingLiU"/>
      <w:szCs w:val="20"/>
      <w:lang w:val="en-GB" w:eastAsia="en-US"/>
    </w:rPr>
  </w:style>
  <w:style w:type="character" w:customStyle="1" w:styleId="23">
    <w:name w:val="Основной текст 2 Знак"/>
    <w:basedOn w:val="a1"/>
    <w:link w:val="22"/>
    <w:uiPriority w:val="99"/>
    <w:rsid w:val="001B1EAB"/>
    <w:rPr>
      <w:rFonts w:ascii="Times New Roman" w:eastAsia="PMingLiU" w:hAnsi="Times New Roman" w:cs="Times New Roman"/>
      <w:sz w:val="24"/>
      <w:szCs w:val="20"/>
      <w:lang w:val="en-GB"/>
    </w:rPr>
  </w:style>
  <w:style w:type="paragraph" w:customStyle="1" w:styleId="1-">
    <w:name w:val="Заголовок1-мой"/>
    <w:basedOn w:val="2"/>
    <w:qFormat/>
    <w:rsid w:val="001B1EAB"/>
    <w:pPr>
      <w:spacing w:before="0" w:line="276" w:lineRule="auto"/>
      <w:ind w:left="792" w:hanging="432"/>
      <w:jc w:val="both"/>
    </w:pPr>
    <w:rPr>
      <w:rFonts w:ascii="Times New Roman" w:eastAsiaTheme="majorEastAsia" w:hAnsi="Times New Roman" w:cstheme="majorBidi"/>
      <w:color w:val="auto"/>
      <w:sz w:val="24"/>
      <w:szCs w:val="22"/>
      <w:lang w:eastAsia="en-US"/>
    </w:rPr>
  </w:style>
  <w:style w:type="paragraph" w:customStyle="1" w:styleId="2-">
    <w:name w:val="Заголовок 2- мой"/>
    <w:basedOn w:val="a"/>
    <w:qFormat/>
    <w:rsid w:val="001B1EAB"/>
    <w:pPr>
      <w:spacing w:after="200" w:line="276" w:lineRule="auto"/>
      <w:ind w:left="1639" w:hanging="504"/>
    </w:pPr>
    <w:rPr>
      <w:rFonts w:eastAsiaTheme="minorHAnsi" w:cstheme="minorBidi"/>
      <w:b/>
      <w:szCs w:val="22"/>
      <w:lang w:eastAsia="en-US"/>
    </w:rPr>
  </w:style>
  <w:style w:type="paragraph" w:customStyle="1" w:styleId="0-">
    <w:name w:val="заголовок 0 - мой"/>
    <w:basedOn w:val="1"/>
    <w:qFormat/>
    <w:rsid w:val="001B1EAB"/>
    <w:pPr>
      <w:spacing w:line="276" w:lineRule="auto"/>
      <w:ind w:left="360" w:hanging="360"/>
    </w:pPr>
    <w:rPr>
      <w:rFonts w:ascii="Times New Roman" w:eastAsiaTheme="majorEastAsia" w:hAnsi="Times New Roman" w:cstheme="majorBidi"/>
      <w:caps/>
      <w:color w:val="auto"/>
      <w:lang w:eastAsia="en-US"/>
    </w:rPr>
  </w:style>
  <w:style w:type="paragraph" w:customStyle="1" w:styleId="3-">
    <w:name w:val="заголовок 3 - мой"/>
    <w:basedOn w:val="2-"/>
    <w:qFormat/>
    <w:rsid w:val="001B1EAB"/>
    <w:pPr>
      <w:numPr>
        <w:ilvl w:val="3"/>
      </w:numPr>
      <w:ind w:left="1639" w:hanging="504"/>
    </w:pPr>
  </w:style>
  <w:style w:type="paragraph" w:customStyle="1" w:styleId="-">
    <w:name w:val="Текст-мой"/>
    <w:basedOn w:val="2-"/>
    <w:link w:val="-0"/>
    <w:qFormat/>
    <w:rsid w:val="001B1EAB"/>
    <w:pPr>
      <w:spacing w:line="240" w:lineRule="auto"/>
      <w:jc w:val="both"/>
    </w:pPr>
    <w:rPr>
      <w:rFonts w:cs="Times New Roman"/>
      <w:b w:val="0"/>
      <w:szCs w:val="24"/>
    </w:rPr>
  </w:style>
  <w:style w:type="character" w:customStyle="1" w:styleId="-0">
    <w:name w:val="Текст-мой Знак"/>
    <w:basedOn w:val="a1"/>
    <w:link w:val="-"/>
    <w:rsid w:val="001B1EAB"/>
    <w:rPr>
      <w:rFonts w:ascii="Times New Roman" w:hAnsi="Times New Roman" w:cs="Times New Roman"/>
      <w:sz w:val="24"/>
      <w:szCs w:val="24"/>
    </w:rPr>
  </w:style>
  <w:style w:type="character" w:customStyle="1" w:styleId="af4">
    <w:name w:val="Текст примечания Знак"/>
    <w:basedOn w:val="a1"/>
    <w:link w:val="af5"/>
    <w:uiPriority w:val="99"/>
    <w:semiHidden/>
    <w:rsid w:val="001B1E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text"/>
    <w:basedOn w:val="a"/>
    <w:link w:val="af4"/>
    <w:uiPriority w:val="99"/>
    <w:semiHidden/>
    <w:unhideWhenUsed/>
    <w:rsid w:val="001B1EAB"/>
    <w:rPr>
      <w:sz w:val="20"/>
      <w:szCs w:val="20"/>
    </w:rPr>
  </w:style>
  <w:style w:type="character" w:customStyle="1" w:styleId="CommentTextChar1">
    <w:name w:val="Comment Text Char1"/>
    <w:basedOn w:val="a1"/>
    <w:uiPriority w:val="99"/>
    <w:semiHidden/>
    <w:rsid w:val="001B1EA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Тема примечания Знак"/>
    <w:basedOn w:val="af4"/>
    <w:link w:val="af7"/>
    <w:uiPriority w:val="99"/>
    <w:semiHidden/>
    <w:rsid w:val="001B1EA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6"/>
    <w:uiPriority w:val="99"/>
    <w:semiHidden/>
    <w:unhideWhenUsed/>
    <w:rsid w:val="001B1EAB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1B1EA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8">
    <w:name w:val="annotation reference"/>
    <w:basedOn w:val="a1"/>
    <w:uiPriority w:val="99"/>
    <w:semiHidden/>
    <w:unhideWhenUsed/>
    <w:rsid w:val="001B1EAB"/>
    <w:rPr>
      <w:sz w:val="16"/>
      <w:szCs w:val="16"/>
    </w:rPr>
  </w:style>
  <w:style w:type="paragraph" w:styleId="af9">
    <w:name w:val="Revision"/>
    <w:hidden/>
    <w:uiPriority w:val="99"/>
    <w:semiHidden/>
    <w:rsid w:val="001B1E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Абзац списка Знак"/>
    <w:basedOn w:val="a1"/>
    <w:link w:val="a7"/>
    <w:uiPriority w:val="34"/>
    <w:rsid w:val="001B1E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header"/>
    <w:basedOn w:val="a"/>
    <w:link w:val="afb"/>
    <w:uiPriority w:val="99"/>
    <w:unhideWhenUsed/>
    <w:rsid w:val="001B1EAB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1"/>
    <w:link w:val="afa"/>
    <w:uiPriority w:val="99"/>
    <w:rsid w:val="001B1E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Placeholder Text"/>
    <w:basedOn w:val="a1"/>
    <w:uiPriority w:val="99"/>
    <w:semiHidden/>
    <w:rsid w:val="001B1EAB"/>
    <w:rPr>
      <w:color w:val="808080"/>
    </w:rPr>
  </w:style>
  <w:style w:type="paragraph" w:customStyle="1" w:styleId="AppendixHeading">
    <w:name w:val="Appendix Heading"/>
    <w:basedOn w:val="a"/>
    <w:next w:val="a0"/>
    <w:link w:val="AppendixHeadingChar"/>
    <w:qFormat/>
    <w:rsid w:val="001B1EAB"/>
    <w:pPr>
      <w:keepNext/>
      <w:pageBreakBefore/>
      <w:numPr>
        <w:numId w:val="13"/>
      </w:numPr>
      <w:spacing w:after="240"/>
      <w:outlineLvl w:val="0"/>
    </w:pPr>
    <w:rPr>
      <w:rFonts w:asciiTheme="majorHAnsi" w:eastAsiaTheme="minorEastAsia" w:hAnsiTheme="majorHAnsi" w:cs="Arial Black"/>
      <w:sz w:val="32"/>
      <w:lang w:val="en-GB" w:eastAsia="ja-JP"/>
    </w:rPr>
  </w:style>
  <w:style w:type="paragraph" w:customStyle="1" w:styleId="AppendixH1">
    <w:name w:val="Appendix H1"/>
    <w:basedOn w:val="a"/>
    <w:qFormat/>
    <w:rsid w:val="001B1EAB"/>
    <w:pPr>
      <w:keepNext/>
      <w:numPr>
        <w:ilvl w:val="1"/>
        <w:numId w:val="13"/>
      </w:numPr>
      <w:spacing w:before="60" w:after="120"/>
      <w:outlineLvl w:val="1"/>
    </w:pPr>
    <w:rPr>
      <w:rFonts w:asciiTheme="majorHAnsi" w:eastAsiaTheme="minorEastAsia" w:hAnsiTheme="majorHAnsi" w:cs="Arial"/>
      <w:b/>
      <w:lang w:val="en-GB" w:eastAsia="ja-JP"/>
    </w:rPr>
  </w:style>
  <w:style w:type="character" w:customStyle="1" w:styleId="AppendixHeadingChar">
    <w:name w:val="Appendix Heading Char"/>
    <w:basedOn w:val="a1"/>
    <w:link w:val="AppendixHeading"/>
    <w:rsid w:val="001B1EAB"/>
    <w:rPr>
      <w:rFonts w:asciiTheme="majorHAnsi" w:eastAsiaTheme="minorEastAsia" w:hAnsiTheme="majorHAnsi" w:cs="Arial Black"/>
      <w:sz w:val="32"/>
      <w:szCs w:val="24"/>
      <w:lang w:val="en-GB" w:eastAsia="ja-JP"/>
    </w:rPr>
  </w:style>
  <w:style w:type="paragraph" w:customStyle="1" w:styleId="AppendixH2">
    <w:name w:val="Appendix H2"/>
    <w:basedOn w:val="a"/>
    <w:qFormat/>
    <w:rsid w:val="001B1EAB"/>
    <w:pPr>
      <w:keepNext/>
      <w:numPr>
        <w:ilvl w:val="2"/>
        <w:numId w:val="13"/>
      </w:numPr>
      <w:spacing w:before="240" w:after="120"/>
      <w:outlineLvl w:val="2"/>
    </w:pPr>
    <w:rPr>
      <w:rFonts w:asciiTheme="majorHAnsi" w:eastAsiaTheme="minorEastAsia" w:hAnsiTheme="majorHAnsi" w:cs="Arial Black"/>
      <w:lang w:val="en-GB" w:eastAsia="ja-JP"/>
    </w:rPr>
  </w:style>
  <w:style w:type="paragraph" w:styleId="a0">
    <w:name w:val="Body Text"/>
    <w:basedOn w:val="a"/>
    <w:link w:val="afd"/>
    <w:uiPriority w:val="99"/>
    <w:unhideWhenUsed/>
    <w:rsid w:val="001B1EAB"/>
    <w:pPr>
      <w:spacing w:after="120"/>
    </w:pPr>
  </w:style>
  <w:style w:type="character" w:customStyle="1" w:styleId="afd">
    <w:name w:val="Основной текст Знак"/>
    <w:basedOn w:val="a1"/>
    <w:link w:val="a0"/>
    <w:uiPriority w:val="99"/>
    <w:rsid w:val="001B1E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endnote text"/>
    <w:basedOn w:val="a"/>
    <w:link w:val="aff"/>
    <w:uiPriority w:val="99"/>
    <w:semiHidden/>
    <w:unhideWhenUsed/>
    <w:rsid w:val="001B1EAB"/>
    <w:rPr>
      <w:sz w:val="20"/>
      <w:szCs w:val="20"/>
    </w:rPr>
  </w:style>
  <w:style w:type="character" w:customStyle="1" w:styleId="aff">
    <w:name w:val="Текст концевой сноски Знак"/>
    <w:basedOn w:val="a1"/>
    <w:link w:val="afe"/>
    <w:uiPriority w:val="99"/>
    <w:semiHidden/>
    <w:rsid w:val="001B1EA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0">
    <w:name w:val="endnote reference"/>
    <w:basedOn w:val="a1"/>
    <w:uiPriority w:val="99"/>
    <w:semiHidden/>
    <w:unhideWhenUsed/>
    <w:rsid w:val="001B1EAB"/>
    <w:rPr>
      <w:vertAlign w:val="superscript"/>
    </w:rPr>
  </w:style>
  <w:style w:type="character" w:customStyle="1" w:styleId="50">
    <w:name w:val="Заголовок 5 Знак"/>
    <w:basedOn w:val="a1"/>
    <w:link w:val="5"/>
    <w:rsid w:val="008B19C0"/>
    <w:rPr>
      <w:rFonts w:asciiTheme="majorHAnsi" w:eastAsiaTheme="majorEastAsia" w:hAnsiTheme="majorHAnsi" w:cstheme="majorBidi"/>
      <w:i/>
      <w:iCs/>
      <w:sz w:val="24"/>
      <w:szCs w:val="24"/>
      <w:lang w:val="en-GB" w:eastAsia="ja-JP"/>
    </w:rPr>
  </w:style>
  <w:style w:type="character" w:customStyle="1" w:styleId="60">
    <w:name w:val="Заголовок 6 Знак"/>
    <w:basedOn w:val="a1"/>
    <w:link w:val="6"/>
    <w:rsid w:val="008B19C0"/>
    <w:rPr>
      <w:rFonts w:asciiTheme="majorHAnsi" w:eastAsiaTheme="majorEastAsia" w:hAnsiTheme="majorHAnsi" w:cstheme="majorBidi"/>
      <w:iCs/>
      <w:sz w:val="24"/>
      <w:szCs w:val="24"/>
      <w:lang w:val="en-GB" w:eastAsia="ja-JP"/>
    </w:rPr>
  </w:style>
  <w:style w:type="character" w:customStyle="1" w:styleId="70">
    <w:name w:val="Заголовок 7 Знак"/>
    <w:basedOn w:val="a1"/>
    <w:link w:val="7"/>
    <w:rsid w:val="008B19C0"/>
    <w:rPr>
      <w:rFonts w:asciiTheme="majorHAnsi" w:eastAsiaTheme="majorEastAsia" w:hAnsiTheme="majorHAnsi" w:cstheme="majorBidi"/>
      <w:iCs/>
      <w:sz w:val="24"/>
      <w:szCs w:val="24"/>
      <w:lang w:val="en-GB" w:eastAsia="ja-JP"/>
    </w:rPr>
  </w:style>
  <w:style w:type="character" w:customStyle="1" w:styleId="80">
    <w:name w:val="Заголовок 8 Знак"/>
    <w:basedOn w:val="a1"/>
    <w:link w:val="8"/>
    <w:rsid w:val="008B19C0"/>
    <w:rPr>
      <w:rFonts w:asciiTheme="majorHAnsi" w:eastAsiaTheme="majorEastAsia" w:hAnsiTheme="majorHAnsi" w:cstheme="majorBidi"/>
      <w:sz w:val="20"/>
      <w:szCs w:val="24"/>
      <w:lang w:val="en-GB" w:eastAsia="ja-JP"/>
    </w:rPr>
  </w:style>
  <w:style w:type="character" w:customStyle="1" w:styleId="90">
    <w:name w:val="Заголовок 9 Знак"/>
    <w:basedOn w:val="a1"/>
    <w:link w:val="9"/>
    <w:rsid w:val="008B19C0"/>
    <w:rPr>
      <w:rFonts w:asciiTheme="majorHAnsi" w:eastAsiaTheme="majorEastAsia" w:hAnsiTheme="majorHAnsi" w:cstheme="majorBidi"/>
      <w:iCs/>
      <w:sz w:val="20"/>
      <w:szCs w:val="24"/>
      <w:lang w:val="en-GB" w:eastAsia="ja-JP"/>
    </w:rPr>
  </w:style>
  <w:style w:type="numbering" w:customStyle="1" w:styleId="HeadingsList">
    <w:name w:val="Headings List"/>
    <w:uiPriority w:val="99"/>
    <w:rsid w:val="008B19C0"/>
    <w:pPr>
      <w:numPr>
        <w:numId w:val="23"/>
      </w:numPr>
    </w:pPr>
  </w:style>
  <w:style w:type="paragraph" w:customStyle="1" w:styleId="14">
    <w:name w:val="заголовок 1"/>
    <w:basedOn w:val="a"/>
    <w:next w:val="a"/>
    <w:uiPriority w:val="99"/>
    <w:rsid w:val="00E8580E"/>
    <w:pPr>
      <w:keepNext/>
      <w:widowControl w:val="0"/>
      <w:autoSpaceDE w:val="0"/>
      <w:autoSpaceDN w:val="0"/>
      <w:spacing w:before="240" w:after="60"/>
      <w:jc w:val="both"/>
    </w:pPr>
    <w:rPr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mazon.com/s/ref=ntt_athr_dp_sr_1?_encoding=UTF8&amp;field-author=John%20C.%20Hull&amp;search-alias=books&amp;sort=relevancer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C610D-D619-4A5C-9DB7-603C0292D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3429</Words>
  <Characters>22638</Characters>
  <Application>Microsoft Office Word</Application>
  <DocSecurity>0</DocSecurity>
  <Lines>730</Lines>
  <Paragraphs>407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ОАО Сбербанк России</Company>
  <LinksUpToDate>false</LinksUpToDate>
  <CharactersWithSpaces>25660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</cp:revision>
  <cp:lastPrinted>2015-04-14T08:04:00Z</cp:lastPrinted>
  <dcterms:created xsi:type="dcterms:W3CDTF">2022-01-27T12:20:00Z</dcterms:created>
  <dcterms:modified xsi:type="dcterms:W3CDTF">2022-01-27T12:20:00Z</dcterms:modified>
</cp:coreProperties>
</file>