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EC3E" w14:textId="77777777" w:rsidR="00F81CEC" w:rsidRDefault="00F81CEC" w:rsidP="00F81CEC">
      <w:pPr>
        <w:pStyle w:val="Heading1"/>
        <w:numPr>
          <w:ilvl w:val="0"/>
          <w:numId w:val="0"/>
        </w:numPr>
        <w:ind w:left="284" w:hanging="284"/>
      </w:pPr>
      <w:bookmarkStart w:id="0" w:name="_Toc74813997"/>
      <w:r>
        <w:t>Compounding flavors</w:t>
      </w:r>
      <w:bookmarkEnd w:id="0"/>
    </w:p>
    <w:p w14:paraId="158DD7AC" w14:textId="77777777" w:rsidR="00F81CEC" w:rsidRDefault="00F81CEC" w:rsidP="00F81CEC">
      <w:r>
        <w:t>This section describes the configuration for the main flavors of compounding that are met on the market.</w:t>
      </w:r>
    </w:p>
    <w:p w14:paraId="7D97B075" w14:textId="77777777" w:rsidR="00F81CEC" w:rsidRDefault="00F81CEC" w:rsidP="00F81CEC">
      <w:r>
        <w:t xml:space="preserve">Note that they can be applied also to average indices with the “Mean </w:t>
      </w:r>
      <w:proofErr w:type="gramStart"/>
      <w:r>
        <w:t>type”=</w:t>
      </w:r>
      <w:proofErr w:type="gramEnd"/>
      <w:r>
        <w:t>”Built on a weighting schedule”, where the weighting schedule plays the role of the compounding schedule.</w:t>
      </w:r>
    </w:p>
    <w:p w14:paraId="3F596394" w14:textId="77777777" w:rsidR="00F81CEC" w:rsidRDefault="00F81CEC" w:rsidP="00F81CEC">
      <w:r>
        <w:t>Note that even if the document is focused on IRD instruments, the same compounding flavors might be used for security finance, money market and bond products.</w:t>
      </w:r>
    </w:p>
    <w:p w14:paraId="634DEDF8" w14:textId="77777777" w:rsidR="00F81CEC" w:rsidRDefault="00F81CEC" w:rsidP="00F81CEC">
      <w:r>
        <w:t>Correlations between typologies and compounding flavors used will be indicated below.</w:t>
      </w:r>
    </w:p>
    <w:p w14:paraId="3FAF2EB1" w14:textId="7D5B7B58" w:rsidR="00F81CEC" w:rsidRDefault="00F81CEC" w:rsidP="00F81CEC">
      <w:pPr>
        <w:pStyle w:val="Heading2"/>
        <w:numPr>
          <w:ilvl w:val="0"/>
          <w:numId w:val="2"/>
        </w:numPr>
      </w:pPr>
      <w:bookmarkStart w:id="1" w:name="_Toc74813998"/>
      <w:r>
        <w:t>Lockout</w:t>
      </w:r>
      <w:bookmarkEnd w:id="1"/>
    </w:p>
    <w:p w14:paraId="3E9F0FD9" w14:textId="77777777" w:rsidR="00F81CEC" w:rsidRDefault="00F81CEC" w:rsidP="00F81CEC">
      <w:r>
        <w:t>When lockout is used, a rate is crystallized and used for the following periods.</w:t>
      </w:r>
    </w:p>
    <w:p w14:paraId="772FBF9C" w14:textId="77777777" w:rsidR="00F81CEC" w:rsidRPr="00646DC8" w:rsidRDefault="00F81CEC" w:rsidP="00F81CEC">
      <w:r w:rsidRPr="00646DC8">
        <w:t>The lockout period (also called rate cut-off) is configurable in the formula definition of the compounded index.</w:t>
      </w:r>
    </w:p>
    <w:p w14:paraId="7DD6C452" w14:textId="77777777" w:rsidR="00F81CEC" w:rsidRDefault="00F81CEC" w:rsidP="00F81CEC">
      <w:r w:rsidRPr="00646DC8">
        <w:t>For a lockout of n days, the–(n+1) BUSINESS DAY shifter should be used (since MX is computing the crystallized fixing from the calculation end date of the period).</w:t>
      </w:r>
    </w:p>
    <w:p w14:paraId="33367959" w14:textId="77777777" w:rsidR="00F81CEC" w:rsidRPr="00646DC8" w:rsidRDefault="00F81CEC" w:rsidP="00F81CEC"/>
    <w:p w14:paraId="4BDA130A" w14:textId="77777777" w:rsidR="00F81CEC" w:rsidRDefault="00F81CEC" w:rsidP="00F81CEC">
      <w:pPr>
        <w:jc w:val="center"/>
      </w:pPr>
      <w:r>
        <w:rPr>
          <w:noProof/>
        </w:rPr>
        <w:drawing>
          <wp:inline distT="0" distB="0" distL="0" distR="0" wp14:anchorId="71B111BB" wp14:editId="310215B1">
            <wp:extent cx="5984876" cy="2327275"/>
            <wp:effectExtent l="0" t="0" r="0" b="0"/>
            <wp:docPr id="1305737459" name="Picture 1305737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37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6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39F5" w14:textId="77777777" w:rsidR="00F81CEC" w:rsidRDefault="00F81CEC" w:rsidP="00F81CEC">
      <w:pPr>
        <w:jc w:val="left"/>
      </w:pPr>
    </w:p>
    <w:p w14:paraId="4AD11EE1" w14:textId="77777777" w:rsidR="00F81CEC" w:rsidRDefault="00F81CEC" w:rsidP="00F81CEC">
      <w:pPr>
        <w:jc w:val="left"/>
        <w:rPr>
          <w:u w:val="single"/>
        </w:rPr>
      </w:pPr>
      <w:r w:rsidRPr="003F1CD9">
        <w:rPr>
          <w:u w:val="single"/>
        </w:rPr>
        <w:t>Illustration:</w:t>
      </w:r>
    </w:p>
    <w:p w14:paraId="539A8464" w14:textId="77777777" w:rsidR="00F81CEC" w:rsidRPr="003F1CD9" w:rsidRDefault="00F81CEC" w:rsidP="00F81CEC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806EA5D" wp14:editId="7C59BB10">
            <wp:extent cx="4865298" cy="3005454"/>
            <wp:effectExtent l="0" t="0" r="0" b="5080"/>
            <wp:docPr id="1305737463" name="Picture 1305737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37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98" cy="30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452" w14:textId="77777777" w:rsidR="00F81CEC" w:rsidRDefault="00F81CEC" w:rsidP="00F81CEC">
      <w:pPr>
        <w:jc w:val="left"/>
      </w:pPr>
    </w:p>
    <w:p w14:paraId="48D96F61" w14:textId="77777777" w:rsidR="00F81CEC" w:rsidRDefault="00F81CEC" w:rsidP="00F81CEC"/>
    <w:p w14:paraId="5892C42A" w14:textId="42D871DE" w:rsidR="00F81CEC" w:rsidRDefault="00F81CEC" w:rsidP="00F81CEC">
      <w:pPr>
        <w:pStyle w:val="Heading2"/>
        <w:numPr>
          <w:ilvl w:val="0"/>
          <w:numId w:val="2"/>
        </w:numPr>
      </w:pPr>
      <w:bookmarkStart w:id="2" w:name="_Toc74813999"/>
      <w:r>
        <w:t>Lookback</w:t>
      </w:r>
      <w:bookmarkEnd w:id="2"/>
    </w:p>
    <w:p w14:paraId="117C56A1" w14:textId="77777777" w:rsidR="00F81CEC" w:rsidRPr="00FE50F7" w:rsidRDefault="00F81CEC" w:rsidP="00F81CEC">
      <w:r w:rsidRPr="00FE50F7">
        <w:t>The fixing schedule is shifted with respect to the compounded periods (which are not affected). Generally used in bonds.</w:t>
      </w:r>
    </w:p>
    <w:p w14:paraId="6A140A05" w14:textId="77777777" w:rsidR="00F81CEC" w:rsidRDefault="00F81CEC" w:rsidP="00F81CEC">
      <w:pPr>
        <w:jc w:val="center"/>
      </w:pPr>
      <w:r>
        <w:rPr>
          <w:noProof/>
        </w:rPr>
        <w:drawing>
          <wp:inline distT="0" distB="0" distL="0" distR="0" wp14:anchorId="196A4761" wp14:editId="1D4123BD">
            <wp:extent cx="4701538" cy="2346325"/>
            <wp:effectExtent l="0" t="0" r="3810" b="0"/>
            <wp:docPr id="1305737457" name="Picture 1305737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37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38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501D" w14:textId="77777777" w:rsidR="00F81CEC" w:rsidRPr="00FE50F7" w:rsidRDefault="00F81CEC" w:rsidP="00F81CEC">
      <w:pPr>
        <w:jc w:val="center"/>
      </w:pPr>
      <w:r>
        <w:rPr>
          <w:noProof/>
        </w:rPr>
        <w:lastRenderedPageBreak/>
        <w:drawing>
          <wp:inline distT="0" distB="0" distL="0" distR="0" wp14:anchorId="6704D8C8" wp14:editId="3FFD69AA">
            <wp:extent cx="5805896" cy="2467290"/>
            <wp:effectExtent l="0" t="0" r="4445" b="9525"/>
            <wp:docPr id="1047454554" name="Picture 104745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454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96" cy="24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2A67" w14:textId="77777777" w:rsidR="00F81CEC" w:rsidRDefault="00F81CEC" w:rsidP="00F81CEC">
      <w:r>
        <w:t xml:space="preserve">Note that the </w:t>
      </w:r>
      <w:r w:rsidRPr="00E912B2">
        <w:rPr>
          <w:i/>
          <w:iCs/>
        </w:rPr>
        <w:t xml:space="preserve">+0 DAY PREVIOUS </w:t>
      </w:r>
      <w:r>
        <w:t>adjustment has been added to properly handle the case when the compounding start date is falling on a holiday.</w:t>
      </w:r>
    </w:p>
    <w:p w14:paraId="1B9657EF" w14:textId="77777777" w:rsidR="00F81CEC" w:rsidRDefault="00F81CEC" w:rsidP="00F81CEC">
      <w:pPr>
        <w:jc w:val="center"/>
      </w:pPr>
    </w:p>
    <w:p w14:paraId="71B82D3C" w14:textId="77777777" w:rsidR="00F81CEC" w:rsidRPr="003F1CD9" w:rsidRDefault="00F81CEC" w:rsidP="00F81CEC">
      <w:pPr>
        <w:jc w:val="left"/>
      </w:pPr>
      <w:r w:rsidRPr="003F1CD9">
        <w:rPr>
          <w:u w:val="single"/>
        </w:rPr>
        <w:t>Illustration:</w:t>
      </w:r>
    </w:p>
    <w:p w14:paraId="41AC5D98" w14:textId="77777777" w:rsidR="00F81CEC" w:rsidRDefault="00F81CEC" w:rsidP="00F81CEC">
      <w:pPr>
        <w:jc w:val="center"/>
      </w:pPr>
      <w:r>
        <w:rPr>
          <w:noProof/>
        </w:rPr>
        <w:drawing>
          <wp:inline distT="0" distB="0" distL="0" distR="0" wp14:anchorId="77CB8602" wp14:editId="55E0E01B">
            <wp:extent cx="4886554" cy="2971579"/>
            <wp:effectExtent l="0" t="0" r="0" b="635"/>
            <wp:docPr id="1305737464" name="Picture 130573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374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54" cy="29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615F" w14:textId="77777777" w:rsidR="00F81CEC" w:rsidRDefault="00F81CEC" w:rsidP="00F81CEC">
      <w:pPr>
        <w:jc w:val="left"/>
      </w:pPr>
      <w:r w:rsidRPr="009C4940">
        <w:rPr>
          <w:color w:val="00B050"/>
        </w:rPr>
        <w:t xml:space="preserve">Green </w:t>
      </w:r>
      <w:r>
        <w:t>date (12 Feb 2021) is the calculation start date.</w:t>
      </w:r>
    </w:p>
    <w:p w14:paraId="7397221F" w14:textId="77777777" w:rsidR="00F81CEC" w:rsidRDefault="00F81CEC" w:rsidP="00F81CEC">
      <w:pPr>
        <w:jc w:val="left"/>
      </w:pPr>
      <w:r w:rsidRPr="009C4940">
        <w:rPr>
          <w:color w:val="00B0F0"/>
        </w:rPr>
        <w:t xml:space="preserve">Blue </w:t>
      </w:r>
      <w:r>
        <w:t>date (05 Feb 2021) is the calculation start date adjusted by -5 BUSINESS DAY.</w:t>
      </w:r>
    </w:p>
    <w:p w14:paraId="0804EA57" w14:textId="77777777" w:rsidR="00F81CEC" w:rsidRDefault="00F81CEC" w:rsidP="00F81CEC">
      <w:pPr>
        <w:jc w:val="left"/>
      </w:pPr>
    </w:p>
    <w:p w14:paraId="3F9EAE73" w14:textId="77777777" w:rsidR="00F81CEC" w:rsidRDefault="00F81CEC" w:rsidP="00F81CEC">
      <w:pPr>
        <w:jc w:val="left"/>
      </w:pPr>
      <w:r>
        <w:t>Note that to replicate the same lookback flavor on average indices, the “Built on a weighting schedule” mean type should be used (and 1 BUSINESS DAY schedule is used instead):</w:t>
      </w:r>
    </w:p>
    <w:p w14:paraId="45973703" w14:textId="77777777" w:rsidR="00F81CEC" w:rsidRDefault="00F81CEC" w:rsidP="00F81CEC">
      <w:pPr>
        <w:jc w:val="center"/>
      </w:pPr>
      <w:r>
        <w:rPr>
          <w:noProof/>
        </w:rPr>
        <w:lastRenderedPageBreak/>
        <w:drawing>
          <wp:inline distT="0" distB="0" distL="0" distR="0" wp14:anchorId="2F023C82" wp14:editId="03D812C2">
            <wp:extent cx="4908700" cy="3744069"/>
            <wp:effectExtent l="0" t="0" r="6350" b="8890"/>
            <wp:docPr id="1235034006" name="Picture 1235034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034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00" cy="37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41A2" w14:textId="77777777" w:rsidR="00F81CEC" w:rsidRDefault="00F81CEC" w:rsidP="00F81CEC">
      <w:pPr>
        <w:jc w:val="center"/>
      </w:pPr>
      <w:r>
        <w:rPr>
          <w:noProof/>
        </w:rPr>
        <w:drawing>
          <wp:inline distT="0" distB="0" distL="0" distR="0" wp14:anchorId="1354538D" wp14:editId="25160F1B">
            <wp:extent cx="5788641" cy="2381021"/>
            <wp:effectExtent l="0" t="0" r="3175" b="635"/>
            <wp:docPr id="1235034024" name="Picture 123503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0340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41" cy="23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1FF" w14:textId="287B43B4" w:rsidR="00F81CEC" w:rsidRDefault="00F81CEC" w:rsidP="00F81CEC">
      <w:pPr>
        <w:pStyle w:val="Heading2"/>
        <w:numPr>
          <w:ilvl w:val="0"/>
          <w:numId w:val="2"/>
        </w:numPr>
      </w:pPr>
      <w:bookmarkStart w:id="3" w:name="_Toc74814000"/>
      <w:r>
        <w:t>Observation shift</w:t>
      </w:r>
      <w:bookmarkEnd w:id="3"/>
    </w:p>
    <w:p w14:paraId="1574FDEE" w14:textId="77777777" w:rsidR="00F81CEC" w:rsidRDefault="00F81CEC" w:rsidP="00F81CEC">
      <w:r w:rsidRPr="009A5E4C">
        <w:t>The fixing schedule and the compound</w:t>
      </w:r>
      <w:r>
        <w:t>ing</w:t>
      </w:r>
      <w:r w:rsidRPr="009A5E4C">
        <w:t xml:space="preserve"> schedule are both shifted.</w:t>
      </w:r>
    </w:p>
    <w:p w14:paraId="443E4237" w14:textId="77777777" w:rsidR="00F81CEC" w:rsidRDefault="00F81CEC" w:rsidP="00F81CEC"/>
    <w:p w14:paraId="237F1F02" w14:textId="77777777" w:rsidR="00F81CEC" w:rsidRPr="00E07AA8" w:rsidRDefault="00F81CEC" w:rsidP="00F81CEC">
      <w:pPr>
        <w:jc w:val="center"/>
      </w:pPr>
      <w:r>
        <w:rPr>
          <w:noProof/>
        </w:rPr>
        <w:lastRenderedPageBreak/>
        <w:drawing>
          <wp:inline distT="0" distB="0" distL="0" distR="0" wp14:anchorId="5A4E5234" wp14:editId="09B4751A">
            <wp:extent cx="6003923" cy="2363470"/>
            <wp:effectExtent l="0" t="0" r="0" b="0"/>
            <wp:docPr id="1305737462" name="Picture 1305737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374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3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6033" w14:textId="77777777" w:rsidR="00F81CEC" w:rsidRDefault="00F81CEC" w:rsidP="00F81CEC"/>
    <w:p w14:paraId="3AD86184" w14:textId="77777777" w:rsidR="00F81CEC" w:rsidRPr="007D20B7" w:rsidRDefault="00F81CEC" w:rsidP="00F81CEC">
      <w:pPr>
        <w:ind w:left="2124" w:hanging="2124"/>
        <w:rPr>
          <w:u w:val="single"/>
        </w:rPr>
      </w:pPr>
      <w:r w:rsidRPr="007D20B7">
        <w:rPr>
          <w:u w:val="single"/>
        </w:rPr>
        <w:t>Illustration:</w:t>
      </w:r>
    </w:p>
    <w:p w14:paraId="1A21C864" w14:textId="77777777" w:rsidR="00F81CEC" w:rsidRDefault="00F81CEC" w:rsidP="00F81CEC">
      <w:r>
        <w:rPr>
          <w:noProof/>
        </w:rPr>
        <w:drawing>
          <wp:inline distT="0" distB="0" distL="0" distR="0" wp14:anchorId="6AFD229C" wp14:editId="0C25B568">
            <wp:extent cx="6116321" cy="3787140"/>
            <wp:effectExtent l="0" t="0" r="0" b="3810"/>
            <wp:docPr id="1305737465" name="Picture 1305737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374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6A17" w14:textId="77777777" w:rsidR="00F81CEC" w:rsidRDefault="00F81CEC" w:rsidP="00F81CEC">
      <w:pPr>
        <w:jc w:val="left"/>
      </w:pPr>
      <w:r w:rsidRPr="009C4940">
        <w:rPr>
          <w:color w:val="00B050"/>
        </w:rPr>
        <w:t xml:space="preserve">Green </w:t>
      </w:r>
      <w:r>
        <w:t>date (12 Feb 2021) is the calculation start date.</w:t>
      </w:r>
    </w:p>
    <w:p w14:paraId="401FABF4" w14:textId="3FE645EB" w:rsidR="00F81CEC" w:rsidRDefault="00F81CEC" w:rsidP="00F81CEC">
      <w:pPr>
        <w:jc w:val="left"/>
      </w:pPr>
      <w:r w:rsidRPr="009C4940">
        <w:rPr>
          <w:color w:val="00B0F0"/>
        </w:rPr>
        <w:t xml:space="preserve">Blue </w:t>
      </w:r>
      <w:r>
        <w:t>date (10 Feb 2021) is the calculation start date adjusted by -2 BUSINESS DAY.</w:t>
      </w:r>
    </w:p>
    <w:p w14:paraId="00152E21" w14:textId="47974EBA" w:rsidR="00F81CEC" w:rsidRDefault="00F81CEC" w:rsidP="00F81CEC">
      <w:pPr>
        <w:jc w:val="left"/>
      </w:pPr>
    </w:p>
    <w:p w14:paraId="12B40BE4" w14:textId="4A531F39" w:rsidR="00F81CEC" w:rsidRDefault="00F81CEC" w:rsidP="00F81CEC">
      <w:pPr>
        <w:jc w:val="left"/>
      </w:pPr>
    </w:p>
    <w:p w14:paraId="71E19CFA" w14:textId="31D994B1" w:rsidR="00F81CEC" w:rsidRDefault="00F81CEC" w:rsidP="00F81CEC">
      <w:pPr>
        <w:jc w:val="left"/>
      </w:pPr>
    </w:p>
    <w:p w14:paraId="032A16BB" w14:textId="7D8C1300" w:rsidR="00F81CEC" w:rsidRDefault="00F81CEC" w:rsidP="00F81CEC">
      <w:pPr>
        <w:jc w:val="left"/>
      </w:pPr>
    </w:p>
    <w:p w14:paraId="01C1F3F2" w14:textId="7A6722F8" w:rsidR="00F81CEC" w:rsidRDefault="00F81CEC" w:rsidP="00F81CEC">
      <w:pPr>
        <w:jc w:val="left"/>
      </w:pPr>
    </w:p>
    <w:p w14:paraId="61B56D67" w14:textId="3049B016" w:rsidR="00F81CEC" w:rsidRDefault="00F81CEC" w:rsidP="00F81CEC">
      <w:pPr>
        <w:jc w:val="left"/>
      </w:pPr>
    </w:p>
    <w:p w14:paraId="15F5099F" w14:textId="77777777" w:rsidR="00F81CEC" w:rsidRDefault="00F81CEC" w:rsidP="00F81CEC">
      <w:pPr>
        <w:jc w:val="left"/>
      </w:pPr>
    </w:p>
    <w:p w14:paraId="1A1480F1" w14:textId="5EC907E5" w:rsidR="00F81CEC" w:rsidRDefault="00F81CEC" w:rsidP="00F81CEC">
      <w:pPr>
        <w:pStyle w:val="Heading2"/>
        <w:numPr>
          <w:ilvl w:val="0"/>
          <w:numId w:val="2"/>
        </w:numPr>
      </w:pPr>
      <w:bookmarkStart w:id="4" w:name="_Toc74814001"/>
      <w:r>
        <w:lastRenderedPageBreak/>
        <w:t>Recap matrix</w:t>
      </w:r>
      <w:bookmarkEnd w:id="4"/>
    </w:p>
    <w:p w14:paraId="1FA3541A" w14:textId="77777777" w:rsidR="00F81CEC" w:rsidRDefault="00F81CEC" w:rsidP="00F81CEC">
      <w:r>
        <w:t>The following table sums up all possible combinations of the 3 flavors presented above, for compounded indices:</w:t>
      </w:r>
    </w:p>
    <w:tbl>
      <w:tblPr>
        <w:tblW w:w="7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497"/>
        <w:gridCol w:w="1540"/>
        <w:gridCol w:w="1394"/>
        <w:gridCol w:w="1394"/>
        <w:gridCol w:w="1890"/>
      </w:tblGrid>
      <w:tr w:rsidR="00F81CEC" w14:paraId="352918D6" w14:textId="77777777" w:rsidTr="00F81CEC">
        <w:trPr>
          <w:trHeight w:val="545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E25E9" w14:textId="77777777" w:rsidR="00F81CEC" w:rsidRDefault="00F81CEC" w:rsidP="000C586D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Index configuration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14BE4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Fixing schedule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9210D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Compounding schedule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5C48C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Shift first date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1E20A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Shift last date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94F6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Rate cut-off</w:t>
            </w:r>
          </w:p>
        </w:tc>
      </w:tr>
      <w:tr w:rsidR="00F81CEC" w14:paraId="5A9FB6C4" w14:textId="77777777" w:rsidTr="00F81CEC">
        <w:trPr>
          <w:trHeight w:val="54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A9679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LOOKBACK x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B536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 - x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9C9B0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0207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194C5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51553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81CEC" w14:paraId="71E506D6" w14:textId="77777777" w:rsidTr="00F81CEC">
        <w:trPr>
          <w:trHeight w:val="1017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35E16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OBSERVATION SHIFT y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D4684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6E53C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F9E1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2E05D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62F65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81CEC" w14:paraId="01D86DAB" w14:textId="77777777" w:rsidTr="00F81CEC">
        <w:trPr>
          <w:trHeight w:val="54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43514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LOCKOUT z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52B7D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2318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3D195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BEF0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EF98D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-(z+1) BUSINESS DAY</w:t>
            </w:r>
          </w:p>
        </w:tc>
      </w:tr>
      <w:tr w:rsidR="00F81CEC" w14:paraId="7435D767" w14:textId="77777777" w:rsidTr="00F81CEC">
        <w:trPr>
          <w:trHeight w:val="54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3EB9F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LB + 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31CF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 - x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9FC6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5C83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0133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F2331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81CEC" w14:paraId="2B11998D" w14:textId="77777777" w:rsidTr="00F81CEC">
        <w:trPr>
          <w:trHeight w:val="54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58AFF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LB + 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0226CA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 - x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6D82B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FB9B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4A85A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B5CBD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-(x+z+1) BUSINESS DAY</w:t>
            </w:r>
          </w:p>
        </w:tc>
      </w:tr>
      <w:tr w:rsidR="00F81CEC" w14:paraId="31E5453C" w14:textId="77777777" w:rsidTr="00F81CEC">
        <w:trPr>
          <w:trHeight w:val="54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C765C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OS + 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593D7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598F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91684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18BF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242B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-(z+1) BUSINESS DAY</w:t>
            </w:r>
          </w:p>
        </w:tc>
      </w:tr>
      <w:tr w:rsidR="00F81CEC" w14:paraId="407C38F7" w14:textId="77777777" w:rsidTr="00F81CEC">
        <w:trPr>
          <w:trHeight w:val="545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DECD5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LB + OS + 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37FA6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 - x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94B5BB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DAY NEXT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CAA24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7ED6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CAAAB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-(x+z+1) BUSINESS DAY</w:t>
            </w:r>
          </w:p>
        </w:tc>
      </w:tr>
    </w:tbl>
    <w:p w14:paraId="78A22335" w14:textId="77777777" w:rsidR="00F81CEC" w:rsidRDefault="00F81CEC" w:rsidP="00F81CEC"/>
    <w:p w14:paraId="7F2DB364" w14:textId="77777777" w:rsidR="00F81CEC" w:rsidRDefault="00F81CEC" w:rsidP="00F81CEC">
      <w:r>
        <w:t>A similar table has been built below for average indices, knowing that:</w:t>
      </w:r>
    </w:p>
    <w:p w14:paraId="17480F5F" w14:textId="77777777" w:rsidR="00F81CEC" w:rsidRDefault="00F81CEC" w:rsidP="00F81CEC">
      <w:r>
        <w:t>- The case where fixing schedule is different from compounded schedule can be replicated for average indices by setting the mean type to “Built on a weighting schedule”, the weighting schedule playing the role of the compounding schedule</w:t>
      </w:r>
    </w:p>
    <w:p w14:paraId="428275B8" w14:textId="77777777" w:rsidR="00F81CEC" w:rsidRDefault="00F81CEC" w:rsidP="00F81CEC">
      <w:r>
        <w:t>- First date/Last date settings should always be set to “</w:t>
      </w:r>
      <w:proofErr w:type="gramStart"/>
      <w:r>
        <w:t>Included</w:t>
      </w:r>
      <w:proofErr w:type="gramEnd"/>
      <w:r>
        <w:t>”</w:t>
      </w:r>
    </w:p>
    <w:p w14:paraId="21EAF541" w14:textId="77777777" w:rsidR="00F81CEC" w:rsidRDefault="00F81CEC" w:rsidP="00F81CEC"/>
    <w:tbl>
      <w:tblPr>
        <w:tblW w:w="97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644"/>
        <w:gridCol w:w="1064"/>
        <w:gridCol w:w="1401"/>
        <w:gridCol w:w="1401"/>
        <w:gridCol w:w="1382"/>
        <w:gridCol w:w="1531"/>
      </w:tblGrid>
      <w:tr w:rsidR="00F81CEC" w14:paraId="6AD39110" w14:textId="77777777" w:rsidTr="00F81CEC">
        <w:trPr>
          <w:trHeight w:val="528"/>
        </w:trPr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F772F" w14:textId="77777777" w:rsidR="00F81CEC" w:rsidRDefault="00F81CEC" w:rsidP="000C586D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Index configuration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C253C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Mean type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D3C7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Fixing schedule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6BBD6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Shift first date</w:t>
            </w:r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E991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Shift last date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D3DE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Weighting schedule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DE6F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Rate cut-off</w:t>
            </w:r>
          </w:p>
        </w:tc>
      </w:tr>
      <w:tr w:rsidR="00F81CEC" w14:paraId="08A4203C" w14:textId="77777777" w:rsidTr="00F81CEC">
        <w:trPr>
          <w:trHeight w:val="528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0F724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LOOKBACK x day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6024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Built on a weighting schedule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36F8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 - x BD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B994A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48BA4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DF1A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CCD7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81CEC" w14:paraId="078979CB" w14:textId="77777777" w:rsidTr="00F81CEC">
        <w:trPr>
          <w:trHeight w:val="528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55FE3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OBSERVATION SHIFT y day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C42E3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Automatically weighted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EB385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99982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2EB4D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9B6C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4AC0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81CEC" w14:paraId="3114A829" w14:textId="77777777" w:rsidTr="00F81CEC">
        <w:trPr>
          <w:trHeight w:val="528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21904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LOCKOUT z day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6981B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Automatically weighted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5FBA1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335B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F97D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143C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25BB2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-(z+1) BUSINESS DAY</w:t>
            </w:r>
          </w:p>
        </w:tc>
      </w:tr>
      <w:tr w:rsidR="00F81CEC" w14:paraId="6B76DDAB" w14:textId="77777777" w:rsidTr="00F81CEC">
        <w:trPr>
          <w:trHeight w:val="528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40756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LB + OS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A2AEF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Built on a weighting schedule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DF19C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 - x BD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ACA5B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11F95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7A193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E60D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81CEC" w14:paraId="581E1D96" w14:textId="77777777" w:rsidTr="00F81CEC">
        <w:trPr>
          <w:trHeight w:val="528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2CBBA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LB + LO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E79E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Built on a weighting schedule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7A33A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 - x BD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DE221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8E1B6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7AEC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9C457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-(x+z+1) BUSINESS DAY</w:t>
            </w:r>
          </w:p>
        </w:tc>
      </w:tr>
      <w:tr w:rsidR="00F81CEC" w14:paraId="7F234E8A" w14:textId="77777777" w:rsidTr="00F81CEC">
        <w:trPr>
          <w:trHeight w:val="528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1F77C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OS + LO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00A6A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Automatically weighted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C7174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94D07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CCFE0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F7F0C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9AB73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-(z+1) BUSINESS DAY</w:t>
            </w:r>
          </w:p>
        </w:tc>
      </w:tr>
      <w:tr w:rsidR="00F81CEC" w14:paraId="7210C1D6" w14:textId="77777777" w:rsidTr="00F81CEC">
        <w:trPr>
          <w:trHeight w:val="528"/>
        </w:trPr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8F654" w14:textId="77777777" w:rsidR="00F81CEC" w:rsidRDefault="00F81CEC" w:rsidP="000C586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LB + OS + LO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EA11A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Built on a weighting schedule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718D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 - x BD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0EB5D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220E9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-y BUSINESS DAY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5411E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BUSINESS DAY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FF7C3" w14:textId="77777777" w:rsidR="00F81CEC" w:rsidRDefault="00F81CEC" w:rsidP="000C586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-(x+z+1) BUSINESS DAY</w:t>
            </w:r>
          </w:p>
        </w:tc>
      </w:tr>
    </w:tbl>
    <w:p w14:paraId="07E93252" w14:textId="77777777" w:rsidR="00F81CEC" w:rsidRDefault="00F81CEC" w:rsidP="00F81CEC"/>
    <w:p w14:paraId="183C25C5" w14:textId="2DA9E3B6" w:rsidR="00F81CEC" w:rsidRDefault="00F81CEC" w:rsidP="00F81CEC">
      <w:pPr>
        <w:pStyle w:val="Heading2"/>
        <w:numPr>
          <w:ilvl w:val="0"/>
          <w:numId w:val="2"/>
        </w:numPr>
      </w:pPr>
      <w:bookmarkStart w:id="5" w:name="_Toc74814002"/>
      <w:r>
        <w:lastRenderedPageBreak/>
        <w:t xml:space="preserve">Case of compounding/averaging starting on </w:t>
      </w:r>
      <w:proofErr w:type="gramStart"/>
      <w:r>
        <w:t>holiday</w:t>
      </w:r>
      <w:bookmarkEnd w:id="5"/>
      <w:proofErr w:type="gramEnd"/>
    </w:p>
    <w:p w14:paraId="5681AFF6" w14:textId="77777777" w:rsidR="00F81CEC" w:rsidRDefault="00F81CEC" w:rsidP="00F81CEC">
      <w:r>
        <w:t>With the configurations defined above, we will get the correct rate even if the compounding start date is falling on a holiday.</w:t>
      </w:r>
    </w:p>
    <w:p w14:paraId="48484F73" w14:textId="77777777" w:rsidR="00F81CEC" w:rsidRDefault="00F81CEC" w:rsidP="00F81CEC">
      <w:r>
        <w:rPr>
          <w:noProof/>
        </w:rPr>
        <w:drawing>
          <wp:inline distT="0" distB="0" distL="0" distR="0" wp14:anchorId="1DAD1EA4" wp14:editId="157D347A">
            <wp:extent cx="6116321" cy="3062605"/>
            <wp:effectExtent l="0" t="0" r="0" b="4445"/>
            <wp:docPr id="1235034021" name="Picture 1235034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0340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DBE0" w14:textId="77777777" w:rsidR="00F81CEC" w:rsidRDefault="00F81CEC" w:rsidP="00F81CEC"/>
    <w:p w14:paraId="032BE5D6" w14:textId="77777777" w:rsidR="00F81CEC" w:rsidRDefault="00F81CEC" w:rsidP="00F81CEC">
      <w:r>
        <w:t>The first underlying fixing date is falling on this holiday, but as expected it will be estimated as the previous business day fixing (cf. remark on +0 DAY PREVIOUS in the previous section) and will inherit the last known fixing value when fixed, therefore also the previous business day fixing value.</w:t>
      </w:r>
    </w:p>
    <w:p w14:paraId="461D04D4" w14:textId="77777777" w:rsidR="00F81CEC" w:rsidRDefault="00F81CEC" w:rsidP="00F81CEC"/>
    <w:p w14:paraId="624F1ACC" w14:textId="77777777" w:rsidR="00F81CEC" w:rsidRDefault="00F81CEC" w:rsidP="00F81CEC">
      <w:r>
        <w:t>H</w:t>
      </w:r>
      <w:r w:rsidRPr="00C62D49">
        <w:t xml:space="preserve">owever, the auto-fixing procedure </w:t>
      </w:r>
      <w:r>
        <w:t>will not</w:t>
      </w:r>
      <w:r w:rsidRPr="00C62D49">
        <w:t xml:space="preserve"> be able to fix this flow, since there is no published rate on</w:t>
      </w:r>
      <w:r>
        <w:t xml:space="preserve"> this</w:t>
      </w:r>
      <w:r w:rsidRPr="00C62D49">
        <w:t xml:space="preserve"> holiday</w:t>
      </w:r>
      <w:r>
        <w:t xml:space="preserve"> in the archiving group</w:t>
      </w:r>
      <w:r w:rsidRPr="00C62D49">
        <w:t xml:space="preserve">, and user can only fix the trade manually, </w:t>
      </w:r>
      <w:r>
        <w:t>which</w:t>
      </w:r>
      <w:r w:rsidRPr="00C62D49">
        <w:t xml:space="preserve"> </w:t>
      </w:r>
      <w:r>
        <w:t>could</w:t>
      </w:r>
      <w:r w:rsidRPr="00C62D49">
        <w:t xml:space="preserve"> cause some exception management.</w:t>
      </w:r>
    </w:p>
    <w:p w14:paraId="0FC3F687" w14:textId="77777777" w:rsidR="00F81CEC" w:rsidRDefault="00F81CEC" w:rsidP="00F81CEC">
      <w:r>
        <w:t xml:space="preserve">To overcome this, we propose to replace </w:t>
      </w:r>
      <w:r w:rsidRPr="00366E58">
        <w:rPr>
          <w:b/>
          <w:bCs/>
        </w:rPr>
        <w:t>the fixing schedule</w:t>
      </w:r>
      <w:r>
        <w:t xml:space="preserve"> with the following configuration:</w:t>
      </w:r>
    </w:p>
    <w:p w14:paraId="6BD55A87" w14:textId="77777777" w:rsidR="00F81CEC" w:rsidRDefault="00F81CEC" w:rsidP="00F81CEC">
      <w:pPr>
        <w:jc w:val="center"/>
      </w:pPr>
      <w:r>
        <w:rPr>
          <w:noProof/>
        </w:rPr>
        <w:drawing>
          <wp:inline distT="0" distB="0" distL="0" distR="0" wp14:anchorId="7F52D6F3" wp14:editId="280D360B">
            <wp:extent cx="5780014" cy="2553559"/>
            <wp:effectExtent l="0" t="0" r="0" b="0"/>
            <wp:docPr id="1235034017" name="Picture 123503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0340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14" cy="25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3CD" w14:textId="77777777" w:rsidR="00F81CEC" w:rsidRDefault="00F81CEC" w:rsidP="00F81CEC">
      <w:r>
        <w:t>Note that using this fixing schedule for usual compounding instead of 1 DAY NEXT will have no effect on deals starting on a business day.</w:t>
      </w:r>
    </w:p>
    <w:p w14:paraId="37762BEE" w14:textId="77777777" w:rsidR="00F81CEC" w:rsidRDefault="00F81CEC" w:rsidP="00F81CEC"/>
    <w:p w14:paraId="4B80180F" w14:textId="77777777" w:rsidR="00F81CEC" w:rsidRDefault="00F81CEC" w:rsidP="00F81CEC">
      <w:r>
        <w:t>Similarly for average indices, we can use the same adjusted fixing schedule instead of 1 BUSINESS DAY:</w:t>
      </w:r>
    </w:p>
    <w:p w14:paraId="0C27E60C" w14:textId="77777777" w:rsidR="00F81CEC" w:rsidRDefault="00F81CEC" w:rsidP="00F81CEC">
      <w:pPr>
        <w:jc w:val="center"/>
      </w:pPr>
      <w:r>
        <w:rPr>
          <w:noProof/>
        </w:rPr>
        <w:lastRenderedPageBreak/>
        <w:drawing>
          <wp:inline distT="0" distB="0" distL="0" distR="0" wp14:anchorId="1DDF10F3" wp14:editId="119A02A9">
            <wp:extent cx="5788641" cy="2553559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41" cy="25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02F8" w14:textId="77777777" w:rsidR="006470BF" w:rsidRDefault="00F81CEC"/>
    <w:sectPr w:rsidR="0064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2AC"/>
    <w:multiLevelType w:val="hybridMultilevel"/>
    <w:tmpl w:val="37A88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D4810"/>
    <w:multiLevelType w:val="multilevel"/>
    <w:tmpl w:val="0BB2E934"/>
    <w:lvl w:ilvl="0">
      <w:start w:val="1"/>
      <w:numFmt w:val="decimal"/>
      <w:pStyle w:val="Heading1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15" w:hanging="43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C"/>
    <w:rsid w:val="000E6D11"/>
    <w:rsid w:val="00D04C89"/>
    <w:rsid w:val="00F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EF40"/>
  <w15:chartTrackingRefBased/>
  <w15:docId w15:val="{ECE62DD6-068F-4DBC-A28C-9C9CA8BD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CEC"/>
    <w:pPr>
      <w:spacing w:after="0" w:line="270" w:lineRule="atLeast"/>
      <w:jc w:val="both"/>
    </w:pPr>
    <w:rPr>
      <w:rFonts w:ascii="Gill Sans MT" w:eastAsia="Times New Roman" w:hAnsi="Gill Sans MT" w:cs="Times New Roman"/>
      <w:color w:val="000000" w:themeColor="text1"/>
      <w:sz w:val="21"/>
      <w:szCs w:val="21"/>
      <w:lang w:val="en-US" w:eastAsia="fr-FR"/>
    </w:rPr>
  </w:style>
  <w:style w:type="paragraph" w:styleId="Heading1">
    <w:name w:val="heading 1"/>
    <w:aliases w:val="MUREX Title 1,H1"/>
    <w:basedOn w:val="Normal"/>
    <w:next w:val="Normal"/>
    <w:link w:val="Heading1Char"/>
    <w:uiPriority w:val="9"/>
    <w:qFormat/>
    <w:rsid w:val="00F81CEC"/>
    <w:pPr>
      <w:keepNext/>
      <w:keepLines/>
      <w:pageBreakBefore/>
      <w:numPr>
        <w:numId w:val="1"/>
      </w:numPr>
      <w:pBdr>
        <w:top w:val="single" w:sz="12" w:space="8" w:color="336699"/>
        <w:left w:val="single" w:sz="12" w:space="4" w:color="336699"/>
        <w:bottom w:val="single" w:sz="12" w:space="8" w:color="336699"/>
        <w:right w:val="single" w:sz="12" w:space="4" w:color="336699"/>
      </w:pBdr>
      <w:shd w:val="clear" w:color="auto" w:fill="336699"/>
      <w:overflowPunct w:val="0"/>
      <w:autoSpaceDE w:val="0"/>
      <w:autoSpaceDN w:val="0"/>
      <w:adjustRightInd w:val="0"/>
      <w:spacing w:before="240" w:after="120" w:line="240" w:lineRule="auto"/>
      <w:jc w:val="left"/>
      <w:textAlignment w:val="baseline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aliases w:val="MUREX Title 2,H2"/>
    <w:basedOn w:val="Normal"/>
    <w:next w:val="Normal"/>
    <w:link w:val="Heading2Char"/>
    <w:autoRedefine/>
    <w:uiPriority w:val="9"/>
    <w:qFormat/>
    <w:rsid w:val="00F81CEC"/>
    <w:pPr>
      <w:keepNext/>
      <w:keepLines/>
      <w:numPr>
        <w:ilvl w:val="1"/>
        <w:numId w:val="1"/>
      </w:numPr>
      <w:pBdr>
        <w:top w:val="single" w:sz="12" w:space="4" w:color="B4C6E7" w:themeColor="accent1" w:themeTint="66"/>
        <w:left w:val="single" w:sz="12" w:space="4" w:color="B4C6E7" w:themeColor="accent1" w:themeTint="66"/>
        <w:bottom w:val="single" w:sz="12" w:space="4" w:color="B4C6E7" w:themeColor="accent1" w:themeTint="66"/>
        <w:right w:val="single" w:sz="12" w:space="4" w:color="B4C6E7" w:themeColor="accent1" w:themeTint="66"/>
      </w:pBdr>
      <w:shd w:val="clear" w:color="auto" w:fill="B4C6E7" w:themeFill="accent1" w:themeFillTint="66"/>
      <w:overflowPunct w:val="0"/>
      <w:autoSpaceDE w:val="0"/>
      <w:autoSpaceDN w:val="0"/>
      <w:adjustRightInd w:val="0"/>
      <w:spacing w:before="240" w:after="120" w:line="240" w:lineRule="auto"/>
      <w:ind w:left="437" w:hanging="437"/>
      <w:textAlignment w:val="baseline"/>
      <w:outlineLvl w:val="1"/>
    </w:pPr>
    <w:rPr>
      <w:rFonts w:asciiTheme="minorHAnsi" w:eastAsiaTheme="majorEastAsia" w:hAnsiTheme="min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UREX Title 1 Char,H1 Char"/>
    <w:basedOn w:val="DefaultParagraphFont"/>
    <w:link w:val="Heading1"/>
    <w:uiPriority w:val="9"/>
    <w:rsid w:val="00F81CEC"/>
    <w:rPr>
      <w:rFonts w:eastAsiaTheme="majorEastAsia" w:cstheme="majorBidi"/>
      <w:b/>
      <w:bCs/>
      <w:color w:val="FFFFFF" w:themeColor="background1"/>
      <w:sz w:val="28"/>
      <w:szCs w:val="28"/>
      <w:shd w:val="clear" w:color="auto" w:fill="336699"/>
      <w:lang w:val="en-US" w:eastAsia="fr-FR"/>
    </w:rPr>
  </w:style>
  <w:style w:type="character" w:customStyle="1" w:styleId="Heading2Char">
    <w:name w:val="Heading 2 Char"/>
    <w:aliases w:val="MUREX Title 2 Char,H2 Char"/>
    <w:basedOn w:val="DefaultParagraphFont"/>
    <w:link w:val="Heading2"/>
    <w:uiPriority w:val="9"/>
    <w:rsid w:val="00F81CEC"/>
    <w:rPr>
      <w:rFonts w:eastAsiaTheme="majorEastAsia" w:cstheme="majorBidi"/>
      <w:b/>
      <w:bCs/>
      <w:color w:val="4472C4" w:themeColor="accent1"/>
      <w:sz w:val="26"/>
      <w:szCs w:val="26"/>
      <w:shd w:val="clear" w:color="auto" w:fill="B4C6E7" w:themeFill="accent1" w:themeFillTint="6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738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 Konstantin</dc:creator>
  <cp:keywords/>
  <dc:description/>
  <cp:lastModifiedBy>KOVALEV Konstantin</cp:lastModifiedBy>
  <cp:revision>1</cp:revision>
  <dcterms:created xsi:type="dcterms:W3CDTF">2021-07-08T08:20:00Z</dcterms:created>
  <dcterms:modified xsi:type="dcterms:W3CDTF">2021-07-08T08:24:00Z</dcterms:modified>
</cp:coreProperties>
</file>