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CC9" w:rsidRPr="00937514" w:rsidRDefault="00232CC9" w:rsidP="00232CC9">
      <w:pPr>
        <w:pBdr>
          <w:bottom w:val="single" w:sz="4" w:space="1" w:color="auto"/>
        </w:pBdr>
        <w:jc w:val="center"/>
        <w:rPr>
          <w:b/>
          <w:sz w:val="28"/>
          <w:szCs w:val="28"/>
        </w:rPr>
      </w:pPr>
      <w:bookmarkStart w:id="0" w:name="_GoBack"/>
      <w:bookmarkEnd w:id="0"/>
      <w:r w:rsidRPr="00937514">
        <w:rPr>
          <w:b/>
          <w:sz w:val="28"/>
          <w:szCs w:val="28"/>
        </w:rPr>
        <w:t>ОТКРЫТОЕ АКЦИОНЕРНОЕ ОБЩЕСТВО</w:t>
      </w:r>
      <w:r w:rsidRPr="00937514">
        <w:rPr>
          <w:b/>
          <w:sz w:val="28"/>
          <w:szCs w:val="28"/>
        </w:rPr>
        <w:br/>
        <w:t>«СБЕРБАНК РОССИИ»</w:t>
      </w:r>
    </w:p>
    <w:p w:rsidR="00232CC9" w:rsidRDefault="00232CC9" w:rsidP="00232CC9">
      <w:pPr>
        <w:keepNext/>
        <w:ind w:left="4800"/>
      </w:pPr>
    </w:p>
    <w:p w:rsidR="00232CC9" w:rsidRPr="00304ABD" w:rsidRDefault="00232CC9" w:rsidP="00232CC9">
      <w:pPr>
        <w:ind w:left="4956"/>
      </w:pPr>
      <w:r w:rsidRPr="00304ABD">
        <w:t>УТВЕРЖДЕН</w:t>
      </w:r>
      <w:r>
        <w:t>А</w:t>
      </w:r>
    </w:p>
    <w:p w:rsidR="00232CC9" w:rsidRPr="00304ABD" w:rsidRDefault="00232CC9" w:rsidP="00232CC9">
      <w:pPr>
        <w:ind w:left="4956"/>
      </w:pPr>
      <w:r>
        <w:t>Распоряжением</w:t>
      </w:r>
      <w:r w:rsidRPr="00304ABD">
        <w:t xml:space="preserve"> ОАО «Сбербанк России»</w:t>
      </w:r>
    </w:p>
    <w:p w:rsidR="00232CC9" w:rsidRPr="00D01A0B" w:rsidRDefault="00232CC9" w:rsidP="00232CC9">
      <w:pPr>
        <w:ind w:left="4956"/>
      </w:pPr>
      <w:r>
        <w:t>от 20.04.2012</w:t>
      </w:r>
      <w:r w:rsidRPr="00536852">
        <w:t xml:space="preserve"> </w:t>
      </w:r>
      <w:r>
        <w:t>№ 334-Р</w:t>
      </w:r>
    </w:p>
    <w:p w:rsidR="00232CC9" w:rsidRPr="00D01A0B" w:rsidRDefault="00232CC9" w:rsidP="00232CC9">
      <w:pPr>
        <w:ind w:left="4956"/>
      </w:pPr>
    </w:p>
    <w:p w:rsidR="00232CC9" w:rsidRPr="00FF2A6E" w:rsidRDefault="00232CC9" w:rsidP="00232CC9">
      <w:pPr>
        <w:keepNext/>
        <w:jc w:val="center"/>
      </w:pPr>
    </w:p>
    <w:p w:rsidR="00232CC9" w:rsidRPr="00FF2A6E" w:rsidRDefault="00232CC9" w:rsidP="00232CC9">
      <w:pPr>
        <w:keepNext/>
        <w:jc w:val="center"/>
      </w:pPr>
    </w:p>
    <w:p w:rsidR="00232CC9" w:rsidRPr="00FF2A6E" w:rsidRDefault="00232CC9" w:rsidP="00232CC9">
      <w:pPr>
        <w:keepNext/>
        <w:jc w:val="center"/>
      </w:pPr>
    </w:p>
    <w:p w:rsidR="00232CC9" w:rsidRPr="00FF2A6E" w:rsidRDefault="00232CC9" w:rsidP="00232CC9">
      <w:pPr>
        <w:keepNext/>
        <w:jc w:val="center"/>
      </w:pPr>
    </w:p>
    <w:p w:rsidR="00232CC9" w:rsidRPr="00113DF1" w:rsidRDefault="00232CC9" w:rsidP="00232CC9">
      <w:pPr>
        <w:keepNext/>
        <w:jc w:val="center"/>
      </w:pPr>
    </w:p>
    <w:p w:rsidR="00232CC9" w:rsidRPr="00113DF1" w:rsidRDefault="00232CC9" w:rsidP="00232CC9">
      <w:pPr>
        <w:keepNext/>
        <w:jc w:val="center"/>
      </w:pPr>
    </w:p>
    <w:p w:rsidR="00232CC9" w:rsidRPr="00113DF1" w:rsidRDefault="00232CC9" w:rsidP="00232CC9">
      <w:pPr>
        <w:keepNext/>
        <w:jc w:val="center"/>
      </w:pPr>
    </w:p>
    <w:p w:rsidR="00232CC9" w:rsidRPr="00113DF1" w:rsidRDefault="00232CC9" w:rsidP="00232CC9">
      <w:pPr>
        <w:keepNext/>
        <w:jc w:val="center"/>
      </w:pPr>
    </w:p>
    <w:p w:rsidR="00232CC9" w:rsidRDefault="00232CC9" w:rsidP="00232CC9">
      <w:pPr>
        <w:keepNext/>
        <w:jc w:val="center"/>
      </w:pPr>
    </w:p>
    <w:p w:rsidR="00232CC9" w:rsidRPr="00FF2A6E" w:rsidRDefault="00232CC9" w:rsidP="00232CC9">
      <w:pPr>
        <w:keepNext/>
        <w:jc w:val="center"/>
      </w:pPr>
    </w:p>
    <w:p w:rsidR="00232CC9" w:rsidRPr="00FF2A6E" w:rsidRDefault="00232CC9" w:rsidP="00232CC9">
      <w:pPr>
        <w:keepNext/>
        <w:jc w:val="center"/>
      </w:pPr>
    </w:p>
    <w:p w:rsidR="00232CC9" w:rsidRPr="00FF2A6E" w:rsidRDefault="00232CC9" w:rsidP="00232CC9">
      <w:pPr>
        <w:keepNext/>
        <w:jc w:val="center"/>
      </w:pPr>
    </w:p>
    <w:p w:rsidR="00232CC9" w:rsidRPr="00FF2A6E" w:rsidRDefault="00232CC9" w:rsidP="00232CC9">
      <w:pPr>
        <w:keepNext/>
        <w:jc w:val="center"/>
      </w:pPr>
    </w:p>
    <w:p w:rsidR="00232CC9" w:rsidRPr="00FF2A6E" w:rsidRDefault="00232CC9" w:rsidP="00232CC9">
      <w:pPr>
        <w:keepNext/>
        <w:jc w:val="center"/>
      </w:pPr>
    </w:p>
    <w:p w:rsidR="00232CC9" w:rsidRPr="00937514" w:rsidRDefault="00232CC9" w:rsidP="00232CC9">
      <w:pPr>
        <w:keepNext/>
        <w:jc w:val="center"/>
        <w:rPr>
          <w:b/>
          <w:sz w:val="28"/>
          <w:szCs w:val="28"/>
        </w:rPr>
      </w:pPr>
      <w:r w:rsidRPr="00937514">
        <w:rPr>
          <w:b/>
          <w:sz w:val="28"/>
          <w:szCs w:val="28"/>
        </w:rPr>
        <w:t>МЕТОДИКА</w:t>
      </w:r>
      <w:r w:rsidRPr="00937514">
        <w:rPr>
          <w:b/>
          <w:sz w:val="28"/>
          <w:szCs w:val="28"/>
        </w:rPr>
        <w:br/>
        <w:t xml:space="preserve">расчета показателей </w:t>
      </w:r>
      <w:r w:rsidRPr="00937514">
        <w:rPr>
          <w:b/>
          <w:sz w:val="28"/>
          <w:szCs w:val="28"/>
          <w:lang w:val="en-US"/>
        </w:rPr>
        <w:t>CVA</w:t>
      </w: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Pr="00A63546" w:rsidRDefault="00232CC9" w:rsidP="00232CC9">
      <w:pPr>
        <w:keepNext/>
        <w:jc w:val="center"/>
        <w:rPr>
          <w:b/>
        </w:rPr>
      </w:pPr>
    </w:p>
    <w:p w:rsidR="00232CC9" w:rsidRPr="00A63546" w:rsidRDefault="00232CC9" w:rsidP="00232CC9">
      <w:pPr>
        <w:keepNext/>
        <w:jc w:val="center"/>
        <w:rPr>
          <w:b/>
        </w:rPr>
      </w:pPr>
    </w:p>
    <w:p w:rsidR="00232CC9" w:rsidRPr="00A63546" w:rsidRDefault="00232CC9" w:rsidP="00232CC9">
      <w:pPr>
        <w:keepNext/>
        <w:jc w:val="center"/>
        <w:rPr>
          <w:b/>
        </w:rPr>
      </w:pPr>
    </w:p>
    <w:p w:rsidR="00232CC9" w:rsidRPr="00A63546" w:rsidRDefault="00232CC9" w:rsidP="00232CC9">
      <w:pPr>
        <w:keepNext/>
        <w:jc w:val="center"/>
        <w:rPr>
          <w:b/>
        </w:rPr>
      </w:pPr>
    </w:p>
    <w:p w:rsidR="00232CC9" w:rsidRPr="00A63546" w:rsidRDefault="00232CC9" w:rsidP="00232CC9">
      <w:pPr>
        <w:keepNext/>
        <w:jc w:val="center"/>
        <w:rPr>
          <w:b/>
        </w:rPr>
      </w:pPr>
    </w:p>
    <w:p w:rsidR="00232CC9" w:rsidRPr="00A63546" w:rsidRDefault="00232CC9" w:rsidP="00232CC9">
      <w:pPr>
        <w:keepNext/>
        <w:jc w:val="center"/>
        <w:rPr>
          <w:b/>
        </w:rPr>
      </w:pPr>
    </w:p>
    <w:p w:rsidR="00232CC9" w:rsidRPr="00FF2A6E" w:rsidRDefault="00232CC9" w:rsidP="00232CC9">
      <w:pPr>
        <w:keepNext/>
        <w:jc w:val="center"/>
        <w:rPr>
          <w:b/>
        </w:rPr>
      </w:pPr>
    </w:p>
    <w:p w:rsidR="00232CC9" w:rsidRPr="00FF2A6E" w:rsidRDefault="00232CC9" w:rsidP="00232CC9">
      <w:pPr>
        <w:keepNext/>
        <w:jc w:val="center"/>
        <w:rPr>
          <w:b/>
        </w:rPr>
      </w:pPr>
    </w:p>
    <w:p w:rsidR="00232CC9" w:rsidRDefault="00232CC9" w:rsidP="00232CC9">
      <w:pPr>
        <w:keepNext/>
        <w:jc w:val="center"/>
      </w:pPr>
      <w:r w:rsidRPr="00FF2A6E">
        <w:t>Москва</w:t>
      </w:r>
    </w:p>
    <w:p w:rsidR="00232CC9" w:rsidRPr="00211D10" w:rsidRDefault="00232CC9" w:rsidP="00232CC9">
      <w:pPr>
        <w:keepNext/>
        <w:jc w:val="center"/>
        <w:rPr>
          <w:lang w:val="en-US" w:eastAsia="en-US"/>
        </w:rPr>
      </w:pPr>
      <w:r w:rsidRPr="00536852">
        <w:t>201</w:t>
      </w:r>
      <w:r>
        <w:t>2</w:t>
      </w:r>
    </w:p>
    <w:p w:rsidR="00232CC9" w:rsidRPr="006D48E2" w:rsidRDefault="00232CC9" w:rsidP="00232CC9">
      <w:pPr>
        <w:spacing w:after="200" w:line="276" w:lineRule="auto"/>
        <w:rPr>
          <w:lang w:val="en-US" w:eastAsia="en-US"/>
        </w:rPr>
      </w:pPr>
    </w:p>
    <w:p w:rsidR="00A4755C" w:rsidRPr="00536852" w:rsidRDefault="00A4755C" w:rsidP="006D48E2">
      <w:pPr>
        <w:pStyle w:val="2"/>
        <w:spacing w:after="120"/>
        <w:rPr>
          <w:rFonts w:ascii="Times New Roman" w:hAnsi="Times New Roman"/>
          <w:szCs w:val="24"/>
        </w:rPr>
        <w:sectPr w:rsidR="00A4755C" w:rsidRPr="00536852" w:rsidSect="0063479C">
          <w:footerReference w:type="even" r:id="rId9"/>
          <w:footerReference w:type="default" r:id="rId10"/>
          <w:pgSz w:w="11906" w:h="16838"/>
          <w:pgMar w:top="1134" w:right="851" w:bottom="1134" w:left="1134" w:header="709" w:footer="709" w:gutter="0"/>
          <w:cols w:space="708"/>
          <w:titlePg/>
          <w:docGrid w:linePitch="360"/>
        </w:sectPr>
      </w:pPr>
    </w:p>
    <w:p w:rsidR="00A4755C" w:rsidRPr="00C731F4" w:rsidRDefault="00A4755C" w:rsidP="006D48E2">
      <w:bookmarkStart w:id="1" w:name="_Toc268104694"/>
      <w:bookmarkStart w:id="2" w:name="_Toc268806601"/>
      <w:bookmarkStart w:id="3" w:name="_Toc269149456"/>
      <w:bookmarkStart w:id="4" w:name="_Toc269207878"/>
      <w:bookmarkStart w:id="5" w:name="_Toc271117583"/>
      <w:bookmarkStart w:id="6" w:name="_Toc271237161"/>
      <w:bookmarkStart w:id="7" w:name="_Toc271740328"/>
      <w:r w:rsidRPr="00C731F4">
        <w:lastRenderedPageBreak/>
        <w:t>РЕКВИЗИТЫ ВНД</w:t>
      </w:r>
      <w:bookmarkEnd w:id="1"/>
      <w:bookmarkEnd w:id="2"/>
      <w:bookmarkEnd w:id="3"/>
      <w:bookmarkEnd w:id="4"/>
      <w:bookmarkEnd w:id="5"/>
      <w:bookmarkEnd w:id="6"/>
      <w:bookmarkEnd w:id="7"/>
    </w:p>
    <w:tbl>
      <w:tblPr>
        <w:tblW w:w="9360" w:type="dxa"/>
        <w:tblInd w:w="15" w:type="dxa"/>
        <w:tblLayout w:type="fixed"/>
        <w:tblCellMar>
          <w:left w:w="0" w:type="dxa"/>
          <w:right w:w="0" w:type="dxa"/>
        </w:tblCellMar>
        <w:tblLook w:val="0000" w:firstRow="0" w:lastRow="0" w:firstColumn="0" w:lastColumn="0" w:noHBand="0" w:noVBand="0"/>
      </w:tblPr>
      <w:tblGrid>
        <w:gridCol w:w="720"/>
        <w:gridCol w:w="720"/>
        <w:gridCol w:w="900"/>
        <w:gridCol w:w="360"/>
        <w:gridCol w:w="6660"/>
      </w:tblGrid>
      <w:tr w:rsidR="00A4755C" w:rsidRPr="00113DF1" w:rsidTr="00707DE2">
        <w:trPr>
          <w:trHeight w:val="315"/>
        </w:trPr>
        <w:tc>
          <w:tcPr>
            <w:tcW w:w="2340"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C731F4" w:rsidRDefault="00A4755C" w:rsidP="00707DE2">
            <w:pPr>
              <w:pStyle w:val="Caaieiaieoaaeeoueaa"/>
              <w:widowControl/>
              <w:spacing w:before="0" w:after="0"/>
              <w:rPr>
                <w:b w:val="0"/>
                <w:i/>
                <w:sz w:val="24"/>
                <w:szCs w:val="24"/>
              </w:rPr>
            </w:pPr>
            <w:bookmarkStart w:id="8" w:name="_Toc48984239"/>
            <w:r w:rsidRPr="00C731F4">
              <w:rPr>
                <w:b w:val="0"/>
                <w:i/>
                <w:sz w:val="24"/>
                <w:szCs w:val="24"/>
              </w:rPr>
              <w:t>Наименование, номер ВНД</w:t>
            </w:r>
            <w:bookmarkEnd w:id="8"/>
          </w:p>
        </w:tc>
        <w:tc>
          <w:tcPr>
            <w:tcW w:w="702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A4755C" w:rsidRPr="006D48E2" w:rsidRDefault="00A4755C" w:rsidP="00707DE2">
            <w:pPr>
              <w:rPr>
                <w:lang w:val="en-US"/>
              </w:rPr>
            </w:pPr>
            <w:r>
              <w:t xml:space="preserve">Методика расчета показателей </w:t>
            </w:r>
            <w:r>
              <w:rPr>
                <w:lang w:val="en-US"/>
              </w:rPr>
              <w:t>CVA</w:t>
            </w:r>
          </w:p>
        </w:tc>
      </w:tr>
      <w:tr w:rsidR="00A4755C" w:rsidRPr="00113DF1" w:rsidTr="00707DE2">
        <w:trPr>
          <w:trHeight w:val="315"/>
        </w:trPr>
        <w:tc>
          <w:tcPr>
            <w:tcW w:w="2340"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C731F4" w:rsidRDefault="00A4755C" w:rsidP="00707DE2">
            <w:pPr>
              <w:rPr>
                <w:bCs/>
                <w:i/>
              </w:rPr>
            </w:pPr>
            <w:r w:rsidRPr="00C731F4">
              <w:rPr>
                <w:bCs/>
                <w:i/>
              </w:rPr>
              <w:t>Подразделение-разработчик ВНД</w:t>
            </w:r>
          </w:p>
        </w:tc>
        <w:tc>
          <w:tcPr>
            <w:tcW w:w="702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A4755C" w:rsidRPr="006D48E2" w:rsidRDefault="00A4755C" w:rsidP="00707DE2">
            <w:r w:rsidRPr="00D65480">
              <w:t>У</w:t>
            </w:r>
            <w:r>
              <w:t>правление методологии рисков операций на глобальных рынках</w:t>
            </w:r>
          </w:p>
        </w:tc>
      </w:tr>
      <w:tr w:rsidR="00A4755C" w:rsidRPr="00C731F4" w:rsidTr="00707DE2">
        <w:trPr>
          <w:trHeight w:val="315"/>
        </w:trPr>
        <w:tc>
          <w:tcPr>
            <w:tcW w:w="2340"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C731F4" w:rsidRDefault="00A4755C" w:rsidP="00707DE2">
            <w:pPr>
              <w:rPr>
                <w:bCs/>
                <w:i/>
              </w:rPr>
            </w:pPr>
            <w:r w:rsidRPr="00C731F4">
              <w:rPr>
                <w:bCs/>
                <w:i/>
              </w:rPr>
              <w:t>Исполнитель ВНД</w:t>
            </w:r>
          </w:p>
        </w:tc>
        <w:tc>
          <w:tcPr>
            <w:tcW w:w="702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A4755C" w:rsidRPr="00C731F4" w:rsidRDefault="00A4755C" w:rsidP="00707DE2">
            <w:r>
              <w:t>Джангиров Д.А.</w:t>
            </w:r>
          </w:p>
        </w:tc>
      </w:tr>
      <w:tr w:rsidR="00A4755C" w:rsidRPr="00C731F4" w:rsidTr="00707DE2">
        <w:trPr>
          <w:trHeight w:val="315"/>
        </w:trPr>
        <w:tc>
          <w:tcPr>
            <w:tcW w:w="2340"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pPr>
              <w:rPr>
                <w:bCs/>
                <w:i/>
              </w:rPr>
            </w:pPr>
            <w:r w:rsidRPr="00D65480">
              <w:rPr>
                <w:bCs/>
                <w:i/>
              </w:rPr>
              <w:t>Код направления деятельности/код процесса</w:t>
            </w:r>
          </w:p>
        </w:tc>
        <w:tc>
          <w:tcPr>
            <w:tcW w:w="702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A4755C" w:rsidRPr="00C731F4" w:rsidRDefault="00A4755C" w:rsidP="00707DE2">
            <w:pPr>
              <w:rPr>
                <w:rFonts w:ascii="Arial" w:hAnsi="Arial" w:cs="Arial"/>
              </w:rPr>
            </w:pPr>
            <w:r w:rsidRPr="00C731F4">
              <w:t>0700/ФИР. УП. 03. 04</w:t>
            </w:r>
          </w:p>
        </w:tc>
      </w:tr>
      <w:tr w:rsidR="00A4755C" w:rsidRPr="00C731F4" w:rsidTr="00707DE2">
        <w:trPr>
          <w:cantSplit/>
          <w:trHeight w:val="294"/>
        </w:trPr>
        <w:tc>
          <w:tcPr>
            <w:tcW w:w="2340" w:type="dxa"/>
            <w:gridSpan w:val="3"/>
            <w:vMerge w:val="restart"/>
            <w:tcBorders>
              <w:top w:val="single" w:sz="4" w:space="0" w:color="auto"/>
              <w:left w:val="single" w:sz="4" w:space="0" w:color="auto"/>
              <w:bottom w:val="nil"/>
              <w:right w:val="single" w:sz="12" w:space="0" w:color="000000"/>
            </w:tcBorders>
            <w:noWrap/>
            <w:tcMar>
              <w:top w:w="15" w:type="dxa"/>
              <w:left w:w="15" w:type="dxa"/>
              <w:bottom w:w="0" w:type="dxa"/>
              <w:right w:w="15" w:type="dxa"/>
            </w:tcMar>
            <w:vAlign w:val="center"/>
          </w:tcPr>
          <w:p w:rsidR="00A4755C" w:rsidRPr="00D65480" w:rsidRDefault="00A4755C" w:rsidP="00707DE2">
            <w:pPr>
              <w:rPr>
                <w:i/>
              </w:rPr>
            </w:pPr>
            <w:r w:rsidRPr="00D65480">
              <w:rPr>
                <w:bCs/>
                <w:i/>
              </w:rPr>
              <w:t>Действие ВНД распространяется на подразделения</w:t>
            </w:r>
          </w:p>
        </w:tc>
        <w:tc>
          <w:tcPr>
            <w:tcW w:w="360" w:type="dxa"/>
            <w:tcBorders>
              <w:top w:val="single" w:sz="12" w:space="0" w:color="000000"/>
              <w:left w:val="single" w:sz="12" w:space="0" w:color="000000"/>
              <w:bottom w:val="single" w:sz="12" w:space="0" w:color="000000"/>
              <w:right w:val="single" w:sz="12" w:space="0" w:color="000000"/>
            </w:tcBorders>
            <w:noWrap/>
            <w:tcMar>
              <w:top w:w="15" w:type="dxa"/>
              <w:left w:w="15" w:type="dxa"/>
              <w:bottom w:w="0" w:type="dxa"/>
              <w:right w:w="15" w:type="dxa"/>
            </w:tcMar>
            <w:vAlign w:val="center"/>
          </w:tcPr>
          <w:p w:rsidR="00A4755C" w:rsidRPr="00C731F4" w:rsidRDefault="00A4755C" w:rsidP="00707DE2">
            <w:pPr>
              <w:jc w:val="center"/>
              <w:rPr>
                <w:b/>
                <w:bCs/>
              </w:rPr>
            </w:pPr>
            <w:r w:rsidRPr="00C731F4">
              <w:rPr>
                <w:b/>
                <w:bCs/>
              </w:rPr>
              <w:t>Х</w:t>
            </w:r>
          </w:p>
        </w:tc>
        <w:tc>
          <w:tcPr>
            <w:tcW w:w="6660" w:type="dxa"/>
            <w:tcBorders>
              <w:top w:val="single" w:sz="4" w:space="0" w:color="auto"/>
              <w:left w:val="single" w:sz="12" w:space="0" w:color="000000"/>
              <w:bottom w:val="nil"/>
              <w:right w:val="single" w:sz="4" w:space="0" w:color="000000"/>
            </w:tcBorders>
            <w:vAlign w:val="center"/>
          </w:tcPr>
          <w:p w:rsidR="00A4755C" w:rsidRPr="00C731F4" w:rsidRDefault="00A4755C" w:rsidP="00707DE2">
            <w:pPr>
              <w:ind w:firstLine="284"/>
            </w:pPr>
            <w:r w:rsidRPr="00C731F4">
              <w:t>Центральный аппарат</w:t>
            </w:r>
          </w:p>
        </w:tc>
      </w:tr>
      <w:tr w:rsidR="00A4755C" w:rsidRPr="00C731F4" w:rsidTr="00707DE2">
        <w:trPr>
          <w:cantSplit/>
          <w:trHeight w:val="292"/>
        </w:trPr>
        <w:tc>
          <w:tcPr>
            <w:tcW w:w="2340" w:type="dxa"/>
            <w:gridSpan w:val="3"/>
            <w:vMerge/>
            <w:tcBorders>
              <w:top w:val="nil"/>
              <w:left w:val="single" w:sz="4" w:space="0" w:color="auto"/>
              <w:bottom w:val="nil"/>
              <w:right w:val="single" w:sz="12" w:space="0" w:color="000000"/>
            </w:tcBorders>
            <w:noWrap/>
            <w:tcMar>
              <w:top w:w="15" w:type="dxa"/>
              <w:left w:w="15" w:type="dxa"/>
              <w:bottom w:w="0" w:type="dxa"/>
              <w:right w:w="15" w:type="dxa"/>
            </w:tcMar>
            <w:vAlign w:val="center"/>
          </w:tcPr>
          <w:p w:rsidR="00A4755C" w:rsidRPr="00C731F4" w:rsidRDefault="00A4755C" w:rsidP="00707DE2">
            <w:pPr>
              <w:pStyle w:val="12"/>
            </w:pPr>
          </w:p>
        </w:tc>
        <w:tc>
          <w:tcPr>
            <w:tcW w:w="360" w:type="dxa"/>
            <w:tcBorders>
              <w:top w:val="single" w:sz="12" w:space="0" w:color="000000"/>
              <w:left w:val="single" w:sz="12" w:space="0" w:color="000000"/>
              <w:bottom w:val="single" w:sz="12" w:space="0" w:color="000000"/>
              <w:right w:val="single" w:sz="12" w:space="0" w:color="000000"/>
            </w:tcBorders>
            <w:noWrap/>
            <w:tcMar>
              <w:top w:w="15" w:type="dxa"/>
              <w:left w:w="15" w:type="dxa"/>
              <w:bottom w:w="0" w:type="dxa"/>
              <w:right w:w="15" w:type="dxa"/>
            </w:tcMar>
            <w:vAlign w:val="center"/>
          </w:tcPr>
          <w:p w:rsidR="00A4755C" w:rsidRPr="00C731F4" w:rsidRDefault="00A4755C" w:rsidP="00707DE2">
            <w:pPr>
              <w:jc w:val="center"/>
              <w:rPr>
                <w:b/>
                <w:bCs/>
              </w:rPr>
            </w:pPr>
            <w:r w:rsidRPr="00C731F4">
              <w:rPr>
                <w:b/>
                <w:bCs/>
              </w:rPr>
              <w:t>Х</w:t>
            </w:r>
          </w:p>
        </w:tc>
        <w:tc>
          <w:tcPr>
            <w:tcW w:w="6660" w:type="dxa"/>
            <w:tcBorders>
              <w:top w:val="nil"/>
              <w:left w:val="single" w:sz="12" w:space="0" w:color="000000"/>
              <w:bottom w:val="nil"/>
              <w:right w:val="single" w:sz="4" w:space="0" w:color="000000"/>
            </w:tcBorders>
            <w:vAlign w:val="center"/>
          </w:tcPr>
          <w:p w:rsidR="00A4755C" w:rsidRPr="00C731F4" w:rsidRDefault="00A4755C" w:rsidP="00707DE2">
            <w:pPr>
              <w:ind w:firstLine="284"/>
            </w:pPr>
            <w:r w:rsidRPr="00C731F4">
              <w:t>Территориальные банки</w:t>
            </w:r>
          </w:p>
        </w:tc>
      </w:tr>
      <w:tr w:rsidR="00A4755C" w:rsidRPr="00C731F4" w:rsidTr="00707DE2">
        <w:trPr>
          <w:cantSplit/>
          <w:trHeight w:val="292"/>
        </w:trPr>
        <w:tc>
          <w:tcPr>
            <w:tcW w:w="2340" w:type="dxa"/>
            <w:gridSpan w:val="3"/>
            <w:vMerge/>
            <w:tcBorders>
              <w:top w:val="nil"/>
              <w:left w:val="single" w:sz="4" w:space="0" w:color="auto"/>
              <w:bottom w:val="nil"/>
              <w:right w:val="single" w:sz="12" w:space="0" w:color="000000"/>
            </w:tcBorders>
            <w:noWrap/>
            <w:tcMar>
              <w:top w:w="15" w:type="dxa"/>
              <w:left w:w="15" w:type="dxa"/>
              <w:bottom w:w="0" w:type="dxa"/>
              <w:right w:w="15" w:type="dxa"/>
            </w:tcMar>
            <w:vAlign w:val="center"/>
          </w:tcPr>
          <w:p w:rsidR="00A4755C" w:rsidRPr="00C731F4" w:rsidRDefault="00A4755C" w:rsidP="00707DE2">
            <w:pPr>
              <w:pStyle w:val="12"/>
            </w:pPr>
          </w:p>
        </w:tc>
        <w:tc>
          <w:tcPr>
            <w:tcW w:w="360" w:type="dxa"/>
            <w:tcBorders>
              <w:top w:val="single" w:sz="12" w:space="0" w:color="000000"/>
              <w:left w:val="single" w:sz="12" w:space="0" w:color="000000"/>
              <w:bottom w:val="single" w:sz="12" w:space="0" w:color="000000"/>
              <w:right w:val="single" w:sz="12" w:space="0" w:color="000000"/>
            </w:tcBorders>
            <w:noWrap/>
            <w:tcMar>
              <w:top w:w="15" w:type="dxa"/>
              <w:left w:w="15" w:type="dxa"/>
              <w:bottom w:w="0" w:type="dxa"/>
              <w:right w:w="15" w:type="dxa"/>
            </w:tcMar>
            <w:vAlign w:val="center"/>
          </w:tcPr>
          <w:p w:rsidR="00A4755C" w:rsidRPr="006D48E2" w:rsidRDefault="00A4755C" w:rsidP="00707DE2">
            <w:pPr>
              <w:jc w:val="center"/>
              <w:rPr>
                <w:b/>
                <w:bCs/>
                <w:lang w:val="en-US"/>
              </w:rPr>
            </w:pPr>
            <w:r>
              <w:rPr>
                <w:b/>
                <w:bCs/>
                <w:lang w:val="en-US"/>
              </w:rPr>
              <w:t>X</w:t>
            </w:r>
          </w:p>
        </w:tc>
        <w:tc>
          <w:tcPr>
            <w:tcW w:w="6660" w:type="dxa"/>
            <w:tcBorders>
              <w:top w:val="nil"/>
              <w:left w:val="single" w:sz="12" w:space="0" w:color="000000"/>
              <w:bottom w:val="nil"/>
              <w:right w:val="single" w:sz="4" w:space="0" w:color="000000"/>
            </w:tcBorders>
            <w:vAlign w:val="center"/>
          </w:tcPr>
          <w:p w:rsidR="00A4755C" w:rsidRPr="00C731F4" w:rsidRDefault="00A4755C" w:rsidP="00707DE2">
            <w:pPr>
              <w:ind w:left="300" w:hanging="16"/>
            </w:pPr>
            <w:r w:rsidRPr="00C731F4">
              <w:t>Отделения банка</w:t>
            </w:r>
          </w:p>
        </w:tc>
      </w:tr>
      <w:tr w:rsidR="00A4755C" w:rsidRPr="00C731F4" w:rsidTr="00707DE2">
        <w:trPr>
          <w:cantSplit/>
          <w:trHeight w:val="292"/>
        </w:trPr>
        <w:tc>
          <w:tcPr>
            <w:tcW w:w="2340" w:type="dxa"/>
            <w:gridSpan w:val="3"/>
            <w:vMerge/>
            <w:tcBorders>
              <w:top w:val="nil"/>
              <w:left w:val="single" w:sz="4" w:space="0" w:color="auto"/>
              <w:bottom w:val="single" w:sz="4" w:space="0" w:color="auto"/>
              <w:right w:val="single" w:sz="12" w:space="0" w:color="000000"/>
            </w:tcBorders>
            <w:noWrap/>
            <w:tcMar>
              <w:top w:w="15" w:type="dxa"/>
              <w:left w:w="15" w:type="dxa"/>
              <w:bottom w:w="0" w:type="dxa"/>
              <w:right w:w="15" w:type="dxa"/>
            </w:tcMar>
            <w:vAlign w:val="center"/>
          </w:tcPr>
          <w:p w:rsidR="00A4755C" w:rsidRPr="00C731F4" w:rsidRDefault="00A4755C" w:rsidP="00707DE2">
            <w:pPr>
              <w:pStyle w:val="12"/>
            </w:pPr>
          </w:p>
        </w:tc>
        <w:tc>
          <w:tcPr>
            <w:tcW w:w="360" w:type="dxa"/>
            <w:tcBorders>
              <w:top w:val="single" w:sz="12" w:space="0" w:color="000000"/>
              <w:left w:val="single" w:sz="12" w:space="0" w:color="000000"/>
              <w:bottom w:val="single" w:sz="12" w:space="0" w:color="000000"/>
              <w:right w:val="single" w:sz="12" w:space="0" w:color="000000"/>
            </w:tcBorders>
            <w:noWrap/>
            <w:tcMar>
              <w:top w:w="15" w:type="dxa"/>
              <w:left w:w="15" w:type="dxa"/>
              <w:bottom w:w="0" w:type="dxa"/>
              <w:right w:w="15" w:type="dxa"/>
            </w:tcMar>
            <w:vAlign w:val="center"/>
          </w:tcPr>
          <w:p w:rsidR="00A4755C" w:rsidRPr="006D48E2" w:rsidRDefault="00A4755C" w:rsidP="00707DE2">
            <w:pPr>
              <w:jc w:val="center"/>
              <w:rPr>
                <w:b/>
                <w:bCs/>
                <w:lang w:val="en-US"/>
              </w:rPr>
            </w:pPr>
            <w:r>
              <w:rPr>
                <w:b/>
                <w:bCs/>
                <w:lang w:val="en-US"/>
              </w:rPr>
              <w:t>X</w:t>
            </w:r>
          </w:p>
        </w:tc>
        <w:tc>
          <w:tcPr>
            <w:tcW w:w="6660" w:type="dxa"/>
            <w:tcBorders>
              <w:top w:val="nil"/>
              <w:left w:val="single" w:sz="12" w:space="0" w:color="000000"/>
              <w:bottom w:val="single" w:sz="4" w:space="0" w:color="auto"/>
              <w:right w:val="single" w:sz="4" w:space="0" w:color="000000"/>
            </w:tcBorders>
            <w:vAlign w:val="center"/>
          </w:tcPr>
          <w:p w:rsidR="00A4755C" w:rsidRPr="00C731F4" w:rsidRDefault="00A4755C" w:rsidP="00707DE2">
            <w:pPr>
              <w:ind w:firstLine="284"/>
            </w:pPr>
            <w:r w:rsidRPr="00C731F4">
              <w:t>Внутренние структурные подразделения</w:t>
            </w:r>
          </w:p>
        </w:tc>
      </w:tr>
      <w:tr w:rsidR="00A4755C" w:rsidRPr="00D65480" w:rsidTr="00707DE2">
        <w:trPr>
          <w:trHeight w:val="315"/>
        </w:trPr>
        <w:tc>
          <w:tcPr>
            <w:tcW w:w="2340"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C731F4" w:rsidRDefault="00A4755C" w:rsidP="00707DE2">
            <w:pPr>
              <w:rPr>
                <w:bCs/>
                <w:i/>
              </w:rPr>
            </w:pPr>
            <w:r w:rsidRPr="00C731F4">
              <w:rPr>
                <w:bCs/>
                <w:i/>
              </w:rPr>
              <w:t>ВНД верхнего уровня</w:t>
            </w:r>
          </w:p>
        </w:tc>
        <w:tc>
          <w:tcPr>
            <w:tcW w:w="702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center"/>
          </w:tcPr>
          <w:p w:rsidR="00A4755C" w:rsidRPr="00D65480" w:rsidRDefault="00A4755C" w:rsidP="00707DE2"/>
        </w:tc>
      </w:tr>
      <w:tr w:rsidR="00A4755C" w:rsidRPr="00C731F4" w:rsidTr="00707DE2">
        <w:trPr>
          <w:cantSplit/>
          <w:trHeight w:val="315"/>
        </w:trPr>
        <w:tc>
          <w:tcPr>
            <w:tcW w:w="9360"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C731F4" w:rsidRDefault="00A4755C" w:rsidP="00707DE2">
            <w:pPr>
              <w:jc w:val="center"/>
              <w:rPr>
                <w:i/>
              </w:rPr>
            </w:pPr>
            <w:r w:rsidRPr="00C731F4">
              <w:rPr>
                <w:bCs/>
                <w:i/>
              </w:rPr>
              <w:t>История ВНД</w:t>
            </w:r>
          </w:p>
        </w:tc>
      </w:tr>
      <w:tr w:rsidR="00A4755C" w:rsidRPr="00113DF1" w:rsidTr="00707DE2">
        <w:trPr>
          <w:cantSplit/>
          <w:trHeight w:val="346"/>
        </w:trPr>
        <w:tc>
          <w:tcPr>
            <w:tcW w:w="144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C731F4" w:rsidRDefault="00A4755C" w:rsidP="00707DE2">
            <w:pPr>
              <w:rPr>
                <w:bCs/>
                <w:i/>
              </w:rPr>
            </w:pPr>
            <w:r w:rsidRPr="00C731F4">
              <w:rPr>
                <w:bCs/>
                <w:i/>
              </w:rPr>
              <w:t>Номер редакции</w:t>
            </w:r>
          </w:p>
        </w:tc>
        <w:tc>
          <w:tcPr>
            <w:tcW w:w="7920" w:type="dxa"/>
            <w:gridSpan w:val="3"/>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pPr>
              <w:rPr>
                <w:bCs/>
                <w:i/>
              </w:rPr>
            </w:pPr>
            <w:r w:rsidRPr="00D65480">
              <w:rPr>
                <w:bCs/>
                <w:i/>
              </w:rPr>
              <w:t>Распорядительный документ, утверждающий /изменяющий ВНД</w:t>
            </w:r>
            <w:r w:rsidRPr="00D65480">
              <w:rPr>
                <w:bCs/>
                <w:i/>
                <w:vertAlign w:val="superscript"/>
              </w:rPr>
              <w:t xml:space="preserve"> </w:t>
            </w:r>
          </w:p>
        </w:tc>
      </w:tr>
      <w:tr w:rsidR="00A4755C" w:rsidRPr="00113DF1" w:rsidTr="00707DE2">
        <w:trPr>
          <w:cantSplit/>
          <w:trHeight w:val="315"/>
        </w:trPr>
        <w:tc>
          <w:tcPr>
            <w:tcW w:w="144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536852" w:rsidRDefault="00A4755C" w:rsidP="00707DE2"/>
        </w:tc>
        <w:tc>
          <w:tcPr>
            <w:tcW w:w="7920" w:type="dxa"/>
            <w:gridSpan w:val="3"/>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r>
      <w:tr w:rsidR="00A4755C" w:rsidRPr="00113DF1" w:rsidTr="00707DE2">
        <w:trPr>
          <w:cantSplit/>
          <w:trHeight w:val="315"/>
        </w:trPr>
        <w:tc>
          <w:tcPr>
            <w:tcW w:w="144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c>
          <w:tcPr>
            <w:tcW w:w="7920" w:type="dxa"/>
            <w:gridSpan w:val="3"/>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r>
      <w:tr w:rsidR="00A4755C" w:rsidRPr="00113DF1" w:rsidTr="00707DE2">
        <w:trPr>
          <w:cantSplit/>
          <w:trHeight w:val="315"/>
        </w:trPr>
        <w:tc>
          <w:tcPr>
            <w:tcW w:w="144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c>
          <w:tcPr>
            <w:tcW w:w="7920" w:type="dxa"/>
            <w:gridSpan w:val="3"/>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r>
      <w:tr w:rsidR="00A4755C" w:rsidRPr="00113DF1" w:rsidTr="00707DE2">
        <w:trPr>
          <w:cantSplit/>
          <w:trHeight w:val="315"/>
        </w:trPr>
        <w:tc>
          <w:tcPr>
            <w:tcW w:w="1440"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c>
          <w:tcPr>
            <w:tcW w:w="7920" w:type="dxa"/>
            <w:gridSpan w:val="3"/>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r>
      <w:tr w:rsidR="00A4755C" w:rsidRPr="00113DF1" w:rsidTr="00707DE2">
        <w:trPr>
          <w:cantSplit/>
          <w:trHeight w:val="315"/>
        </w:trPr>
        <w:tc>
          <w:tcPr>
            <w:tcW w:w="9360"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pPr>
              <w:jc w:val="center"/>
              <w:rPr>
                <w:bCs/>
                <w:i/>
              </w:rPr>
            </w:pPr>
            <w:r w:rsidRPr="00D65480">
              <w:rPr>
                <w:bCs/>
                <w:i/>
              </w:rPr>
              <w:t xml:space="preserve">ВНД, </w:t>
            </w:r>
            <w:proofErr w:type="gramStart"/>
            <w:r w:rsidRPr="00D65480">
              <w:rPr>
                <w:bCs/>
                <w:i/>
              </w:rPr>
              <w:t>которые</w:t>
            </w:r>
            <w:proofErr w:type="gramEnd"/>
            <w:r w:rsidRPr="00D65480">
              <w:rPr>
                <w:bCs/>
                <w:i/>
              </w:rPr>
              <w:t xml:space="preserve"> утрачивают силу с выходом данного ВНД</w:t>
            </w:r>
          </w:p>
        </w:tc>
      </w:tr>
      <w:tr w:rsidR="00A4755C" w:rsidRPr="00113DF1" w:rsidTr="00707DE2">
        <w:trPr>
          <w:cantSplit/>
          <w:trHeight w:val="315"/>
        </w:trPr>
        <w:tc>
          <w:tcPr>
            <w:tcW w:w="9360"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pPr>
              <w:rPr>
                <w:bCs/>
              </w:rPr>
            </w:pPr>
          </w:p>
        </w:tc>
      </w:tr>
      <w:tr w:rsidR="00A4755C" w:rsidRPr="00113DF1" w:rsidTr="00707DE2">
        <w:trPr>
          <w:cantSplit/>
          <w:trHeight w:val="315"/>
        </w:trPr>
        <w:tc>
          <w:tcPr>
            <w:tcW w:w="9360"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r>
      <w:tr w:rsidR="00A4755C" w:rsidRPr="00113DF1" w:rsidTr="00707DE2">
        <w:trPr>
          <w:cantSplit/>
          <w:trHeight w:val="315"/>
        </w:trPr>
        <w:tc>
          <w:tcPr>
            <w:tcW w:w="9360"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r>
      <w:tr w:rsidR="00A4755C" w:rsidRPr="00C731F4" w:rsidTr="00707DE2">
        <w:trPr>
          <w:cantSplit/>
          <w:trHeight w:val="315"/>
        </w:trPr>
        <w:tc>
          <w:tcPr>
            <w:tcW w:w="9360"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C731F4" w:rsidRDefault="00A4755C" w:rsidP="00707DE2">
            <w:pPr>
              <w:jc w:val="center"/>
              <w:rPr>
                <w:bCs/>
                <w:i/>
              </w:rPr>
            </w:pPr>
            <w:r w:rsidRPr="00C731F4">
              <w:rPr>
                <w:bCs/>
                <w:i/>
              </w:rPr>
              <w:t>Рассылка ВНД</w:t>
            </w:r>
          </w:p>
        </w:tc>
      </w:tr>
      <w:tr w:rsidR="00A4755C" w:rsidRPr="00C731F4" w:rsidTr="00707DE2">
        <w:trPr>
          <w:cantSplit/>
          <w:trHeight w:val="336"/>
        </w:trPr>
        <w:tc>
          <w:tcPr>
            <w:tcW w:w="720" w:type="dxa"/>
            <w:tcBorders>
              <w:top w:val="single" w:sz="12" w:space="0" w:color="auto"/>
              <w:left w:val="single" w:sz="12" w:space="0" w:color="auto"/>
              <w:bottom w:val="single" w:sz="12" w:space="0" w:color="auto"/>
              <w:right w:val="single" w:sz="12" w:space="0" w:color="auto"/>
            </w:tcBorders>
            <w:noWrap/>
            <w:tcMar>
              <w:top w:w="15" w:type="dxa"/>
              <w:left w:w="15" w:type="dxa"/>
              <w:bottom w:w="0" w:type="dxa"/>
              <w:right w:w="15" w:type="dxa"/>
            </w:tcMar>
            <w:vAlign w:val="center"/>
          </w:tcPr>
          <w:p w:rsidR="00A4755C" w:rsidRPr="00C731F4" w:rsidRDefault="00A4755C" w:rsidP="00707DE2">
            <w:pPr>
              <w:jc w:val="center"/>
            </w:pPr>
            <w:r w:rsidRPr="00C731F4">
              <w:rPr>
                <w:b/>
                <w:bCs/>
              </w:rPr>
              <w:t>Х</w:t>
            </w:r>
          </w:p>
        </w:tc>
        <w:tc>
          <w:tcPr>
            <w:tcW w:w="8640" w:type="dxa"/>
            <w:gridSpan w:val="4"/>
            <w:tcBorders>
              <w:top w:val="single" w:sz="4" w:space="0" w:color="auto"/>
              <w:left w:val="single" w:sz="12" w:space="0" w:color="auto"/>
              <w:bottom w:val="single" w:sz="4" w:space="0" w:color="auto"/>
              <w:right w:val="single" w:sz="4" w:space="0" w:color="auto"/>
            </w:tcBorders>
            <w:vAlign w:val="center"/>
          </w:tcPr>
          <w:p w:rsidR="00A4755C" w:rsidRPr="00C731F4" w:rsidRDefault="00A4755C" w:rsidP="00707DE2">
            <w:pPr>
              <w:ind w:left="240"/>
            </w:pPr>
            <w:r w:rsidRPr="00C731F4">
              <w:t>Территориальные банки</w:t>
            </w:r>
          </w:p>
        </w:tc>
      </w:tr>
      <w:tr w:rsidR="00A4755C" w:rsidRPr="00113DF1" w:rsidTr="00707DE2">
        <w:trPr>
          <w:cantSplit/>
          <w:trHeight w:val="336"/>
        </w:trPr>
        <w:tc>
          <w:tcPr>
            <w:tcW w:w="720" w:type="dxa"/>
            <w:tcBorders>
              <w:top w:val="single" w:sz="12" w:space="0" w:color="auto"/>
              <w:left w:val="single" w:sz="12" w:space="0" w:color="auto"/>
              <w:bottom w:val="single" w:sz="12" w:space="0" w:color="auto"/>
              <w:right w:val="single" w:sz="12" w:space="0" w:color="auto"/>
            </w:tcBorders>
            <w:noWrap/>
            <w:tcMar>
              <w:top w:w="15" w:type="dxa"/>
              <w:left w:w="15" w:type="dxa"/>
              <w:bottom w:w="0" w:type="dxa"/>
              <w:right w:w="15" w:type="dxa"/>
            </w:tcMar>
            <w:vAlign w:val="center"/>
          </w:tcPr>
          <w:p w:rsidR="00A4755C" w:rsidRPr="00C731F4" w:rsidRDefault="00A4755C" w:rsidP="00707DE2"/>
        </w:tc>
        <w:tc>
          <w:tcPr>
            <w:tcW w:w="8640" w:type="dxa"/>
            <w:gridSpan w:val="4"/>
            <w:tcBorders>
              <w:top w:val="single" w:sz="4" w:space="0" w:color="auto"/>
              <w:left w:val="single" w:sz="12" w:space="0" w:color="auto"/>
              <w:bottom w:val="single" w:sz="4" w:space="0" w:color="auto"/>
              <w:right w:val="single" w:sz="4" w:space="0" w:color="auto"/>
            </w:tcBorders>
            <w:vAlign w:val="center"/>
          </w:tcPr>
          <w:p w:rsidR="00A4755C" w:rsidRPr="00D65480" w:rsidRDefault="00A4755C" w:rsidP="00707DE2">
            <w:pPr>
              <w:ind w:left="240"/>
            </w:pPr>
            <w:r w:rsidRPr="00D65480">
              <w:t>Подразделения Центрального аппарата (для конфиденциальных документов)</w:t>
            </w:r>
          </w:p>
        </w:tc>
      </w:tr>
      <w:tr w:rsidR="00A4755C" w:rsidRPr="00113DF1" w:rsidTr="00707DE2">
        <w:trPr>
          <w:cantSplit/>
          <w:trHeight w:val="336"/>
        </w:trPr>
        <w:tc>
          <w:tcPr>
            <w:tcW w:w="72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c>
          <w:tcPr>
            <w:tcW w:w="8640" w:type="dxa"/>
            <w:gridSpan w:val="4"/>
            <w:tcBorders>
              <w:top w:val="single" w:sz="4" w:space="0" w:color="auto"/>
              <w:left w:val="single" w:sz="4" w:space="0" w:color="auto"/>
              <w:bottom w:val="single" w:sz="4" w:space="0" w:color="auto"/>
              <w:right w:val="single" w:sz="4" w:space="0" w:color="auto"/>
            </w:tcBorders>
            <w:vAlign w:val="center"/>
          </w:tcPr>
          <w:p w:rsidR="00A4755C" w:rsidRPr="00D65480" w:rsidRDefault="00A4755C" w:rsidP="00707DE2"/>
        </w:tc>
      </w:tr>
      <w:tr w:rsidR="00A4755C" w:rsidRPr="00113DF1" w:rsidTr="00707DE2">
        <w:trPr>
          <w:cantSplit/>
          <w:trHeight w:val="336"/>
        </w:trPr>
        <w:tc>
          <w:tcPr>
            <w:tcW w:w="7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A4755C" w:rsidRPr="00D65480" w:rsidRDefault="00A4755C" w:rsidP="00707DE2"/>
        </w:tc>
        <w:tc>
          <w:tcPr>
            <w:tcW w:w="8640" w:type="dxa"/>
            <w:gridSpan w:val="4"/>
            <w:tcBorders>
              <w:top w:val="single" w:sz="4" w:space="0" w:color="auto"/>
              <w:left w:val="single" w:sz="4" w:space="0" w:color="auto"/>
              <w:bottom w:val="single" w:sz="4" w:space="0" w:color="auto"/>
              <w:right w:val="single" w:sz="4" w:space="0" w:color="auto"/>
            </w:tcBorders>
            <w:vAlign w:val="center"/>
          </w:tcPr>
          <w:p w:rsidR="00A4755C" w:rsidRPr="00D65480" w:rsidRDefault="00A4755C" w:rsidP="00707DE2"/>
        </w:tc>
      </w:tr>
    </w:tbl>
    <w:p w:rsidR="00A4755C" w:rsidRDefault="00A4755C" w:rsidP="006D48E2">
      <w:pPr>
        <w:pStyle w:val="TOCHeading1"/>
        <w:ind w:right="-21"/>
        <w:rPr>
          <w:rFonts w:ascii="Times New Roman" w:hAnsi="Times New Roman"/>
          <w:b/>
          <w:i/>
          <w:sz w:val="24"/>
          <w:szCs w:val="24"/>
          <w:lang w:val="ru-RU"/>
        </w:rPr>
      </w:pPr>
    </w:p>
    <w:p w:rsidR="00A4755C" w:rsidRDefault="00A4755C" w:rsidP="006D48E2">
      <w:pPr>
        <w:pStyle w:val="TOCHeading1"/>
        <w:ind w:right="-21"/>
        <w:rPr>
          <w:rFonts w:ascii="Times New Roman" w:hAnsi="Times New Roman"/>
          <w:b/>
          <w:i/>
          <w:sz w:val="24"/>
          <w:szCs w:val="24"/>
          <w:lang w:val="ru-RU"/>
        </w:rPr>
      </w:pPr>
    </w:p>
    <w:p w:rsidR="00A4755C" w:rsidRDefault="00A4755C" w:rsidP="006D48E2">
      <w:pPr>
        <w:pStyle w:val="TOCHeading1"/>
        <w:ind w:right="-21"/>
        <w:rPr>
          <w:rFonts w:ascii="Times New Roman" w:hAnsi="Times New Roman"/>
          <w:b/>
          <w:i/>
          <w:sz w:val="24"/>
          <w:szCs w:val="24"/>
          <w:lang w:val="ru-RU"/>
        </w:rPr>
      </w:pPr>
    </w:p>
    <w:p w:rsidR="00A4755C" w:rsidRDefault="00A4755C" w:rsidP="006D48E2">
      <w:pPr>
        <w:pStyle w:val="TOCHeading1"/>
        <w:ind w:right="-21"/>
        <w:rPr>
          <w:rFonts w:ascii="Times New Roman" w:hAnsi="Times New Roman"/>
          <w:b/>
          <w:i/>
          <w:sz w:val="24"/>
          <w:szCs w:val="24"/>
          <w:lang w:val="ru-RU"/>
        </w:rPr>
      </w:pPr>
    </w:p>
    <w:p w:rsidR="00A4755C" w:rsidRPr="00536852" w:rsidRDefault="00A4755C" w:rsidP="006D48E2">
      <w:pPr>
        <w:pStyle w:val="TOCHeading1"/>
        <w:ind w:right="-21"/>
        <w:rPr>
          <w:rFonts w:ascii="Times New Roman" w:hAnsi="Times New Roman"/>
          <w:b/>
          <w:i/>
          <w:sz w:val="24"/>
          <w:szCs w:val="24"/>
          <w:lang w:val="ru-RU"/>
        </w:rPr>
      </w:pPr>
    </w:p>
    <w:p w:rsidR="00A4755C" w:rsidRPr="00536852" w:rsidRDefault="00A4755C" w:rsidP="006D48E2">
      <w:pPr>
        <w:pStyle w:val="TOCHeading1"/>
        <w:ind w:right="-21"/>
        <w:rPr>
          <w:rFonts w:ascii="Times New Roman" w:hAnsi="Times New Roman"/>
          <w:b/>
          <w:i/>
          <w:sz w:val="24"/>
          <w:szCs w:val="24"/>
          <w:lang w:val="ru-RU"/>
        </w:rPr>
      </w:pPr>
    </w:p>
    <w:p w:rsidR="00A4755C" w:rsidRPr="00536852" w:rsidRDefault="00A4755C" w:rsidP="006D48E2">
      <w:pPr>
        <w:pStyle w:val="TOCHeading1"/>
        <w:ind w:right="-21"/>
        <w:rPr>
          <w:rFonts w:ascii="Times New Roman" w:hAnsi="Times New Roman"/>
          <w:b/>
          <w:i/>
          <w:sz w:val="24"/>
          <w:szCs w:val="24"/>
          <w:lang w:val="ru-RU"/>
        </w:rPr>
      </w:pPr>
    </w:p>
    <w:p w:rsidR="00A4755C" w:rsidRPr="00B346DF" w:rsidRDefault="00A4755C" w:rsidP="00B346DF">
      <w:pPr>
        <w:pBdr>
          <w:bottom w:val="single" w:sz="4" w:space="1" w:color="auto"/>
        </w:pBdr>
        <w:spacing w:after="120"/>
        <w:ind w:right="-284"/>
        <w:rPr>
          <w:b/>
          <w:bCs/>
          <w:caps/>
          <w:sz w:val="32"/>
        </w:rPr>
      </w:pPr>
      <w:r w:rsidRPr="00B346DF">
        <w:rPr>
          <w:b/>
          <w:bCs/>
          <w:caps/>
          <w:sz w:val="32"/>
        </w:rPr>
        <w:lastRenderedPageBreak/>
        <w:t>Оглавление</w:t>
      </w:r>
    </w:p>
    <w:p w:rsidR="003371E2" w:rsidRDefault="00A4755C">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0832280" w:history="1">
        <w:r w:rsidR="003371E2" w:rsidRPr="00B643E8">
          <w:rPr>
            <w:rStyle w:val="a5"/>
            <w:noProof/>
            <w:kern w:val="32"/>
          </w:rPr>
          <w:t>1.</w:t>
        </w:r>
        <w:r w:rsidR="003371E2">
          <w:rPr>
            <w:rFonts w:asciiTheme="minorHAnsi" w:eastAsiaTheme="minorEastAsia" w:hAnsiTheme="minorHAnsi" w:cstheme="minorBidi"/>
            <w:noProof/>
            <w:sz w:val="22"/>
            <w:szCs w:val="22"/>
          </w:rPr>
          <w:tab/>
        </w:r>
        <w:r w:rsidR="003371E2" w:rsidRPr="00B643E8">
          <w:rPr>
            <w:rStyle w:val="a5"/>
            <w:rFonts w:cs="Arial"/>
            <w:noProof/>
            <w:kern w:val="32"/>
          </w:rPr>
          <w:t>Общие положения</w:t>
        </w:r>
        <w:r w:rsidR="003371E2">
          <w:rPr>
            <w:noProof/>
            <w:webHidden/>
          </w:rPr>
          <w:tab/>
        </w:r>
        <w:r w:rsidR="003371E2">
          <w:rPr>
            <w:noProof/>
            <w:webHidden/>
          </w:rPr>
          <w:fldChar w:fldCharType="begin"/>
        </w:r>
        <w:r w:rsidR="003371E2">
          <w:rPr>
            <w:noProof/>
            <w:webHidden/>
          </w:rPr>
          <w:instrText xml:space="preserve"> PAGEREF _Toc340832280 \h </w:instrText>
        </w:r>
        <w:r w:rsidR="003371E2">
          <w:rPr>
            <w:noProof/>
            <w:webHidden/>
          </w:rPr>
        </w:r>
        <w:r w:rsidR="003371E2">
          <w:rPr>
            <w:noProof/>
            <w:webHidden/>
          </w:rPr>
          <w:fldChar w:fldCharType="separate"/>
        </w:r>
        <w:r w:rsidR="003371E2">
          <w:rPr>
            <w:noProof/>
            <w:webHidden/>
          </w:rPr>
          <w:t>4</w:t>
        </w:r>
        <w:r w:rsidR="003371E2">
          <w:rPr>
            <w:noProof/>
            <w:webHidden/>
          </w:rPr>
          <w:fldChar w:fldCharType="end"/>
        </w:r>
      </w:hyperlink>
    </w:p>
    <w:p w:rsidR="003371E2" w:rsidRDefault="003371E2">
      <w:pPr>
        <w:pStyle w:val="12"/>
        <w:rPr>
          <w:rFonts w:asciiTheme="minorHAnsi" w:eastAsiaTheme="minorEastAsia" w:hAnsiTheme="minorHAnsi" w:cstheme="minorBidi"/>
          <w:noProof/>
          <w:sz w:val="22"/>
          <w:szCs w:val="22"/>
        </w:rPr>
      </w:pPr>
      <w:hyperlink w:anchor="_Toc340832281" w:history="1">
        <w:r w:rsidRPr="00B643E8">
          <w:rPr>
            <w:rStyle w:val="a5"/>
            <w:noProof/>
            <w:kern w:val="32"/>
          </w:rPr>
          <w:t>2.</w:t>
        </w:r>
        <w:r>
          <w:rPr>
            <w:rFonts w:asciiTheme="minorHAnsi" w:eastAsiaTheme="minorEastAsia" w:hAnsiTheme="minorHAnsi" w:cstheme="minorBidi"/>
            <w:noProof/>
            <w:sz w:val="22"/>
            <w:szCs w:val="22"/>
          </w:rPr>
          <w:tab/>
        </w:r>
        <w:r w:rsidRPr="00B643E8">
          <w:rPr>
            <w:rStyle w:val="a5"/>
            <w:rFonts w:cs="Arial"/>
            <w:noProof/>
            <w:kern w:val="32"/>
          </w:rPr>
          <w:t>Описание модели расчета CVA</w:t>
        </w:r>
        <w:r>
          <w:rPr>
            <w:noProof/>
            <w:webHidden/>
          </w:rPr>
          <w:tab/>
        </w:r>
        <w:r>
          <w:rPr>
            <w:noProof/>
            <w:webHidden/>
          </w:rPr>
          <w:fldChar w:fldCharType="begin"/>
        </w:r>
        <w:r>
          <w:rPr>
            <w:noProof/>
            <w:webHidden/>
          </w:rPr>
          <w:instrText xml:space="preserve"> PAGEREF _Toc340832281 \h </w:instrText>
        </w:r>
        <w:r>
          <w:rPr>
            <w:noProof/>
            <w:webHidden/>
          </w:rPr>
        </w:r>
        <w:r>
          <w:rPr>
            <w:noProof/>
            <w:webHidden/>
          </w:rPr>
          <w:fldChar w:fldCharType="separate"/>
        </w:r>
        <w:r>
          <w:rPr>
            <w:noProof/>
            <w:webHidden/>
          </w:rPr>
          <w:t>4</w:t>
        </w:r>
        <w:r>
          <w:rPr>
            <w:noProof/>
            <w:webHidden/>
          </w:rPr>
          <w:fldChar w:fldCharType="end"/>
        </w:r>
      </w:hyperlink>
    </w:p>
    <w:p w:rsidR="003371E2" w:rsidRDefault="003371E2">
      <w:pPr>
        <w:pStyle w:val="21"/>
        <w:rPr>
          <w:rFonts w:asciiTheme="minorHAnsi" w:eastAsiaTheme="minorEastAsia" w:hAnsiTheme="minorHAnsi" w:cstheme="minorBidi"/>
          <w:noProof/>
          <w:sz w:val="22"/>
          <w:szCs w:val="22"/>
        </w:rPr>
      </w:pPr>
      <w:hyperlink w:anchor="_Toc340832282" w:history="1">
        <w:r w:rsidRPr="00B643E8">
          <w:rPr>
            <w:rStyle w:val="a5"/>
            <w:iCs/>
            <w:noProof/>
            <w:lang w:eastAsia="en-US"/>
          </w:rPr>
          <w:t>2.1.</w:t>
        </w:r>
        <w:r>
          <w:rPr>
            <w:rFonts w:asciiTheme="minorHAnsi" w:eastAsiaTheme="minorEastAsia" w:hAnsiTheme="minorHAnsi" w:cstheme="minorBidi"/>
            <w:noProof/>
            <w:sz w:val="22"/>
            <w:szCs w:val="22"/>
          </w:rPr>
          <w:tab/>
        </w:r>
        <w:r w:rsidRPr="00B643E8">
          <w:rPr>
            <w:rStyle w:val="a5"/>
            <w:iCs/>
            <w:noProof/>
            <w:lang w:eastAsia="en-US"/>
          </w:rPr>
          <w:t>Понятие CVA и</w:t>
        </w:r>
        <w:r w:rsidRPr="00B643E8">
          <w:rPr>
            <w:rStyle w:val="a5"/>
            <w:iCs/>
            <w:noProof/>
            <w:lang w:val="en-US" w:eastAsia="en-US"/>
          </w:rPr>
          <w:t xml:space="preserve"> DVA</w:t>
        </w:r>
        <w:r>
          <w:rPr>
            <w:noProof/>
            <w:webHidden/>
          </w:rPr>
          <w:tab/>
        </w:r>
        <w:r>
          <w:rPr>
            <w:noProof/>
            <w:webHidden/>
          </w:rPr>
          <w:fldChar w:fldCharType="begin"/>
        </w:r>
        <w:r>
          <w:rPr>
            <w:noProof/>
            <w:webHidden/>
          </w:rPr>
          <w:instrText xml:space="preserve"> PAGEREF _Toc340832282 \h </w:instrText>
        </w:r>
        <w:r>
          <w:rPr>
            <w:noProof/>
            <w:webHidden/>
          </w:rPr>
        </w:r>
        <w:r>
          <w:rPr>
            <w:noProof/>
            <w:webHidden/>
          </w:rPr>
          <w:fldChar w:fldCharType="separate"/>
        </w:r>
        <w:r>
          <w:rPr>
            <w:noProof/>
            <w:webHidden/>
          </w:rPr>
          <w:t>4</w:t>
        </w:r>
        <w:r>
          <w:rPr>
            <w:noProof/>
            <w:webHidden/>
          </w:rPr>
          <w:fldChar w:fldCharType="end"/>
        </w:r>
      </w:hyperlink>
    </w:p>
    <w:p w:rsidR="003371E2" w:rsidRDefault="003371E2">
      <w:pPr>
        <w:pStyle w:val="21"/>
        <w:rPr>
          <w:rFonts w:asciiTheme="minorHAnsi" w:eastAsiaTheme="minorEastAsia" w:hAnsiTheme="minorHAnsi" w:cstheme="minorBidi"/>
          <w:noProof/>
          <w:sz w:val="22"/>
          <w:szCs w:val="22"/>
        </w:rPr>
      </w:pPr>
      <w:hyperlink w:anchor="_Toc340832283" w:history="1">
        <w:r w:rsidRPr="00B643E8">
          <w:rPr>
            <w:rStyle w:val="a5"/>
            <w:iCs/>
            <w:noProof/>
            <w:lang w:eastAsia="en-US"/>
          </w:rPr>
          <w:t>2.2.</w:t>
        </w:r>
        <w:r>
          <w:rPr>
            <w:rFonts w:asciiTheme="minorHAnsi" w:eastAsiaTheme="minorEastAsia" w:hAnsiTheme="minorHAnsi" w:cstheme="minorBidi"/>
            <w:noProof/>
            <w:sz w:val="22"/>
            <w:szCs w:val="22"/>
          </w:rPr>
          <w:tab/>
        </w:r>
        <w:r w:rsidRPr="00B643E8">
          <w:rPr>
            <w:rStyle w:val="a5"/>
            <w:iCs/>
            <w:noProof/>
            <w:lang w:eastAsia="en-US"/>
          </w:rPr>
          <w:t>Краткое описание модели CVA</w:t>
        </w:r>
        <w:r>
          <w:rPr>
            <w:noProof/>
            <w:webHidden/>
          </w:rPr>
          <w:tab/>
        </w:r>
        <w:r>
          <w:rPr>
            <w:noProof/>
            <w:webHidden/>
          </w:rPr>
          <w:fldChar w:fldCharType="begin"/>
        </w:r>
        <w:r>
          <w:rPr>
            <w:noProof/>
            <w:webHidden/>
          </w:rPr>
          <w:instrText xml:space="preserve"> PAGEREF _Toc340832283 \h </w:instrText>
        </w:r>
        <w:r>
          <w:rPr>
            <w:noProof/>
            <w:webHidden/>
          </w:rPr>
        </w:r>
        <w:r>
          <w:rPr>
            <w:noProof/>
            <w:webHidden/>
          </w:rPr>
          <w:fldChar w:fldCharType="separate"/>
        </w:r>
        <w:r>
          <w:rPr>
            <w:noProof/>
            <w:webHidden/>
          </w:rPr>
          <w:t>5</w:t>
        </w:r>
        <w:r>
          <w:rPr>
            <w:noProof/>
            <w:webHidden/>
          </w:rPr>
          <w:fldChar w:fldCharType="end"/>
        </w:r>
      </w:hyperlink>
    </w:p>
    <w:p w:rsidR="003371E2" w:rsidRDefault="003371E2">
      <w:pPr>
        <w:pStyle w:val="21"/>
        <w:rPr>
          <w:rFonts w:asciiTheme="minorHAnsi" w:eastAsiaTheme="minorEastAsia" w:hAnsiTheme="minorHAnsi" w:cstheme="minorBidi"/>
          <w:noProof/>
          <w:sz w:val="22"/>
          <w:szCs w:val="22"/>
        </w:rPr>
      </w:pPr>
      <w:hyperlink w:anchor="_Toc340832284" w:history="1">
        <w:r w:rsidRPr="00B643E8">
          <w:rPr>
            <w:rStyle w:val="a5"/>
            <w:iCs/>
            <w:noProof/>
            <w:lang w:eastAsia="en-US"/>
          </w:rPr>
          <w:t>2.3.</w:t>
        </w:r>
        <w:r>
          <w:rPr>
            <w:rFonts w:asciiTheme="minorHAnsi" w:eastAsiaTheme="minorEastAsia" w:hAnsiTheme="minorHAnsi" w:cstheme="minorBidi"/>
            <w:noProof/>
            <w:sz w:val="22"/>
            <w:szCs w:val="22"/>
          </w:rPr>
          <w:tab/>
        </w:r>
        <w:r w:rsidRPr="00B643E8">
          <w:rPr>
            <w:rStyle w:val="a5"/>
            <w:iCs/>
            <w:noProof/>
            <w:lang w:eastAsia="en-US"/>
          </w:rPr>
          <w:t>Определение вероятности дефолта</w:t>
        </w:r>
        <w:r>
          <w:rPr>
            <w:noProof/>
            <w:webHidden/>
          </w:rPr>
          <w:tab/>
        </w:r>
        <w:r>
          <w:rPr>
            <w:noProof/>
            <w:webHidden/>
          </w:rPr>
          <w:fldChar w:fldCharType="begin"/>
        </w:r>
        <w:r>
          <w:rPr>
            <w:noProof/>
            <w:webHidden/>
          </w:rPr>
          <w:instrText xml:space="preserve"> PAGEREF _Toc340832284 \h </w:instrText>
        </w:r>
        <w:r>
          <w:rPr>
            <w:noProof/>
            <w:webHidden/>
          </w:rPr>
        </w:r>
        <w:r>
          <w:rPr>
            <w:noProof/>
            <w:webHidden/>
          </w:rPr>
          <w:fldChar w:fldCharType="separate"/>
        </w:r>
        <w:r>
          <w:rPr>
            <w:noProof/>
            <w:webHidden/>
          </w:rPr>
          <w:t>6</w:t>
        </w:r>
        <w:r>
          <w:rPr>
            <w:noProof/>
            <w:webHidden/>
          </w:rPr>
          <w:fldChar w:fldCharType="end"/>
        </w:r>
      </w:hyperlink>
    </w:p>
    <w:p w:rsidR="003371E2" w:rsidRDefault="003371E2">
      <w:pPr>
        <w:pStyle w:val="12"/>
        <w:rPr>
          <w:rFonts w:asciiTheme="minorHAnsi" w:eastAsiaTheme="minorEastAsia" w:hAnsiTheme="minorHAnsi" w:cstheme="minorBidi"/>
          <w:noProof/>
          <w:sz w:val="22"/>
          <w:szCs w:val="22"/>
        </w:rPr>
      </w:pPr>
      <w:hyperlink w:anchor="_Toc340832285" w:history="1">
        <w:r w:rsidRPr="00B643E8">
          <w:rPr>
            <w:rStyle w:val="a5"/>
            <w:noProof/>
            <w:kern w:val="32"/>
          </w:rPr>
          <w:t>3.</w:t>
        </w:r>
        <w:r>
          <w:rPr>
            <w:rFonts w:asciiTheme="minorHAnsi" w:eastAsiaTheme="minorEastAsia" w:hAnsiTheme="minorHAnsi" w:cstheme="minorBidi"/>
            <w:noProof/>
            <w:sz w:val="22"/>
            <w:szCs w:val="22"/>
          </w:rPr>
          <w:tab/>
        </w:r>
        <w:r w:rsidRPr="00B643E8">
          <w:rPr>
            <w:rStyle w:val="a5"/>
            <w:rFonts w:cs="Arial"/>
            <w:noProof/>
            <w:kern w:val="32"/>
          </w:rPr>
          <w:t>Расчет CVA для валютного форварда</w:t>
        </w:r>
        <w:r>
          <w:rPr>
            <w:noProof/>
            <w:webHidden/>
          </w:rPr>
          <w:tab/>
        </w:r>
        <w:r>
          <w:rPr>
            <w:noProof/>
            <w:webHidden/>
          </w:rPr>
          <w:fldChar w:fldCharType="begin"/>
        </w:r>
        <w:r>
          <w:rPr>
            <w:noProof/>
            <w:webHidden/>
          </w:rPr>
          <w:instrText xml:space="preserve"> PAGEREF _Toc340832285 \h </w:instrText>
        </w:r>
        <w:r>
          <w:rPr>
            <w:noProof/>
            <w:webHidden/>
          </w:rPr>
        </w:r>
        <w:r>
          <w:rPr>
            <w:noProof/>
            <w:webHidden/>
          </w:rPr>
          <w:fldChar w:fldCharType="separate"/>
        </w:r>
        <w:r>
          <w:rPr>
            <w:noProof/>
            <w:webHidden/>
          </w:rPr>
          <w:t>8</w:t>
        </w:r>
        <w:r>
          <w:rPr>
            <w:noProof/>
            <w:webHidden/>
          </w:rPr>
          <w:fldChar w:fldCharType="end"/>
        </w:r>
      </w:hyperlink>
    </w:p>
    <w:p w:rsidR="003371E2" w:rsidRDefault="003371E2">
      <w:pPr>
        <w:pStyle w:val="21"/>
        <w:rPr>
          <w:rFonts w:asciiTheme="minorHAnsi" w:eastAsiaTheme="minorEastAsia" w:hAnsiTheme="minorHAnsi" w:cstheme="minorBidi"/>
          <w:noProof/>
          <w:sz w:val="22"/>
          <w:szCs w:val="22"/>
        </w:rPr>
      </w:pPr>
      <w:hyperlink w:anchor="_Toc340832286" w:history="1">
        <w:r w:rsidRPr="00B643E8">
          <w:rPr>
            <w:rStyle w:val="a5"/>
            <w:iCs/>
            <w:noProof/>
            <w:lang w:eastAsia="en-US"/>
          </w:rPr>
          <w:t>3.1.</w:t>
        </w:r>
        <w:r>
          <w:rPr>
            <w:rFonts w:asciiTheme="minorHAnsi" w:eastAsiaTheme="minorEastAsia" w:hAnsiTheme="minorHAnsi" w:cstheme="minorBidi"/>
            <w:noProof/>
            <w:sz w:val="22"/>
            <w:szCs w:val="22"/>
          </w:rPr>
          <w:tab/>
        </w:r>
        <w:r w:rsidRPr="00B643E8">
          <w:rPr>
            <w:rStyle w:val="a5"/>
            <w:iCs/>
            <w:noProof/>
            <w:lang w:eastAsia="en-US"/>
          </w:rPr>
          <w:t>Ожидаемая величина, подверженная кредитному риску для валютного форварда</w:t>
        </w:r>
        <w:r>
          <w:rPr>
            <w:noProof/>
            <w:webHidden/>
          </w:rPr>
          <w:tab/>
        </w:r>
        <w:r>
          <w:rPr>
            <w:noProof/>
            <w:webHidden/>
          </w:rPr>
          <w:fldChar w:fldCharType="begin"/>
        </w:r>
        <w:r>
          <w:rPr>
            <w:noProof/>
            <w:webHidden/>
          </w:rPr>
          <w:instrText xml:space="preserve"> PAGEREF _Toc340832286 \h </w:instrText>
        </w:r>
        <w:r>
          <w:rPr>
            <w:noProof/>
            <w:webHidden/>
          </w:rPr>
        </w:r>
        <w:r>
          <w:rPr>
            <w:noProof/>
            <w:webHidden/>
          </w:rPr>
          <w:fldChar w:fldCharType="separate"/>
        </w:r>
        <w:r>
          <w:rPr>
            <w:noProof/>
            <w:webHidden/>
          </w:rPr>
          <w:t>8</w:t>
        </w:r>
        <w:r>
          <w:rPr>
            <w:noProof/>
            <w:webHidden/>
          </w:rPr>
          <w:fldChar w:fldCharType="end"/>
        </w:r>
      </w:hyperlink>
    </w:p>
    <w:p w:rsidR="003371E2" w:rsidRDefault="003371E2">
      <w:pPr>
        <w:pStyle w:val="21"/>
        <w:rPr>
          <w:rFonts w:asciiTheme="minorHAnsi" w:eastAsiaTheme="minorEastAsia" w:hAnsiTheme="minorHAnsi" w:cstheme="minorBidi"/>
          <w:noProof/>
          <w:sz w:val="22"/>
          <w:szCs w:val="22"/>
        </w:rPr>
      </w:pPr>
      <w:hyperlink w:anchor="_Toc340832287" w:history="1">
        <w:r w:rsidRPr="00B643E8">
          <w:rPr>
            <w:rStyle w:val="a5"/>
            <w:iCs/>
            <w:noProof/>
            <w:lang w:eastAsia="en-US"/>
          </w:rPr>
          <w:t>3.2.</w:t>
        </w:r>
        <w:r>
          <w:rPr>
            <w:rFonts w:asciiTheme="minorHAnsi" w:eastAsiaTheme="minorEastAsia" w:hAnsiTheme="minorHAnsi" w:cstheme="minorBidi"/>
            <w:noProof/>
            <w:sz w:val="22"/>
            <w:szCs w:val="22"/>
          </w:rPr>
          <w:tab/>
        </w:r>
        <w:r w:rsidRPr="00B643E8">
          <w:rPr>
            <w:rStyle w:val="a5"/>
            <w:iCs/>
            <w:noProof/>
            <w:lang w:eastAsia="en-US"/>
          </w:rPr>
          <w:t>Расчет CVA</w:t>
        </w:r>
        <w:r>
          <w:rPr>
            <w:noProof/>
            <w:webHidden/>
          </w:rPr>
          <w:tab/>
        </w:r>
        <w:r>
          <w:rPr>
            <w:noProof/>
            <w:webHidden/>
          </w:rPr>
          <w:fldChar w:fldCharType="begin"/>
        </w:r>
        <w:r>
          <w:rPr>
            <w:noProof/>
            <w:webHidden/>
          </w:rPr>
          <w:instrText xml:space="preserve"> PAGEREF _Toc340832287 \h </w:instrText>
        </w:r>
        <w:r>
          <w:rPr>
            <w:noProof/>
            <w:webHidden/>
          </w:rPr>
        </w:r>
        <w:r>
          <w:rPr>
            <w:noProof/>
            <w:webHidden/>
          </w:rPr>
          <w:fldChar w:fldCharType="separate"/>
        </w:r>
        <w:r>
          <w:rPr>
            <w:noProof/>
            <w:webHidden/>
          </w:rPr>
          <w:t>9</w:t>
        </w:r>
        <w:r>
          <w:rPr>
            <w:noProof/>
            <w:webHidden/>
          </w:rPr>
          <w:fldChar w:fldCharType="end"/>
        </w:r>
      </w:hyperlink>
    </w:p>
    <w:p w:rsidR="003371E2" w:rsidRDefault="003371E2">
      <w:pPr>
        <w:pStyle w:val="12"/>
        <w:rPr>
          <w:rFonts w:asciiTheme="minorHAnsi" w:eastAsiaTheme="minorEastAsia" w:hAnsiTheme="minorHAnsi" w:cstheme="minorBidi"/>
          <w:noProof/>
          <w:sz w:val="22"/>
          <w:szCs w:val="22"/>
        </w:rPr>
      </w:pPr>
      <w:hyperlink w:anchor="_Toc340832288" w:history="1">
        <w:r w:rsidRPr="00B643E8">
          <w:rPr>
            <w:rStyle w:val="a5"/>
            <w:rFonts w:cs="Arial"/>
            <w:noProof/>
            <w:kern w:val="32"/>
          </w:rPr>
          <w:t>Приложения</w:t>
        </w:r>
        <w:r>
          <w:rPr>
            <w:noProof/>
            <w:webHidden/>
          </w:rPr>
          <w:tab/>
        </w:r>
        <w:r>
          <w:rPr>
            <w:noProof/>
            <w:webHidden/>
          </w:rPr>
          <w:fldChar w:fldCharType="begin"/>
        </w:r>
        <w:r>
          <w:rPr>
            <w:noProof/>
            <w:webHidden/>
          </w:rPr>
          <w:instrText xml:space="preserve"> PAGEREF _Toc340832288 \h </w:instrText>
        </w:r>
        <w:r>
          <w:rPr>
            <w:noProof/>
            <w:webHidden/>
          </w:rPr>
        </w:r>
        <w:r>
          <w:rPr>
            <w:noProof/>
            <w:webHidden/>
          </w:rPr>
          <w:fldChar w:fldCharType="separate"/>
        </w:r>
        <w:r>
          <w:rPr>
            <w:noProof/>
            <w:webHidden/>
          </w:rPr>
          <w:t>10</w:t>
        </w:r>
        <w:r>
          <w:rPr>
            <w:noProof/>
            <w:webHidden/>
          </w:rPr>
          <w:fldChar w:fldCharType="end"/>
        </w:r>
      </w:hyperlink>
    </w:p>
    <w:p w:rsidR="003371E2" w:rsidRDefault="003371E2">
      <w:pPr>
        <w:pStyle w:val="21"/>
        <w:rPr>
          <w:rFonts w:asciiTheme="minorHAnsi" w:eastAsiaTheme="minorEastAsia" w:hAnsiTheme="minorHAnsi" w:cstheme="minorBidi"/>
          <w:noProof/>
          <w:sz w:val="22"/>
          <w:szCs w:val="22"/>
        </w:rPr>
      </w:pPr>
      <w:hyperlink w:anchor="_Toc340832289" w:history="1">
        <w:r w:rsidRPr="00B643E8">
          <w:rPr>
            <w:rStyle w:val="a5"/>
            <w:iCs/>
            <w:noProof/>
            <w:lang w:eastAsia="en-US"/>
          </w:rPr>
          <w:t xml:space="preserve">Приложение 1. Учет обеспечения при расчете </w:t>
        </w:r>
        <w:r w:rsidRPr="00B643E8">
          <w:rPr>
            <w:rStyle w:val="a5"/>
            <w:iCs/>
            <w:noProof/>
            <w:lang w:val="en-US" w:eastAsia="en-US"/>
          </w:rPr>
          <w:t>CVA</w:t>
        </w:r>
        <w:r>
          <w:rPr>
            <w:noProof/>
            <w:webHidden/>
          </w:rPr>
          <w:tab/>
        </w:r>
        <w:r>
          <w:rPr>
            <w:noProof/>
            <w:webHidden/>
          </w:rPr>
          <w:fldChar w:fldCharType="begin"/>
        </w:r>
        <w:r>
          <w:rPr>
            <w:noProof/>
            <w:webHidden/>
          </w:rPr>
          <w:instrText xml:space="preserve"> PAGEREF _Toc340832289 \h </w:instrText>
        </w:r>
        <w:r>
          <w:rPr>
            <w:noProof/>
            <w:webHidden/>
          </w:rPr>
        </w:r>
        <w:r>
          <w:rPr>
            <w:noProof/>
            <w:webHidden/>
          </w:rPr>
          <w:fldChar w:fldCharType="separate"/>
        </w:r>
        <w:r>
          <w:rPr>
            <w:noProof/>
            <w:webHidden/>
          </w:rPr>
          <w:t>10</w:t>
        </w:r>
        <w:r>
          <w:rPr>
            <w:noProof/>
            <w:webHidden/>
          </w:rPr>
          <w:fldChar w:fldCharType="end"/>
        </w:r>
      </w:hyperlink>
    </w:p>
    <w:p w:rsidR="00A4755C" w:rsidRDefault="00A4755C">
      <w:r>
        <w:fldChar w:fldCharType="end"/>
      </w:r>
    </w:p>
    <w:p w:rsidR="00A4755C" w:rsidRDefault="00A4755C" w:rsidP="0008380E">
      <w:pPr>
        <w:pStyle w:val="1"/>
      </w:pPr>
    </w:p>
    <w:p w:rsidR="00A4755C" w:rsidRDefault="00A4755C">
      <w:pPr>
        <w:spacing w:after="200" w:line="276" w:lineRule="auto"/>
        <w:rPr>
          <w:rFonts w:ascii="Cambria" w:hAnsi="Cambria"/>
          <w:b/>
          <w:bCs/>
          <w:color w:val="365F91"/>
          <w:sz w:val="28"/>
          <w:szCs w:val="28"/>
          <w:lang w:val="en-US"/>
        </w:rPr>
      </w:pPr>
      <w:r>
        <w:rPr>
          <w:lang w:val="en-US"/>
        </w:rPr>
        <w:br w:type="page"/>
      </w:r>
    </w:p>
    <w:p w:rsidR="00A4755C" w:rsidRPr="002541AC" w:rsidRDefault="00A4755C" w:rsidP="002541AC">
      <w:pPr>
        <w:pStyle w:val="1"/>
        <w:keepLines w:val="0"/>
        <w:numPr>
          <w:ilvl w:val="0"/>
          <w:numId w:val="12"/>
        </w:numPr>
        <w:pBdr>
          <w:bottom w:val="single" w:sz="4" w:space="0" w:color="auto"/>
        </w:pBdr>
        <w:autoSpaceDE w:val="0"/>
        <w:autoSpaceDN w:val="0"/>
        <w:spacing w:before="0" w:after="240"/>
        <w:jc w:val="both"/>
        <w:rPr>
          <w:rFonts w:ascii="Times New Roman" w:hAnsi="Times New Roman" w:cs="Arial"/>
          <w:color w:val="auto"/>
          <w:kern w:val="32"/>
          <w:sz w:val="32"/>
          <w:szCs w:val="32"/>
        </w:rPr>
      </w:pPr>
      <w:bookmarkStart w:id="9" w:name="_Toc340832280"/>
      <w:r w:rsidRPr="002541AC">
        <w:rPr>
          <w:rFonts w:ascii="Times New Roman" w:hAnsi="Times New Roman" w:cs="Arial"/>
          <w:color w:val="auto"/>
          <w:kern w:val="32"/>
          <w:sz w:val="32"/>
          <w:szCs w:val="32"/>
        </w:rPr>
        <w:lastRenderedPageBreak/>
        <w:t>Общие положения</w:t>
      </w:r>
      <w:bookmarkEnd w:id="9"/>
    </w:p>
    <w:p w:rsidR="00A4755C" w:rsidRDefault="00A4755C" w:rsidP="00A40660">
      <w:pPr>
        <w:pStyle w:val="a6"/>
        <w:numPr>
          <w:ilvl w:val="1"/>
          <w:numId w:val="12"/>
        </w:numPr>
        <w:spacing w:after="120"/>
        <w:ind w:left="709" w:hanging="567"/>
        <w:jc w:val="both"/>
      </w:pPr>
      <w:r w:rsidRPr="00A40660">
        <w:t xml:space="preserve">Данный документ подготовлен в связи с требованиями международных стандартов финансовой отчетности и новыми решениями </w:t>
      </w:r>
      <w:proofErr w:type="spellStart"/>
      <w:r w:rsidRPr="00A40660">
        <w:t>Базельского</w:t>
      </w:r>
      <w:proofErr w:type="spellEnd"/>
      <w:r w:rsidRPr="00A40660">
        <w:t xml:space="preserve"> комитета (</w:t>
      </w:r>
      <w:proofErr w:type="spellStart"/>
      <w:r w:rsidRPr="00A40660">
        <w:t>Basel</w:t>
      </w:r>
      <w:proofErr w:type="spellEnd"/>
      <w:r w:rsidRPr="00A40660">
        <w:t xml:space="preserve"> III) производить поправки на кредитный риск (</w:t>
      </w:r>
      <w:proofErr w:type="spellStart"/>
      <w:r w:rsidRPr="00A40660">
        <w:t>Credit</w:t>
      </w:r>
      <w:proofErr w:type="spellEnd"/>
      <w:r w:rsidRPr="00A40660">
        <w:t xml:space="preserve"> </w:t>
      </w:r>
      <w:proofErr w:type="spellStart"/>
      <w:r w:rsidRPr="00A40660">
        <w:t>Valuation</w:t>
      </w:r>
      <w:proofErr w:type="spellEnd"/>
      <w:r w:rsidRPr="00A40660">
        <w:t xml:space="preserve"> </w:t>
      </w:r>
      <w:proofErr w:type="spellStart"/>
      <w:r w:rsidRPr="00A40660">
        <w:t>Adjustment</w:t>
      </w:r>
      <w:proofErr w:type="spellEnd"/>
      <w:r w:rsidRPr="00A40660">
        <w:t xml:space="preserve"> </w:t>
      </w:r>
      <w:r w:rsidRPr="00C7795A">
        <w:t>–</w:t>
      </w:r>
      <w:r w:rsidRPr="00A40660">
        <w:t xml:space="preserve"> CVA) при определении справедливой стоимости финансовых инструментов.  </w:t>
      </w:r>
      <w:r w:rsidRPr="00C7795A">
        <w:t xml:space="preserve">Помимо </w:t>
      </w:r>
      <w:r>
        <w:t xml:space="preserve">выполнения </w:t>
      </w:r>
      <w:r w:rsidRPr="00C7795A">
        <w:t>требований регуляторов CVA</w:t>
      </w:r>
      <w:r>
        <w:t xml:space="preserve"> может использоваться </w:t>
      </w:r>
      <w:r w:rsidRPr="00C7795A">
        <w:t>при расчете при</w:t>
      </w:r>
      <w:r>
        <w:t>были торгового подразделения Банка с учетом кредитного риска контрагентов</w:t>
      </w:r>
      <w:r w:rsidRPr="00C7795A">
        <w:t>.</w:t>
      </w:r>
    </w:p>
    <w:p w:rsidR="00A4755C" w:rsidRPr="00C7795A" w:rsidRDefault="00A4755C" w:rsidP="00C7795A">
      <w:pPr>
        <w:pStyle w:val="a6"/>
        <w:numPr>
          <w:ilvl w:val="1"/>
          <w:numId w:val="12"/>
        </w:numPr>
        <w:spacing w:after="120"/>
        <w:ind w:left="709" w:hanging="567"/>
        <w:jc w:val="both"/>
      </w:pPr>
      <w:r>
        <w:t xml:space="preserve">Под CVA </w:t>
      </w:r>
      <w:r w:rsidRPr="00C7795A">
        <w:t xml:space="preserve">понимается влияние кредитного риска контрагента на справедливую стоимость инструмента. CVA представляет собой разницу между справедливой стоимостью инструмента с учетом кредитного риска контрагента и справедливой стоимостью инструмента в случае, если контрагент является </w:t>
      </w:r>
      <w:proofErr w:type="spellStart"/>
      <w:r w:rsidRPr="00C7795A">
        <w:t>безрисковым</w:t>
      </w:r>
      <w:proofErr w:type="spellEnd"/>
      <w:r w:rsidRPr="00C7795A">
        <w:t>.</w:t>
      </w:r>
    </w:p>
    <w:p w:rsidR="00A4755C" w:rsidRPr="00A40660" w:rsidRDefault="00A4755C" w:rsidP="00A40660">
      <w:pPr>
        <w:pStyle w:val="a6"/>
        <w:numPr>
          <w:ilvl w:val="1"/>
          <w:numId w:val="12"/>
        </w:numPr>
        <w:spacing w:after="120"/>
        <w:ind w:left="709" w:hanging="567"/>
        <w:jc w:val="both"/>
      </w:pPr>
      <w:r w:rsidRPr="00A40660">
        <w:t xml:space="preserve">Данный документ описывает </w:t>
      </w:r>
      <w:r>
        <w:t xml:space="preserve">базовый метод </w:t>
      </w:r>
      <w:r w:rsidRPr="00A40660">
        <w:t>расчет</w:t>
      </w:r>
      <w:r>
        <w:t>а</w:t>
      </w:r>
      <w:r w:rsidRPr="00A40660">
        <w:t xml:space="preserve"> величины CVA</w:t>
      </w:r>
      <w:r>
        <w:t>. В</w:t>
      </w:r>
      <w:r w:rsidRPr="00A40660">
        <w:t xml:space="preserve"> </w:t>
      </w:r>
      <w:r>
        <w:t>нем</w:t>
      </w:r>
      <w:r w:rsidRPr="00A40660">
        <w:t xml:space="preserve"> собра</w:t>
      </w:r>
      <w:r>
        <w:t>ны</w:t>
      </w:r>
      <w:r w:rsidRPr="00A40660">
        <w:t xml:space="preserve"> воедино все компоненты модели оценки CVA и да</w:t>
      </w:r>
      <w:r>
        <w:t>но</w:t>
      </w:r>
      <w:r w:rsidRPr="00A40660">
        <w:t xml:space="preserve"> пошаговое описание алгоритма в применени</w:t>
      </w:r>
      <w:r>
        <w:t>и</w:t>
      </w:r>
      <w:r w:rsidRPr="00A40660">
        <w:t xml:space="preserve"> к наиболее распространенным финансовым инструментам</w:t>
      </w:r>
      <w:r>
        <w:t>.</w:t>
      </w:r>
    </w:p>
    <w:p w:rsidR="00A4755C" w:rsidRPr="002541AC" w:rsidRDefault="00A4755C" w:rsidP="002F710D"/>
    <w:p w:rsidR="00A4755C" w:rsidRPr="002541AC" w:rsidRDefault="00A4755C" w:rsidP="00C7795A">
      <w:pPr>
        <w:pStyle w:val="1"/>
        <w:keepLines w:val="0"/>
        <w:numPr>
          <w:ilvl w:val="0"/>
          <w:numId w:val="12"/>
        </w:numPr>
        <w:pBdr>
          <w:bottom w:val="single" w:sz="4" w:space="0" w:color="auto"/>
        </w:pBdr>
        <w:autoSpaceDE w:val="0"/>
        <w:autoSpaceDN w:val="0"/>
        <w:spacing w:before="0" w:after="240"/>
        <w:jc w:val="both"/>
        <w:rPr>
          <w:rFonts w:ascii="Times New Roman" w:hAnsi="Times New Roman" w:cs="Arial"/>
          <w:color w:val="auto"/>
          <w:kern w:val="32"/>
          <w:sz w:val="32"/>
          <w:szCs w:val="32"/>
        </w:rPr>
      </w:pPr>
      <w:bookmarkStart w:id="10" w:name="_Toc340832281"/>
      <w:r>
        <w:rPr>
          <w:rFonts w:ascii="Times New Roman" w:hAnsi="Times New Roman" w:cs="Arial"/>
          <w:color w:val="auto"/>
          <w:kern w:val="32"/>
          <w:sz w:val="32"/>
          <w:szCs w:val="32"/>
        </w:rPr>
        <w:t xml:space="preserve">Описание модели расчета </w:t>
      </w:r>
      <w:r w:rsidRPr="002541AC">
        <w:rPr>
          <w:rFonts w:ascii="Times New Roman" w:hAnsi="Times New Roman" w:cs="Arial"/>
          <w:color w:val="auto"/>
          <w:kern w:val="32"/>
          <w:sz w:val="32"/>
          <w:szCs w:val="32"/>
        </w:rPr>
        <w:t>CVA</w:t>
      </w:r>
      <w:bookmarkEnd w:id="10"/>
      <w:r w:rsidRPr="002541AC">
        <w:rPr>
          <w:rFonts w:ascii="Times New Roman" w:hAnsi="Times New Roman" w:cs="Arial"/>
          <w:color w:val="auto"/>
          <w:kern w:val="32"/>
          <w:sz w:val="32"/>
          <w:szCs w:val="32"/>
        </w:rPr>
        <w:t xml:space="preserve"> </w:t>
      </w:r>
    </w:p>
    <w:p w:rsidR="00A4755C" w:rsidRPr="00A40660" w:rsidRDefault="00A4755C" w:rsidP="00A40660">
      <w:pPr>
        <w:pStyle w:val="2"/>
        <w:keepLines w:val="0"/>
        <w:numPr>
          <w:ilvl w:val="1"/>
          <w:numId w:val="12"/>
        </w:numPr>
        <w:tabs>
          <w:tab w:val="num" w:pos="567"/>
        </w:tabs>
        <w:spacing w:before="240" w:after="240"/>
        <w:ind w:left="567" w:hanging="431"/>
        <w:jc w:val="both"/>
        <w:rPr>
          <w:rFonts w:ascii="Times New Roman" w:hAnsi="Times New Roman"/>
          <w:iCs/>
          <w:color w:val="auto"/>
          <w:sz w:val="24"/>
          <w:szCs w:val="24"/>
          <w:lang w:eastAsia="en-US"/>
        </w:rPr>
      </w:pPr>
      <w:bookmarkStart w:id="11" w:name="_Toc340832282"/>
      <w:r w:rsidRPr="00A40660">
        <w:rPr>
          <w:rFonts w:ascii="Times New Roman" w:hAnsi="Times New Roman"/>
          <w:iCs/>
          <w:color w:val="auto"/>
          <w:sz w:val="24"/>
          <w:szCs w:val="24"/>
          <w:lang w:eastAsia="en-US"/>
        </w:rPr>
        <w:t>Понятие CVA</w:t>
      </w:r>
      <w:r>
        <w:rPr>
          <w:rFonts w:ascii="Times New Roman" w:hAnsi="Times New Roman"/>
          <w:iCs/>
          <w:color w:val="auto"/>
          <w:sz w:val="24"/>
          <w:szCs w:val="24"/>
          <w:lang w:eastAsia="en-US"/>
        </w:rPr>
        <w:t xml:space="preserve"> и</w:t>
      </w:r>
      <w:r>
        <w:rPr>
          <w:rFonts w:ascii="Times New Roman" w:hAnsi="Times New Roman"/>
          <w:iCs/>
          <w:color w:val="auto"/>
          <w:sz w:val="24"/>
          <w:szCs w:val="24"/>
          <w:lang w:val="en-US" w:eastAsia="en-US"/>
        </w:rPr>
        <w:t xml:space="preserve"> DVA</w:t>
      </w:r>
      <w:bookmarkEnd w:id="11"/>
    </w:p>
    <w:p w:rsidR="00A4755C" w:rsidRDefault="00A4755C" w:rsidP="00A40660">
      <w:pPr>
        <w:numPr>
          <w:ilvl w:val="2"/>
          <w:numId w:val="12"/>
        </w:numPr>
        <w:tabs>
          <w:tab w:val="num" w:pos="1134"/>
        </w:tabs>
        <w:autoSpaceDE w:val="0"/>
        <w:autoSpaceDN w:val="0"/>
        <w:spacing w:after="240"/>
        <w:ind w:left="1134" w:hanging="709"/>
        <w:jc w:val="both"/>
      </w:pPr>
      <w:r w:rsidRPr="00A40660">
        <w:t>В общем случае кредитный риск (</w:t>
      </w:r>
      <w:proofErr w:type="spellStart"/>
      <w:r w:rsidRPr="00A40660">
        <w:t>Counterparty</w:t>
      </w:r>
      <w:proofErr w:type="spellEnd"/>
      <w:r w:rsidRPr="00A40660">
        <w:t xml:space="preserve"> </w:t>
      </w:r>
      <w:proofErr w:type="spellStart"/>
      <w:r w:rsidRPr="00A40660">
        <w:t>Credit</w:t>
      </w:r>
      <w:proofErr w:type="spellEnd"/>
      <w:r w:rsidRPr="00A40660">
        <w:t xml:space="preserve"> </w:t>
      </w:r>
      <w:proofErr w:type="spellStart"/>
      <w:r w:rsidRPr="00A40660">
        <w:t>Risk</w:t>
      </w:r>
      <w:proofErr w:type="spellEnd"/>
      <w:r w:rsidRPr="00A40660">
        <w:t xml:space="preserve"> – CCR) – это риск потерь, в результате дефолта контрагента по сделке. Дефолт в данном случае понимается в широком смысле и включает любое событие, приводящее к невыполнению обязательств по сделке. Однако инвестор несет потери только тогда, когда стоимость сделки (или портфеля сделок с одним контрагентом) в момент дефолта – положительна, т.е. сделка в этот момент представляет собой актив для</w:t>
      </w:r>
      <w:r>
        <w:t xml:space="preserve"> инвестора, а не обязательство</w:t>
      </w:r>
      <w:r w:rsidRPr="00A40660">
        <w:rPr>
          <w:vertAlign w:val="superscript"/>
        </w:rPr>
        <w:footnoteReference w:id="1"/>
      </w:r>
      <w:r w:rsidRPr="00A40660">
        <w:t>.</w:t>
      </w:r>
    </w:p>
    <w:p w:rsidR="00A4755C" w:rsidRPr="00A40660" w:rsidRDefault="00A4755C" w:rsidP="00A40660">
      <w:pPr>
        <w:numPr>
          <w:ilvl w:val="2"/>
          <w:numId w:val="12"/>
        </w:numPr>
        <w:tabs>
          <w:tab w:val="num" w:pos="1134"/>
        </w:tabs>
        <w:autoSpaceDE w:val="0"/>
        <w:autoSpaceDN w:val="0"/>
        <w:spacing w:after="240"/>
        <w:ind w:left="1134" w:hanging="709"/>
        <w:jc w:val="both"/>
      </w:pPr>
      <w:proofErr w:type="spellStart"/>
      <w:r w:rsidRPr="00A40660">
        <w:t>Credit</w:t>
      </w:r>
      <w:proofErr w:type="spellEnd"/>
      <w:r w:rsidRPr="00A40660">
        <w:t xml:space="preserve"> </w:t>
      </w:r>
      <w:proofErr w:type="spellStart"/>
      <w:r w:rsidRPr="00A40660">
        <w:t>Valuation</w:t>
      </w:r>
      <w:proofErr w:type="spellEnd"/>
      <w:r w:rsidRPr="00A40660">
        <w:t xml:space="preserve"> </w:t>
      </w:r>
      <w:proofErr w:type="spellStart"/>
      <w:r w:rsidRPr="00A40660">
        <w:t>Adjustment</w:t>
      </w:r>
      <w:proofErr w:type="spellEnd"/>
      <w:r w:rsidRPr="00A40660">
        <w:t xml:space="preserve"> (CVA) учитывает влияние кредитного риска контрагента на справедливую стоимость инструмента. CVA определяется как разница между справедливой стоимостью финансового инструмента (полагая, что контрагент – </w:t>
      </w:r>
      <w:proofErr w:type="spellStart"/>
      <w:r w:rsidRPr="00A40660">
        <w:t>безрисковый</w:t>
      </w:r>
      <w:proofErr w:type="spellEnd"/>
      <w:r w:rsidRPr="00A40660">
        <w:t>) и стоимостью, отражающей риск дефолта контрагента.</w:t>
      </w:r>
    </w:p>
    <w:p w:rsidR="00A4755C" w:rsidRPr="00C7795A" w:rsidRDefault="00A4755C" w:rsidP="00C7795A">
      <w:pPr>
        <w:jc w:val="center"/>
      </w:pPr>
      <w:r w:rsidRPr="002A0701">
        <w:rPr>
          <w:i/>
          <w:lang w:val="en-US"/>
        </w:rPr>
        <w:t>CVA</w:t>
      </w:r>
      <w:r w:rsidRPr="002A0701">
        <w:rPr>
          <w:i/>
        </w:rPr>
        <w:t xml:space="preserve"> = Справедливая Стоимость (без учета кредитного риска контрагента) – Справедливая Стоимость (с учетом кредитного риска контрагента)</w:t>
      </w:r>
    </w:p>
    <w:p w:rsidR="00A4755C" w:rsidRDefault="00A4755C" w:rsidP="00C7795A"/>
    <w:p w:rsidR="00A4755C" w:rsidRPr="00A40660" w:rsidRDefault="00A4755C" w:rsidP="00A40660">
      <w:pPr>
        <w:numPr>
          <w:ilvl w:val="2"/>
          <w:numId w:val="12"/>
        </w:numPr>
        <w:tabs>
          <w:tab w:val="num" w:pos="1134"/>
        </w:tabs>
        <w:autoSpaceDE w:val="0"/>
        <w:autoSpaceDN w:val="0"/>
        <w:spacing w:after="240"/>
        <w:ind w:left="1134" w:hanging="709"/>
        <w:jc w:val="both"/>
      </w:pPr>
      <w:r>
        <w:t>В общем случае</w:t>
      </w:r>
      <w:r w:rsidRPr="00A40660">
        <w:t xml:space="preserve"> величина CVA – не является аддитивной. Значение CVA портфеля инструментов не равно сумме CVA по каждому инструменту. В связи с этим, при применении к портфелю инструментов, величина CVA должна рассчитываться сразу по всем инструментам с данным контрагентом</w:t>
      </w:r>
      <w:r>
        <w:t xml:space="preserve"> с учетом </w:t>
      </w:r>
      <w:proofErr w:type="spellStart"/>
      <w:r>
        <w:t>неттинга</w:t>
      </w:r>
      <w:proofErr w:type="spellEnd"/>
      <w:r w:rsidRPr="00A40660">
        <w:t xml:space="preserve">. </w:t>
      </w:r>
    </w:p>
    <w:p w:rsidR="00A4755C" w:rsidRPr="00A40660" w:rsidRDefault="00A4755C" w:rsidP="00A40660">
      <w:pPr>
        <w:numPr>
          <w:ilvl w:val="2"/>
          <w:numId w:val="12"/>
        </w:numPr>
        <w:tabs>
          <w:tab w:val="num" w:pos="1134"/>
        </w:tabs>
        <w:autoSpaceDE w:val="0"/>
        <w:autoSpaceDN w:val="0"/>
        <w:spacing w:after="240"/>
        <w:ind w:left="1134" w:hanging="709"/>
        <w:jc w:val="both"/>
      </w:pPr>
      <w:r w:rsidRPr="00A40660">
        <w:lastRenderedPageBreak/>
        <w:t xml:space="preserve">При корректировке справедливой стоимости финансового инструмента может также учитываться собственный кредитный риск (так называемый </w:t>
      </w:r>
      <w:proofErr w:type="spellStart"/>
      <w:r w:rsidRPr="00A40660">
        <w:t>bilateral</w:t>
      </w:r>
      <w:proofErr w:type="spellEnd"/>
      <w:r w:rsidRPr="00A40660">
        <w:t xml:space="preserve"> CVA или DVA – </w:t>
      </w:r>
      <w:proofErr w:type="spellStart"/>
      <w:r w:rsidRPr="00A40660">
        <w:t>debit</w:t>
      </w:r>
      <w:proofErr w:type="spellEnd"/>
      <w:r w:rsidRPr="00A40660">
        <w:t xml:space="preserve"> </w:t>
      </w:r>
      <w:proofErr w:type="spellStart"/>
      <w:r w:rsidRPr="00A40660">
        <w:t>valuation</w:t>
      </w:r>
      <w:proofErr w:type="spellEnd"/>
      <w:r w:rsidRPr="00A40660">
        <w:t xml:space="preserve"> </w:t>
      </w:r>
      <w:proofErr w:type="spellStart"/>
      <w:r w:rsidRPr="00A40660">
        <w:t>adjustment</w:t>
      </w:r>
      <w:proofErr w:type="spellEnd"/>
      <w:r w:rsidRPr="00A40660">
        <w:t xml:space="preserve">). </w:t>
      </w:r>
    </w:p>
    <w:p w:rsidR="00A4755C" w:rsidRPr="00A40660" w:rsidRDefault="00A4755C" w:rsidP="00A40660">
      <w:pPr>
        <w:jc w:val="center"/>
        <w:rPr>
          <w:i/>
        </w:rPr>
      </w:pPr>
      <w:r w:rsidRPr="00266BD8">
        <w:rPr>
          <w:i/>
          <w:lang w:val="en-US"/>
        </w:rPr>
        <w:t>DVA</w:t>
      </w:r>
      <w:r w:rsidRPr="00A40660">
        <w:rPr>
          <w:i/>
        </w:rPr>
        <w:t xml:space="preserve"> = Справедливая Стоимость (с учетом кредитного риска контрагента) – Справедливая Стоимость (без учета собственного кредитного риска)</w:t>
      </w:r>
    </w:p>
    <w:p w:rsidR="00A4755C" w:rsidRDefault="00A4755C" w:rsidP="00C7795A"/>
    <w:p w:rsidR="00A4755C" w:rsidRPr="00A40660" w:rsidRDefault="00A4755C" w:rsidP="00B929FE">
      <w:pPr>
        <w:pStyle w:val="2"/>
        <w:keepLines w:val="0"/>
        <w:numPr>
          <w:ilvl w:val="1"/>
          <w:numId w:val="12"/>
        </w:numPr>
        <w:tabs>
          <w:tab w:val="num" w:pos="567"/>
        </w:tabs>
        <w:spacing w:before="240" w:after="240"/>
        <w:ind w:left="567" w:hanging="431"/>
        <w:jc w:val="both"/>
        <w:rPr>
          <w:rFonts w:ascii="Times New Roman" w:hAnsi="Times New Roman"/>
          <w:iCs/>
          <w:color w:val="auto"/>
          <w:sz w:val="24"/>
          <w:szCs w:val="24"/>
          <w:lang w:eastAsia="en-US"/>
        </w:rPr>
      </w:pPr>
      <w:r w:rsidRPr="00B929FE">
        <w:rPr>
          <w:rFonts w:ascii="Times New Roman" w:hAnsi="Times New Roman"/>
          <w:iCs/>
          <w:color w:val="auto"/>
          <w:sz w:val="24"/>
          <w:szCs w:val="24"/>
          <w:lang w:eastAsia="en-US"/>
        </w:rPr>
        <w:tab/>
      </w:r>
      <w:bookmarkStart w:id="12" w:name="_Toc340832283"/>
      <w:r w:rsidRPr="00B929FE">
        <w:rPr>
          <w:rFonts w:ascii="Times New Roman" w:hAnsi="Times New Roman"/>
          <w:iCs/>
          <w:color w:val="auto"/>
          <w:sz w:val="24"/>
          <w:szCs w:val="24"/>
          <w:lang w:eastAsia="en-US"/>
        </w:rPr>
        <w:t>Краткое описание модели CVA</w:t>
      </w:r>
      <w:bookmarkEnd w:id="12"/>
    </w:p>
    <w:p w:rsidR="00A4755C" w:rsidRDefault="00A4755C" w:rsidP="00B929FE">
      <w:pPr>
        <w:numPr>
          <w:ilvl w:val="2"/>
          <w:numId w:val="12"/>
        </w:numPr>
        <w:autoSpaceDE w:val="0"/>
        <w:autoSpaceDN w:val="0"/>
        <w:spacing w:after="240"/>
        <w:ind w:left="1134" w:hanging="709"/>
        <w:jc w:val="both"/>
      </w:pPr>
      <w:r w:rsidRPr="00C7795A">
        <w:t xml:space="preserve">При наступлении дефолта в момент времени </w:t>
      </w:r>
      <w:r w:rsidRPr="00C7795A">
        <w:rPr>
          <w:i/>
        </w:rPr>
        <w:t>t*</w:t>
      </w:r>
      <w:r w:rsidRPr="00C7795A">
        <w:t xml:space="preserve"> (</w:t>
      </w:r>
      <w:r w:rsidRPr="00C7795A">
        <w:rPr>
          <w:i/>
        </w:rPr>
        <w:t>t*≤T</w:t>
      </w:r>
      <w:r w:rsidRPr="00C7795A">
        <w:t>) потери по контракту составляют:</w:t>
      </w:r>
    </w:p>
    <w:p w:rsidR="00A4755C" w:rsidRPr="00C7795A" w:rsidRDefault="004D5B59" w:rsidP="00B929FE">
      <w:pPr>
        <w:autoSpaceDE w:val="0"/>
        <w:autoSpaceDN w:val="0"/>
        <w:spacing w:after="240"/>
        <w:ind w:left="3544"/>
        <w:jc w:val="both"/>
      </w:pPr>
      <m:oMath>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m:t>
                </m:r>
              </m:sub>
            </m:sSub>
          </m:e>
        </m:d>
        <m:func>
          <m:funcPr>
            <m:ctrlPr>
              <w:rPr>
                <w:rFonts w:ascii="Cambria Math" w:hAnsi="Cambria Math"/>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e>
                </m:d>
                <m:r>
                  <w:rPr>
                    <w:rFonts w:ascii="Cambria Math" w:hAnsi="Cambria Math"/>
                  </w:rPr>
                  <m:t>,0</m:t>
                </m:r>
              </m:e>
            </m:d>
          </m:e>
        </m:func>
      </m:oMath>
      <w:r w:rsidR="00A4755C">
        <w:tab/>
      </w:r>
      <w:r w:rsidR="00A4755C">
        <w:tab/>
      </w:r>
      <w:r w:rsidR="00A4755C">
        <w:tab/>
      </w:r>
      <w:r w:rsidR="00A4755C">
        <w:tab/>
        <w:t xml:space="preserve">         (1)</w:t>
      </w:r>
    </w:p>
    <w:p w:rsidR="00A4755C" w:rsidRDefault="00A4755C" w:rsidP="00B929FE">
      <w:pPr>
        <w:spacing w:after="120"/>
        <w:ind w:firstLine="1134"/>
        <w:jc w:val="both"/>
      </w:pPr>
      <w:r>
        <w:t xml:space="preserve">где </w:t>
      </w:r>
    </w:p>
    <w:p w:rsidR="00A4755C" w:rsidRPr="00C7795A" w:rsidRDefault="00A4755C" w:rsidP="00B929FE">
      <w:pPr>
        <w:spacing w:after="120"/>
        <w:ind w:left="1134"/>
        <w:jc w:val="both"/>
      </w:pPr>
      <w:proofErr w:type="gramStart"/>
      <w:r w:rsidRPr="00C7795A">
        <w:rPr>
          <w:i/>
          <w:lang w:val="en-US"/>
        </w:rPr>
        <w:t>t</w:t>
      </w:r>
      <w:proofErr w:type="gramEnd"/>
      <w:r w:rsidRPr="00C7795A">
        <w:rPr>
          <w:i/>
          <w:vertAlign w:val="superscript"/>
        </w:rPr>
        <w:t>*</w:t>
      </w:r>
      <w:r w:rsidRPr="00C7795A">
        <w:t xml:space="preserve"> – момент наступления события дефолта</w:t>
      </w:r>
      <w:r>
        <w:t>,</w:t>
      </w:r>
    </w:p>
    <w:p w:rsidR="00A4755C" w:rsidRPr="00C7795A" w:rsidRDefault="00A4755C" w:rsidP="00B929FE">
      <w:pPr>
        <w:spacing w:after="120"/>
        <w:ind w:left="1134"/>
        <w:jc w:val="both"/>
      </w:pPr>
      <w:proofErr w:type="gramStart"/>
      <w:r w:rsidRPr="00C7795A">
        <w:rPr>
          <w:i/>
          <w:lang w:val="en-US"/>
        </w:rPr>
        <w:t>V</w:t>
      </w:r>
      <w:r w:rsidRPr="00C7795A">
        <w:rPr>
          <w:i/>
        </w:rPr>
        <w:t>(</w:t>
      </w:r>
      <w:proofErr w:type="gramEnd"/>
      <w:r w:rsidRPr="00C7795A">
        <w:rPr>
          <w:i/>
          <w:lang w:val="en-US"/>
        </w:rPr>
        <w:t>t</w:t>
      </w:r>
      <w:r w:rsidRPr="00C7795A">
        <w:rPr>
          <w:i/>
          <w:vertAlign w:val="superscript"/>
        </w:rPr>
        <w:t>*</w:t>
      </w:r>
      <w:r w:rsidRPr="00C7795A">
        <w:rPr>
          <w:i/>
        </w:rPr>
        <w:t>)</w:t>
      </w:r>
      <w:r w:rsidRPr="00C7795A">
        <w:t xml:space="preserve"> – стоимость инструмента в момент времени </w:t>
      </w:r>
      <w:r w:rsidRPr="00C7795A">
        <w:rPr>
          <w:i/>
          <w:lang w:val="en-US"/>
        </w:rPr>
        <w:t>t</w:t>
      </w:r>
      <w:r w:rsidRPr="00C7795A">
        <w:rPr>
          <w:i/>
          <w:vertAlign w:val="superscript"/>
        </w:rPr>
        <w:t>*</w:t>
      </w:r>
      <w:r w:rsidRPr="00C7795A">
        <w:t>,</w:t>
      </w:r>
    </w:p>
    <w:p w:rsidR="00A4755C" w:rsidRPr="00C7795A" w:rsidRDefault="00A4755C" w:rsidP="00B929FE">
      <w:pPr>
        <w:pStyle w:val="a6"/>
        <w:spacing w:after="120"/>
        <w:ind w:left="1134"/>
        <w:jc w:val="both"/>
      </w:pPr>
      <w:proofErr w:type="spellStart"/>
      <w:r w:rsidRPr="00870BE4">
        <w:rPr>
          <w:i/>
          <w:lang w:val="en-US"/>
        </w:rPr>
        <w:t>R</w:t>
      </w:r>
      <w:r w:rsidRPr="00870BE4">
        <w:rPr>
          <w:i/>
          <w:vertAlign w:val="subscript"/>
          <w:lang w:val="en-US"/>
        </w:rPr>
        <w:t>v</w:t>
      </w:r>
      <w:proofErr w:type="spellEnd"/>
      <w:r w:rsidRPr="00B728AA">
        <w:t xml:space="preserve"> – </w:t>
      </w:r>
      <w:r>
        <w:t xml:space="preserve">значение </w:t>
      </w:r>
      <w:r w:rsidRPr="00870BE4">
        <w:rPr>
          <w:lang w:val="en-US"/>
        </w:rPr>
        <w:t>recovery</w:t>
      </w:r>
      <w:r w:rsidRPr="00B728AA">
        <w:t xml:space="preserve"> </w:t>
      </w:r>
      <w:r w:rsidRPr="00870BE4">
        <w:rPr>
          <w:lang w:val="en-US"/>
        </w:rPr>
        <w:t>rate</w:t>
      </w:r>
      <w:r>
        <w:t>, определяемое как процент</w:t>
      </w:r>
      <w:r w:rsidRPr="00B728AA">
        <w:t xml:space="preserve"> </w:t>
      </w:r>
      <w:r>
        <w:t>от</w:t>
      </w:r>
      <w:r w:rsidRPr="00B728AA">
        <w:t xml:space="preserve"> </w:t>
      </w:r>
      <w:proofErr w:type="gramStart"/>
      <w:r w:rsidRPr="0008380E">
        <w:rPr>
          <w:i/>
          <w:lang w:val="en-US"/>
        </w:rPr>
        <w:t>V</w:t>
      </w:r>
      <w:r w:rsidRPr="0008380E">
        <w:rPr>
          <w:i/>
        </w:rPr>
        <w:t>(</w:t>
      </w:r>
      <w:proofErr w:type="gramEnd"/>
      <w:r w:rsidRPr="0008380E">
        <w:rPr>
          <w:i/>
          <w:lang w:val="en-US"/>
        </w:rPr>
        <w:t>t</w:t>
      </w:r>
      <w:r w:rsidRPr="00173362">
        <w:rPr>
          <w:i/>
          <w:vertAlign w:val="superscript"/>
        </w:rPr>
        <w:t>*</w:t>
      </w:r>
      <w:r w:rsidRPr="0008380E">
        <w:rPr>
          <w:i/>
        </w:rPr>
        <w:t>)</w:t>
      </w:r>
      <w:r w:rsidRPr="00C7795A">
        <w:rPr>
          <w:i/>
        </w:rPr>
        <w:t>,</w:t>
      </w:r>
    </w:p>
    <w:p w:rsidR="00A4755C" w:rsidRPr="00C7795A" w:rsidRDefault="00A4755C" w:rsidP="00B929FE">
      <w:pPr>
        <w:pStyle w:val="a6"/>
        <w:spacing w:after="120"/>
        <w:ind w:left="1134"/>
        <w:jc w:val="both"/>
      </w:pPr>
      <w:r>
        <w:rPr>
          <w:i/>
          <w:lang w:val="en-US"/>
        </w:rPr>
        <w:t>T</w:t>
      </w:r>
      <w:r w:rsidRPr="00B728AA">
        <w:t xml:space="preserve"> –</w:t>
      </w:r>
      <w:r w:rsidRPr="00493CC7">
        <w:t xml:space="preserve"> </w:t>
      </w:r>
      <w:proofErr w:type="gramStart"/>
      <w:r>
        <w:t>время</w:t>
      </w:r>
      <w:proofErr w:type="gramEnd"/>
      <w:r>
        <w:t xml:space="preserve"> окончания контракта (</w:t>
      </w:r>
      <w:r>
        <w:rPr>
          <w:lang w:val="en-US"/>
        </w:rPr>
        <w:t>maturity</w:t>
      </w:r>
      <w:r>
        <w:t>)</w:t>
      </w:r>
    </w:p>
    <w:p w:rsidR="00A4755C" w:rsidRPr="00B728AA" w:rsidRDefault="00A4755C" w:rsidP="00B929FE"/>
    <w:p w:rsidR="00A4755C" w:rsidRPr="00C7795A" w:rsidRDefault="00A4755C" w:rsidP="00B929FE">
      <w:pPr>
        <w:numPr>
          <w:ilvl w:val="2"/>
          <w:numId w:val="12"/>
        </w:numPr>
        <w:autoSpaceDE w:val="0"/>
        <w:autoSpaceDN w:val="0"/>
        <w:spacing w:after="240"/>
        <w:ind w:left="1134" w:hanging="709"/>
        <w:jc w:val="both"/>
      </w:pPr>
      <w:r w:rsidRPr="00C7795A">
        <w:t xml:space="preserve">Т.е. </w:t>
      </w:r>
      <w:r>
        <w:t xml:space="preserve">мы </w:t>
      </w:r>
      <w:r w:rsidRPr="00C7795A">
        <w:t>несем потери только</w:t>
      </w:r>
      <w:r>
        <w:t>,</w:t>
      </w:r>
      <w:r w:rsidRPr="00C7795A">
        <w:t xml:space="preserve"> когда </w:t>
      </w:r>
      <w:r>
        <w:t xml:space="preserve">справедливая </w:t>
      </w:r>
      <w:r w:rsidRPr="00C7795A">
        <w:t xml:space="preserve">стоимость инструмента в момент обнаружения потерь при дефолте – положительная. При этом </w:t>
      </w:r>
      <w:r w:rsidRPr="00FE0361">
        <w:fldChar w:fldCharType="begin"/>
      </w:r>
      <w:r w:rsidRPr="00FE0361">
        <w:instrText xml:space="preserve"> QUOTE </w:instrText>
      </w:r>
      <w:r w:rsidR="008A4C8B">
        <w:rPr>
          <w:noProof/>
        </w:rPr>
        <w:drawing>
          <wp:inline distT="0" distB="0" distL="0" distR="0">
            <wp:extent cx="76200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r w:rsidRPr="00FE0361">
        <w:instrText xml:space="preserve"> </w:instrText>
      </w:r>
      <w:r w:rsidRPr="00FE0361">
        <w:fldChar w:fldCharType="separate"/>
      </w:r>
      <w:r w:rsidR="003371E2">
        <w:rPr>
          <w:noProof/>
        </w:rPr>
        <w:drawing>
          <wp:inline distT="0" distB="0" distL="0" distR="0">
            <wp:extent cx="762000" cy="1714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r w:rsidRPr="00FE0361">
        <w:fldChar w:fldCharType="end"/>
      </w:r>
      <w:r>
        <w:t xml:space="preserve"> представляет собой</w:t>
      </w:r>
      <w:r w:rsidRPr="00C7795A">
        <w:t xml:space="preserve"> выплаты по </w:t>
      </w:r>
      <w:proofErr w:type="spellStart"/>
      <w:r w:rsidRPr="00C7795A">
        <w:t>call</w:t>
      </w:r>
      <w:proofErr w:type="spellEnd"/>
      <w:r w:rsidRPr="00C7795A">
        <w:t xml:space="preserve"> опциону на рассматриваемый инструмент.</w:t>
      </w:r>
    </w:p>
    <w:p w:rsidR="00A4755C" w:rsidRPr="00F94E8E" w:rsidRDefault="00A4755C" w:rsidP="00B929FE"/>
    <w:p w:rsidR="00A4755C" w:rsidRPr="00F9558C" w:rsidRDefault="00A4755C" w:rsidP="00F9558C">
      <w:pPr>
        <w:numPr>
          <w:ilvl w:val="2"/>
          <w:numId w:val="12"/>
        </w:numPr>
        <w:autoSpaceDE w:val="0"/>
        <w:autoSpaceDN w:val="0"/>
        <w:spacing w:after="240"/>
        <w:ind w:left="1134" w:hanging="709"/>
        <w:jc w:val="both"/>
      </w:pPr>
      <w:r w:rsidRPr="00F9558C">
        <w:t>Если предположить независимость события дефолта и поведения стоимости контракта</w:t>
      </w:r>
      <w:r w:rsidRPr="00F9558C">
        <w:rPr>
          <w:vertAlign w:val="superscript"/>
        </w:rPr>
        <w:footnoteReference w:id="2"/>
      </w:r>
      <w:r w:rsidRPr="00F9558C">
        <w:t>, то за все время, начиная с текущего (нулевого) момента до момента окончания  контракта (T), ожидаемая приведенная стоимость потерь составит: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08"/>
      </w:tblGrid>
      <w:tr w:rsidR="001C44E6" w:rsidTr="001C44E6">
        <w:trPr>
          <w:trHeight w:val="170"/>
        </w:trPr>
        <w:tc>
          <w:tcPr>
            <w:tcW w:w="8472" w:type="dxa"/>
          </w:tcPr>
          <w:p w:rsidR="001C44E6" w:rsidRPr="00B728AA" w:rsidRDefault="001C44E6" w:rsidP="001C44E6">
            <w:pPr>
              <w:ind w:left="3402" w:firstLine="3402"/>
              <w:rPr>
                <w:rFonts w:eastAsiaTheme="minorEastAsia"/>
              </w:rPr>
            </w:pPr>
            <m:oMathPara>
              <m:oMathParaPr>
                <m:jc m:val="left"/>
              </m:oMathParaPr>
              <m:oMath>
                <m:r>
                  <w:rPr>
                    <w:rFonts w:ascii="Cambria Math" w:hAnsi="Cambria Math"/>
                    <w:lang w:val="en-US"/>
                  </w:rPr>
                  <m:t>CVA=</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m:t>
                        </m:r>
                      </m:sub>
                    </m:sSub>
                  </m:e>
                </m:d>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T</m:t>
                    </m:r>
                  </m:sup>
                  <m:e>
                    <m:r>
                      <w:rPr>
                        <w:rFonts w:ascii="Cambria Math" w:hAnsi="Cambria Math"/>
                        <w:lang w:val="en-US"/>
                      </w:rPr>
                      <m:t>C</m:t>
                    </m:r>
                    <m:d>
                      <m:dPr>
                        <m:ctrlPr>
                          <w:rPr>
                            <w:rFonts w:ascii="Cambria Math" w:hAnsi="Cambria Math"/>
                            <w:i/>
                            <w:lang w:val="en-US"/>
                          </w:rPr>
                        </m:ctrlPr>
                      </m:dPr>
                      <m:e>
                        <m:r>
                          <w:rPr>
                            <w:rFonts w:ascii="Cambria Math" w:hAnsi="Cambria Math"/>
                            <w:lang w:val="en-US"/>
                          </w:rPr>
                          <m:t>0,t</m:t>
                        </m:r>
                      </m:e>
                    </m:d>
                    <m:r>
                      <w:rPr>
                        <w:rFonts w:ascii="Cambria Math" w:hAnsi="Cambria Math"/>
                        <w:lang w:val="en-US"/>
                      </w:rPr>
                      <m:t>p</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m:oMathPara>
          </w:p>
        </w:tc>
        <w:tc>
          <w:tcPr>
            <w:tcW w:w="708" w:type="dxa"/>
            <w:vAlign w:val="center"/>
          </w:tcPr>
          <w:p w:rsidR="001C44E6" w:rsidRDefault="001C44E6" w:rsidP="001C44E6">
            <w:pPr>
              <w:jc w:val="right"/>
              <w:rPr>
                <w:rFonts w:eastAsiaTheme="minorEastAsia"/>
              </w:rPr>
            </w:pPr>
            <w:r>
              <w:rPr>
                <w:rFonts w:eastAsiaTheme="minorEastAsia"/>
              </w:rPr>
              <w:t>(2)</w:t>
            </w:r>
          </w:p>
        </w:tc>
      </w:tr>
    </w:tbl>
    <w:p w:rsidR="00A4755C" w:rsidRPr="00870BE4" w:rsidRDefault="00A4755C" w:rsidP="00F9558C">
      <w:pPr>
        <w:spacing w:after="120"/>
        <w:ind w:firstLine="1134"/>
        <w:jc w:val="both"/>
      </w:pPr>
      <w:r w:rsidRPr="00870BE4">
        <w:t>где</w:t>
      </w:r>
    </w:p>
    <w:p w:rsidR="00A4755C" w:rsidRPr="00F9558C" w:rsidRDefault="00A4755C" w:rsidP="00F9558C">
      <w:pPr>
        <w:spacing w:after="120"/>
        <w:ind w:left="1134"/>
        <w:jc w:val="both"/>
        <w:rPr>
          <w:i/>
        </w:rPr>
      </w:pPr>
      <w:proofErr w:type="gramStart"/>
      <w:r w:rsidRPr="00D54DAF">
        <w:rPr>
          <w:i/>
          <w:lang w:val="en-US"/>
        </w:rPr>
        <w:t>C</w:t>
      </w:r>
      <w:r w:rsidRPr="00F9558C">
        <w:rPr>
          <w:i/>
        </w:rPr>
        <w:t>(</w:t>
      </w:r>
      <w:proofErr w:type="gramEnd"/>
      <w:r w:rsidRPr="00F9558C">
        <w:rPr>
          <w:i/>
        </w:rPr>
        <w:t>0,</w:t>
      </w:r>
      <w:r w:rsidRPr="00D54DAF">
        <w:rPr>
          <w:i/>
          <w:lang w:val="en-US"/>
        </w:rPr>
        <w:t>T</w:t>
      </w:r>
      <w:r w:rsidRPr="00F9558C">
        <w:rPr>
          <w:i/>
        </w:rPr>
        <w:t>)</w:t>
      </w:r>
      <w:r>
        <w:rPr>
          <w:i/>
        </w:rPr>
        <w:t xml:space="preserve"> </w:t>
      </w:r>
      <w:r w:rsidRPr="00F9558C">
        <w:rPr>
          <w:i/>
        </w:rPr>
        <w:t xml:space="preserve">– </w:t>
      </w:r>
      <w:r w:rsidRPr="00F9558C">
        <w:t>приведенная (дисконтированная к текущему моменту времени) ожидаемая стоимость величины, подверженной кредитному риску (</w:t>
      </w:r>
      <w:r w:rsidRPr="00F9558C">
        <w:rPr>
          <w:lang w:val="en-US"/>
        </w:rPr>
        <w:t>max</w:t>
      </w:r>
      <w:r w:rsidRPr="00F9558C">
        <w:t>{</w:t>
      </w:r>
      <w:r w:rsidRPr="00F9558C">
        <w:rPr>
          <w:lang w:val="en-US"/>
        </w:rPr>
        <w:t>V</w:t>
      </w:r>
      <w:r w:rsidRPr="00F9558C">
        <w:t>(</w:t>
      </w:r>
      <w:r w:rsidRPr="00F9558C">
        <w:rPr>
          <w:lang w:val="en-US"/>
        </w:rPr>
        <w:t>T</w:t>
      </w:r>
      <w:r w:rsidRPr="00F9558C">
        <w:t xml:space="preserve">),0}). Т.е. справедливая стоимость в момент времени 0 европейского </w:t>
      </w:r>
      <w:r w:rsidRPr="00F9558C">
        <w:rPr>
          <w:lang w:val="en-US"/>
        </w:rPr>
        <w:t>call</w:t>
      </w:r>
      <w:r w:rsidRPr="00F9558C">
        <w:t xml:space="preserve"> опциона на рассматриваемый инструмент с датой окончания </w:t>
      </w:r>
      <w:r w:rsidRPr="00F9558C">
        <w:rPr>
          <w:lang w:val="en-US"/>
        </w:rPr>
        <w:t>T</w:t>
      </w:r>
      <w:r w:rsidRPr="00F9558C">
        <w:t>,</w:t>
      </w:r>
    </w:p>
    <w:p w:rsidR="00A4755C" w:rsidRPr="00F9558C" w:rsidRDefault="00A4755C" w:rsidP="00F9558C">
      <w:pPr>
        <w:spacing w:after="120"/>
        <w:ind w:left="1134"/>
        <w:jc w:val="both"/>
        <w:rPr>
          <w:i/>
        </w:rPr>
      </w:pPr>
      <w:proofErr w:type="gramStart"/>
      <w:r w:rsidRPr="00D54DAF">
        <w:rPr>
          <w:i/>
          <w:lang w:val="en-US"/>
        </w:rPr>
        <w:t>p</w:t>
      </w:r>
      <w:r w:rsidRPr="00F9558C">
        <w:rPr>
          <w:i/>
        </w:rPr>
        <w:t>(</w:t>
      </w:r>
      <w:proofErr w:type="gramEnd"/>
      <w:r w:rsidRPr="00D54DAF">
        <w:rPr>
          <w:i/>
          <w:lang w:val="en-US"/>
        </w:rPr>
        <w:t>t</w:t>
      </w:r>
      <w:r w:rsidRPr="00F9558C">
        <w:rPr>
          <w:i/>
        </w:rPr>
        <w:t xml:space="preserve">) – </w:t>
      </w:r>
      <w:r w:rsidRPr="00F9558C">
        <w:t>функция плотности распределения времени до дефолта контрагента,</w:t>
      </w:r>
    </w:p>
    <w:p w:rsidR="00A4755C" w:rsidRPr="00F9558C" w:rsidRDefault="00A4755C" w:rsidP="00F9558C">
      <w:pPr>
        <w:spacing w:after="120"/>
        <w:ind w:left="1134"/>
        <w:jc w:val="both"/>
        <w:rPr>
          <w:i/>
          <w:lang w:val="en-US"/>
        </w:rPr>
      </w:pPr>
      <w:proofErr w:type="spellStart"/>
      <w:r w:rsidRPr="00F9558C">
        <w:rPr>
          <w:i/>
          <w:lang w:val="en-US"/>
        </w:rPr>
        <w:t>Rv</w:t>
      </w:r>
      <w:proofErr w:type="spellEnd"/>
      <w:r w:rsidRPr="00F9558C">
        <w:rPr>
          <w:i/>
          <w:lang w:val="en-US"/>
        </w:rPr>
        <w:t xml:space="preserve"> – </w:t>
      </w:r>
      <w:r w:rsidRPr="00F9558C">
        <w:rPr>
          <w:lang w:val="en-US"/>
        </w:rPr>
        <w:t>recovery rate (</w:t>
      </w:r>
      <w:proofErr w:type="spellStart"/>
      <w:r w:rsidRPr="00F9558C">
        <w:rPr>
          <w:lang w:val="en-US"/>
        </w:rPr>
        <w:t>процент</w:t>
      </w:r>
      <w:proofErr w:type="spellEnd"/>
      <w:r w:rsidRPr="00F9558C">
        <w:rPr>
          <w:lang w:val="en-US"/>
        </w:rPr>
        <w:t xml:space="preserve"> </w:t>
      </w:r>
      <w:proofErr w:type="spellStart"/>
      <w:r w:rsidRPr="00F9558C">
        <w:rPr>
          <w:lang w:val="en-US"/>
        </w:rPr>
        <w:t>от</w:t>
      </w:r>
      <w:proofErr w:type="spellEnd"/>
      <w:r w:rsidRPr="00F9558C">
        <w:rPr>
          <w:lang w:val="en-US"/>
        </w:rPr>
        <w:t xml:space="preserve"> </w:t>
      </w:r>
      <w:proofErr w:type="gramStart"/>
      <w:r w:rsidRPr="00F9558C">
        <w:rPr>
          <w:i/>
          <w:lang w:val="en-US"/>
        </w:rPr>
        <w:t>V(</w:t>
      </w:r>
      <w:proofErr w:type="gramEnd"/>
      <w:r w:rsidRPr="00F9558C">
        <w:rPr>
          <w:i/>
          <w:lang w:val="en-US"/>
        </w:rPr>
        <w:t>t)</w:t>
      </w:r>
      <w:r w:rsidRPr="00F9558C">
        <w:rPr>
          <w:lang w:val="en-US"/>
        </w:rPr>
        <w:t>)</w:t>
      </w:r>
      <w:r>
        <w:rPr>
          <w:lang w:val="en-US"/>
        </w:rPr>
        <w:t>.</w:t>
      </w:r>
    </w:p>
    <w:p w:rsidR="00A4755C" w:rsidRPr="00B929FE" w:rsidRDefault="00A4755C" w:rsidP="00B929FE">
      <w:pPr>
        <w:rPr>
          <w:lang w:val="en-US"/>
        </w:rPr>
      </w:pPr>
    </w:p>
    <w:p w:rsidR="00A4755C" w:rsidRPr="00F9558C" w:rsidRDefault="00A4755C" w:rsidP="00F9558C">
      <w:pPr>
        <w:numPr>
          <w:ilvl w:val="2"/>
          <w:numId w:val="12"/>
        </w:numPr>
        <w:autoSpaceDE w:val="0"/>
        <w:autoSpaceDN w:val="0"/>
        <w:spacing w:after="240"/>
        <w:ind w:left="1134" w:hanging="709"/>
        <w:jc w:val="both"/>
      </w:pPr>
      <w:r w:rsidRPr="00F9558C">
        <w:lastRenderedPageBreak/>
        <w:t>В рамках данной модели делаем предположение, что, несмотря на время возникновения дефолта, потери по нему будут понесены только во время очередной плановой выплаты по контракту. Для простых инструментов с одной датой выплаты, таких как форварды – это момент окончания контракта T. В этом случае из (2) получаем:</w:t>
      </w:r>
    </w:p>
    <w:tbl>
      <w:tblPr>
        <w:tblStyle w:val="a8"/>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95"/>
        <w:gridCol w:w="577"/>
      </w:tblGrid>
      <w:tr w:rsidR="001C44E6" w:rsidTr="001C44E6">
        <w:trPr>
          <w:trHeight w:val="117"/>
        </w:trPr>
        <w:tc>
          <w:tcPr>
            <w:tcW w:w="9195" w:type="dxa"/>
          </w:tcPr>
          <w:p w:rsidR="001C44E6" w:rsidRPr="0066134D" w:rsidRDefault="001C44E6" w:rsidP="001C44E6">
            <w:pPr>
              <w:rPr>
                <w:rFonts w:eastAsiaTheme="minorEastAsia"/>
              </w:rPr>
            </w:pPr>
            <m:oMathPara>
              <m:oMathParaPr>
                <m:jc m:val="left"/>
              </m:oMathParaPr>
              <m:oMath>
                <m:r>
                  <w:rPr>
                    <w:rFonts w:ascii="Cambria Math" w:hAnsi="Cambria Math"/>
                    <w:lang w:val="en-US"/>
                  </w:rPr>
                  <m:t>CVA=</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m:t>
                        </m:r>
                      </m:sub>
                    </m:sSub>
                  </m:e>
                </m:d>
                <m:nary>
                  <m:naryPr>
                    <m:limLoc m:val="undOvr"/>
                    <m:ctrlPr>
                      <w:rPr>
                        <w:rFonts w:ascii="Cambria Math" w:hAnsi="Cambria Math"/>
                        <w:i/>
                        <w:lang w:val="en-US"/>
                      </w:rPr>
                    </m:ctrlPr>
                  </m:naryPr>
                  <m:sub>
                    <m:r>
                      <w:rPr>
                        <w:rFonts w:ascii="Cambria Math" w:hAnsi="Cambria Math"/>
                      </w:rPr>
                      <m:t>0</m:t>
                    </m:r>
                  </m:sub>
                  <m:sup>
                    <m:r>
                      <w:rPr>
                        <w:rFonts w:ascii="Cambria Math" w:hAnsi="Cambria Math"/>
                        <w:lang w:val="en-US"/>
                      </w:rPr>
                      <m:t>T</m:t>
                    </m:r>
                  </m:sup>
                  <m:e>
                    <m:r>
                      <w:rPr>
                        <w:rFonts w:ascii="Cambria Math" w:hAnsi="Cambria Math"/>
                        <w:lang w:val="en-US"/>
                      </w:rPr>
                      <m:t>C</m:t>
                    </m:r>
                    <m:d>
                      <m:dPr>
                        <m:ctrlPr>
                          <w:rPr>
                            <w:rFonts w:ascii="Cambria Math" w:hAnsi="Cambria Math"/>
                            <w:i/>
                            <w:lang w:val="en-US"/>
                          </w:rPr>
                        </m:ctrlPr>
                      </m:dPr>
                      <m:e>
                        <m:r>
                          <w:rPr>
                            <w:rFonts w:ascii="Cambria Math" w:hAnsi="Cambria Math"/>
                          </w:rPr>
                          <m:t>0,</m:t>
                        </m:r>
                        <m:r>
                          <w:rPr>
                            <w:rFonts w:ascii="Cambria Math" w:hAnsi="Cambria Math"/>
                            <w:lang w:val="en-US"/>
                          </w:rPr>
                          <m:t>t</m:t>
                        </m:r>
                      </m:e>
                    </m:d>
                    <m:r>
                      <w:rPr>
                        <w:rFonts w:ascii="Cambria Math" w:hAnsi="Cambria Math"/>
                        <w:lang w:val="en-US"/>
                      </w:rPr>
                      <m:t>p</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r>
                  <w:rPr>
                    <w:rFonts w:ascii="Cambria Math" w:hAnsi="Cambria Math"/>
                  </w:rPr>
                  <m:t>=</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m:t>
                        </m:r>
                      </m:sub>
                    </m:sSub>
                  </m:e>
                </m:d>
                <m:r>
                  <w:rPr>
                    <w:rFonts w:ascii="Cambria Math" w:hAnsi="Cambria Math"/>
                    <w:lang w:val="en-US"/>
                  </w:rPr>
                  <m:t>C</m:t>
                </m:r>
                <m:d>
                  <m:dPr>
                    <m:ctrlPr>
                      <w:rPr>
                        <w:rFonts w:ascii="Cambria Math" w:hAnsi="Cambria Math"/>
                        <w:i/>
                        <w:lang w:val="en-US"/>
                      </w:rPr>
                    </m:ctrlPr>
                  </m:dPr>
                  <m:e>
                    <m:r>
                      <w:rPr>
                        <w:rFonts w:ascii="Cambria Math" w:hAnsi="Cambria Math"/>
                      </w:rPr>
                      <m:t>0,</m:t>
                    </m:r>
                    <m:r>
                      <w:rPr>
                        <w:rFonts w:ascii="Cambria Math" w:hAnsi="Cambria Math"/>
                        <w:lang w:val="en-US"/>
                      </w:rPr>
                      <m:t>T</m:t>
                    </m:r>
                  </m:e>
                </m:d>
                <m:nary>
                  <m:naryPr>
                    <m:limLoc m:val="undOvr"/>
                    <m:ctrlPr>
                      <w:rPr>
                        <w:rFonts w:ascii="Cambria Math" w:hAnsi="Cambria Math"/>
                        <w:i/>
                        <w:lang w:val="en-US"/>
                      </w:rPr>
                    </m:ctrlPr>
                  </m:naryPr>
                  <m:sub>
                    <m:r>
                      <w:rPr>
                        <w:rFonts w:ascii="Cambria Math" w:hAnsi="Cambria Math"/>
                      </w:rPr>
                      <m:t>0</m:t>
                    </m:r>
                  </m:sub>
                  <m:sup>
                    <m:r>
                      <w:rPr>
                        <w:rFonts w:ascii="Cambria Math" w:hAnsi="Cambria Math"/>
                        <w:lang w:val="en-US"/>
                      </w:rPr>
                      <m:t>T</m:t>
                    </m:r>
                  </m:sup>
                  <m:e>
                    <m:r>
                      <w:rPr>
                        <w:rFonts w:ascii="Cambria Math" w:hAnsi="Cambria Math"/>
                        <w:lang w:val="en-US"/>
                      </w:rPr>
                      <m:t>p</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r>
                  <w:rPr>
                    <w:rFonts w:ascii="Cambria Math" w:hAnsi="Cambria Math"/>
                  </w:rPr>
                  <m:t>=</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m:t>
                        </m:r>
                      </m:sub>
                    </m:sSub>
                  </m:e>
                </m:d>
                <m:r>
                  <w:rPr>
                    <w:rFonts w:ascii="Cambria Math" w:hAnsi="Cambria Math"/>
                    <w:lang w:val="en-US"/>
                  </w:rPr>
                  <m:t>C</m:t>
                </m:r>
                <m:d>
                  <m:dPr>
                    <m:ctrlPr>
                      <w:rPr>
                        <w:rFonts w:ascii="Cambria Math" w:hAnsi="Cambria Math"/>
                        <w:i/>
                        <w:lang w:val="en-US"/>
                      </w:rPr>
                    </m:ctrlPr>
                  </m:dPr>
                  <m:e>
                    <m:r>
                      <w:rPr>
                        <w:rFonts w:ascii="Cambria Math" w:hAnsi="Cambria Math"/>
                      </w:rPr>
                      <m:t>0,</m:t>
                    </m:r>
                    <m:r>
                      <w:rPr>
                        <w:rFonts w:ascii="Cambria Math" w:hAnsi="Cambria Math"/>
                        <w:lang w:val="en-US"/>
                      </w:rPr>
                      <m:t>T</m:t>
                    </m:r>
                  </m:e>
                </m:d>
                <m:r>
                  <w:rPr>
                    <w:rFonts w:ascii="Cambria Math" w:hAnsi="Cambria Math"/>
                    <w:lang w:val="en-US"/>
                  </w:rPr>
                  <m:t>PD</m:t>
                </m:r>
                <m:r>
                  <w:rPr>
                    <w:rFonts w:ascii="Cambria Math" w:hAnsi="Cambria Math"/>
                  </w:rPr>
                  <m:t>(0,</m:t>
                </m:r>
                <m:r>
                  <w:rPr>
                    <w:rFonts w:ascii="Cambria Math" w:hAnsi="Cambria Math"/>
                    <w:lang w:val="en-US"/>
                  </w:rPr>
                  <m:t>T</m:t>
                </m:r>
                <m:r>
                  <w:rPr>
                    <w:rFonts w:ascii="Cambria Math" w:hAnsi="Cambria Math"/>
                  </w:rPr>
                  <m:t>)</m:t>
                </m:r>
              </m:oMath>
            </m:oMathPara>
          </w:p>
        </w:tc>
        <w:tc>
          <w:tcPr>
            <w:tcW w:w="577" w:type="dxa"/>
            <w:vAlign w:val="center"/>
          </w:tcPr>
          <w:p w:rsidR="001C44E6" w:rsidRDefault="001C44E6" w:rsidP="001C44E6">
            <w:pPr>
              <w:jc w:val="right"/>
              <w:rPr>
                <w:rFonts w:eastAsiaTheme="minorEastAsia"/>
              </w:rPr>
            </w:pPr>
            <w:r>
              <w:rPr>
                <w:rFonts w:eastAsiaTheme="minorEastAsia"/>
              </w:rPr>
              <w:t>(3)</w:t>
            </w:r>
          </w:p>
        </w:tc>
      </w:tr>
    </w:tbl>
    <w:p w:rsidR="00A4755C" w:rsidRPr="00870BE4" w:rsidRDefault="00A4755C" w:rsidP="00F9558C">
      <w:pPr>
        <w:spacing w:after="120"/>
        <w:ind w:firstLine="1134"/>
        <w:jc w:val="both"/>
      </w:pPr>
      <w:r w:rsidRPr="00870BE4">
        <w:t>где</w:t>
      </w:r>
    </w:p>
    <w:p w:rsidR="00A4755C" w:rsidRPr="00F9558C" w:rsidRDefault="00A4755C" w:rsidP="00F9558C">
      <w:pPr>
        <w:spacing w:after="120"/>
        <w:ind w:left="1134"/>
        <w:jc w:val="both"/>
      </w:pPr>
      <w:proofErr w:type="gramStart"/>
      <w:r w:rsidRPr="00F9558C">
        <w:rPr>
          <w:i/>
          <w:lang w:val="en-US"/>
        </w:rPr>
        <w:t>V</w:t>
      </w:r>
      <w:r w:rsidRPr="00F9558C">
        <w:rPr>
          <w:i/>
        </w:rPr>
        <w:t>(</w:t>
      </w:r>
      <w:proofErr w:type="gramEnd"/>
      <w:r w:rsidRPr="00F9558C">
        <w:rPr>
          <w:i/>
          <w:lang w:val="en-US"/>
        </w:rPr>
        <w:t>t</w:t>
      </w:r>
      <w:r w:rsidRPr="00F9558C">
        <w:rPr>
          <w:i/>
        </w:rPr>
        <w:t xml:space="preserve">) – </w:t>
      </w:r>
      <w:r w:rsidRPr="00F9558C">
        <w:t xml:space="preserve">стоимость инструмента (в нашем случае свопа или форварда) в момент времени </w:t>
      </w:r>
      <w:r w:rsidRPr="00F9558C">
        <w:rPr>
          <w:i/>
          <w:lang w:val="en-US"/>
        </w:rPr>
        <w:t>t</w:t>
      </w:r>
      <w:r w:rsidRPr="00F9558C">
        <w:t>,</w:t>
      </w:r>
    </w:p>
    <w:p w:rsidR="00A4755C" w:rsidRPr="00F9558C" w:rsidRDefault="00A4755C" w:rsidP="00F9558C">
      <w:pPr>
        <w:spacing w:after="120"/>
        <w:ind w:left="1134"/>
        <w:jc w:val="both"/>
        <w:rPr>
          <w:i/>
        </w:rPr>
      </w:pPr>
      <w:proofErr w:type="gramStart"/>
      <w:r w:rsidRPr="00F9558C">
        <w:rPr>
          <w:i/>
          <w:lang w:val="en-US"/>
        </w:rPr>
        <w:t>C</w:t>
      </w:r>
      <w:r w:rsidRPr="00472722">
        <w:rPr>
          <w:i/>
        </w:rPr>
        <w:t>(</w:t>
      </w:r>
      <w:proofErr w:type="gramEnd"/>
      <w:r w:rsidRPr="00472722">
        <w:rPr>
          <w:i/>
        </w:rPr>
        <w:t>0,</w:t>
      </w:r>
      <w:r w:rsidRPr="00F9558C">
        <w:rPr>
          <w:i/>
          <w:lang w:val="en-US"/>
        </w:rPr>
        <w:t>T</w:t>
      </w:r>
      <w:r w:rsidRPr="00472722">
        <w:rPr>
          <w:i/>
        </w:rPr>
        <w:t xml:space="preserve">) – </w:t>
      </w:r>
      <w:r w:rsidRPr="00472722">
        <w:t>приведенная ожидаемая стоимость величины, подверженной кредитному риску (</w:t>
      </w:r>
      <w:r w:rsidRPr="00F9558C">
        <w:rPr>
          <w:lang w:val="en-US"/>
        </w:rPr>
        <w:t>exposure</w:t>
      </w:r>
      <w:r w:rsidRPr="00472722">
        <w:t xml:space="preserve">). </w:t>
      </w:r>
      <w:r w:rsidRPr="00F9558C">
        <w:t xml:space="preserve">Т.е. справедливая стоимость в момент времени 0 европейского </w:t>
      </w:r>
      <w:r w:rsidRPr="00F9558C">
        <w:rPr>
          <w:lang w:val="en-US"/>
        </w:rPr>
        <w:t>call</w:t>
      </w:r>
      <w:r w:rsidRPr="00F9558C">
        <w:t xml:space="preserve"> опциона на рассматриваемый инструмент (валютный своп, форвард) с датой окончания </w:t>
      </w:r>
      <w:r w:rsidRPr="00F9558C">
        <w:rPr>
          <w:i/>
          <w:lang w:val="en-US"/>
        </w:rPr>
        <w:t>T</w:t>
      </w:r>
      <w:r w:rsidRPr="00F9558C">
        <w:t xml:space="preserve">. В простейшем случае с форвардным контрактом - это опцион на валюту со </w:t>
      </w:r>
      <w:proofErr w:type="spellStart"/>
      <w:r w:rsidRPr="00F9558C">
        <w:t>страйком</w:t>
      </w:r>
      <w:proofErr w:type="spellEnd"/>
      <w:r w:rsidRPr="00F9558C">
        <w:t>, соответствующим цене, определенной в контракте,</w:t>
      </w:r>
    </w:p>
    <w:p w:rsidR="00A4755C" w:rsidRPr="00F9558C" w:rsidRDefault="00A4755C" w:rsidP="00F9558C">
      <w:pPr>
        <w:spacing w:after="120"/>
        <w:ind w:left="1134"/>
        <w:jc w:val="both"/>
        <w:rPr>
          <w:i/>
        </w:rPr>
      </w:pPr>
      <w:proofErr w:type="gramStart"/>
      <w:r w:rsidRPr="00F9558C">
        <w:rPr>
          <w:i/>
          <w:lang w:val="en-US"/>
        </w:rPr>
        <w:t>p</w:t>
      </w:r>
      <w:r w:rsidRPr="00F9558C">
        <w:rPr>
          <w:i/>
        </w:rPr>
        <w:t>(</w:t>
      </w:r>
      <w:proofErr w:type="gramEnd"/>
      <w:r w:rsidRPr="00F9558C">
        <w:rPr>
          <w:i/>
          <w:lang w:val="en-US"/>
        </w:rPr>
        <w:t>t</w:t>
      </w:r>
      <w:r w:rsidRPr="00F9558C">
        <w:rPr>
          <w:i/>
        </w:rPr>
        <w:t xml:space="preserve">) – </w:t>
      </w:r>
      <w:r w:rsidRPr="00F9558C">
        <w:t>плотность распределения дефолта,</w:t>
      </w:r>
    </w:p>
    <w:p w:rsidR="00A4755C" w:rsidRPr="00F9558C" w:rsidRDefault="00A4755C" w:rsidP="00F9558C">
      <w:pPr>
        <w:spacing w:after="120"/>
        <w:ind w:left="1134"/>
        <w:jc w:val="both"/>
        <w:rPr>
          <w:i/>
        </w:rPr>
      </w:pPr>
      <w:proofErr w:type="gramStart"/>
      <w:r w:rsidRPr="00F9558C">
        <w:rPr>
          <w:i/>
          <w:lang w:val="en-US"/>
        </w:rPr>
        <w:t>PD</w:t>
      </w:r>
      <w:r w:rsidRPr="00F9558C">
        <w:rPr>
          <w:i/>
        </w:rPr>
        <w:t>(</w:t>
      </w:r>
      <w:proofErr w:type="gramEnd"/>
      <w:r w:rsidRPr="00F9558C">
        <w:rPr>
          <w:i/>
        </w:rPr>
        <w:t>0,</w:t>
      </w:r>
      <w:r w:rsidRPr="00F9558C">
        <w:rPr>
          <w:i/>
          <w:lang w:val="en-US"/>
        </w:rPr>
        <w:t>T</w:t>
      </w:r>
      <w:r w:rsidRPr="00F9558C">
        <w:rPr>
          <w:i/>
        </w:rPr>
        <w:t xml:space="preserve">) – </w:t>
      </w:r>
      <w:r w:rsidRPr="00F9558C">
        <w:t xml:space="preserve">вероятность дефолта в период времени с текущей даты до даты </w:t>
      </w:r>
      <w:r w:rsidRPr="00F9558C">
        <w:rPr>
          <w:i/>
          <w:lang w:val="en-US"/>
        </w:rPr>
        <w:t>T</w:t>
      </w:r>
      <w:r w:rsidRPr="00F9558C">
        <w:t>,</w:t>
      </w:r>
    </w:p>
    <w:p w:rsidR="00A4755C" w:rsidRPr="00F9558C" w:rsidRDefault="00A4755C" w:rsidP="00F9558C">
      <w:pPr>
        <w:spacing w:after="120"/>
        <w:ind w:left="1134"/>
        <w:jc w:val="both"/>
        <w:rPr>
          <w:i/>
        </w:rPr>
      </w:pPr>
      <w:proofErr w:type="spellStart"/>
      <w:proofErr w:type="gramStart"/>
      <w:r w:rsidRPr="00F9558C">
        <w:rPr>
          <w:i/>
          <w:lang w:val="en-US"/>
        </w:rPr>
        <w:t>Rv</w:t>
      </w:r>
      <w:proofErr w:type="spellEnd"/>
      <w:proofErr w:type="gramEnd"/>
      <w:r w:rsidRPr="00F9558C">
        <w:rPr>
          <w:i/>
        </w:rPr>
        <w:t xml:space="preserve"> – </w:t>
      </w:r>
      <w:r w:rsidRPr="00F9558C">
        <w:rPr>
          <w:lang w:val="en-US"/>
        </w:rPr>
        <w:t>recovery</w:t>
      </w:r>
      <w:r w:rsidRPr="00F9558C">
        <w:t xml:space="preserve"> </w:t>
      </w:r>
      <w:r w:rsidRPr="00F9558C">
        <w:rPr>
          <w:lang w:val="en-US"/>
        </w:rPr>
        <w:t>rate</w:t>
      </w:r>
      <w:r w:rsidRPr="00F9558C">
        <w:t xml:space="preserve"> для форвардного контракта (процент от </w:t>
      </w:r>
      <w:r w:rsidRPr="00F9558C">
        <w:rPr>
          <w:lang w:val="en-US"/>
        </w:rPr>
        <w:t>market</w:t>
      </w:r>
      <w:r w:rsidRPr="00F9558C">
        <w:t xml:space="preserve"> </w:t>
      </w:r>
      <w:r w:rsidRPr="00F9558C">
        <w:rPr>
          <w:lang w:val="en-US"/>
        </w:rPr>
        <w:t>value</w:t>
      </w:r>
      <w:r w:rsidRPr="00F9558C">
        <w:t>).</w:t>
      </w:r>
    </w:p>
    <w:p w:rsidR="00A4755C" w:rsidRPr="003371E2" w:rsidRDefault="00A4755C" w:rsidP="003371E2">
      <w:pPr>
        <w:numPr>
          <w:ilvl w:val="2"/>
          <w:numId w:val="12"/>
        </w:numPr>
        <w:autoSpaceDE w:val="0"/>
        <w:autoSpaceDN w:val="0"/>
        <w:spacing w:after="240"/>
        <w:ind w:left="1134" w:hanging="709"/>
        <w:jc w:val="both"/>
      </w:pPr>
      <w:r w:rsidRPr="00F9558C">
        <w:t>В результате, т.к. величина CVA определяется с помощью опционального инструмента C(0,T), то CVA также зависит от волатильности стоимости контракта (или волатильности базовых активов контракта). Соответственно, увеличение волатильности ведет к увеличению CVA.</w:t>
      </w:r>
    </w:p>
    <w:p w:rsidR="00A4755C" w:rsidRPr="00A332B2" w:rsidRDefault="00A4755C" w:rsidP="00A332B2">
      <w:pPr>
        <w:pStyle w:val="2"/>
        <w:keepLines w:val="0"/>
        <w:numPr>
          <w:ilvl w:val="1"/>
          <w:numId w:val="12"/>
        </w:numPr>
        <w:tabs>
          <w:tab w:val="num" w:pos="567"/>
        </w:tabs>
        <w:spacing w:before="240" w:after="240"/>
        <w:ind w:left="567" w:hanging="431"/>
        <w:jc w:val="both"/>
        <w:rPr>
          <w:rFonts w:ascii="Times New Roman" w:hAnsi="Times New Roman"/>
          <w:iCs/>
          <w:color w:val="auto"/>
          <w:sz w:val="24"/>
          <w:szCs w:val="24"/>
          <w:lang w:eastAsia="en-US"/>
        </w:rPr>
      </w:pPr>
      <w:bookmarkStart w:id="13" w:name="_Toc313983812"/>
      <w:bookmarkStart w:id="14" w:name="_Toc340832284"/>
      <w:r w:rsidRPr="00A332B2">
        <w:rPr>
          <w:rFonts w:ascii="Times New Roman" w:hAnsi="Times New Roman"/>
          <w:iCs/>
          <w:color w:val="auto"/>
          <w:sz w:val="24"/>
          <w:szCs w:val="24"/>
          <w:lang w:eastAsia="en-US"/>
        </w:rPr>
        <w:t>Определение вероятности дефолта</w:t>
      </w:r>
      <w:bookmarkEnd w:id="13"/>
      <w:bookmarkEnd w:id="14"/>
    </w:p>
    <w:p w:rsidR="00A4755C" w:rsidRPr="00A332B2" w:rsidRDefault="00A4755C" w:rsidP="00A332B2">
      <w:pPr>
        <w:numPr>
          <w:ilvl w:val="2"/>
          <w:numId w:val="12"/>
        </w:numPr>
        <w:autoSpaceDE w:val="0"/>
        <w:autoSpaceDN w:val="0"/>
        <w:spacing w:after="240"/>
        <w:ind w:left="1134" w:hanging="709"/>
        <w:jc w:val="both"/>
      </w:pPr>
      <w:r w:rsidRPr="00A332B2">
        <w:t>В рамках настоящего подхода применяется «сокращенная»</w:t>
      </w:r>
      <w:r w:rsidRPr="00A332B2">
        <w:rPr>
          <w:vertAlign w:val="superscript"/>
        </w:rPr>
        <w:footnoteReference w:id="3"/>
      </w:r>
      <w:r w:rsidRPr="00A332B2">
        <w:t xml:space="preserve"> модель кредитного риска, основанная на использовании рыночной информации по CDS спредам и следующих предположениях/допущениях:</w:t>
      </w:r>
    </w:p>
    <w:p w:rsidR="00A4755C" w:rsidRPr="00A332B2" w:rsidRDefault="00A4755C" w:rsidP="00A332B2">
      <w:pPr>
        <w:pStyle w:val="HeadingNumber4"/>
        <w:numPr>
          <w:ilvl w:val="3"/>
          <w:numId w:val="12"/>
        </w:numPr>
        <w:tabs>
          <w:tab w:val="clear" w:pos="907"/>
          <w:tab w:val="left" w:pos="1560"/>
        </w:tabs>
        <w:spacing w:before="0" w:after="240"/>
        <w:ind w:left="1560" w:hanging="851"/>
        <w:jc w:val="both"/>
        <w:rPr>
          <w:rFonts w:ascii="Times New Roman" w:hAnsi="Times New Roman" w:cs="Times New Roman"/>
          <w:sz w:val="24"/>
          <w:lang w:val="ru-RU"/>
        </w:rPr>
      </w:pPr>
      <w:r w:rsidRPr="00A332B2">
        <w:rPr>
          <w:rFonts w:ascii="Times New Roman" w:hAnsi="Times New Roman" w:cs="Times New Roman"/>
          <w:sz w:val="24"/>
          <w:lang w:val="ru-RU"/>
        </w:rPr>
        <w:t>дефолты по CDS контракту обнаруживаются только в моменты выплат по контракту. Т.е. даже если дефолт произошел между датами выплат, то расчет по CDS произойдет в момент, соответствующий следующей дате платежа;</w:t>
      </w:r>
    </w:p>
    <w:p w:rsidR="00A4755C" w:rsidRPr="00093CF5" w:rsidRDefault="00A4755C" w:rsidP="00D93655">
      <w:pPr>
        <w:pStyle w:val="HeadingNumber4"/>
        <w:numPr>
          <w:ilvl w:val="3"/>
          <w:numId w:val="12"/>
        </w:numPr>
        <w:tabs>
          <w:tab w:val="clear" w:pos="907"/>
          <w:tab w:val="left" w:pos="1560"/>
        </w:tabs>
        <w:spacing w:before="0" w:after="240"/>
        <w:ind w:left="1560" w:hanging="851"/>
        <w:jc w:val="both"/>
        <w:rPr>
          <w:rFonts w:ascii="Times New Roman" w:hAnsi="Times New Roman" w:cs="Times New Roman"/>
          <w:sz w:val="24"/>
          <w:lang w:val="ru-RU"/>
        </w:rPr>
      </w:pPr>
      <w:r w:rsidRPr="00A332B2">
        <w:rPr>
          <w:rFonts w:ascii="Times New Roman" w:hAnsi="Times New Roman" w:cs="Times New Roman"/>
          <w:sz w:val="24"/>
          <w:lang w:val="ru-RU"/>
        </w:rPr>
        <w:t xml:space="preserve">дефолт описывается процессом с интенсивностью дефолта </w:t>
      </w:r>
      <w:r w:rsidRPr="000D2561">
        <w:rPr>
          <w:rFonts w:ascii="Symbol" w:hAnsi="Symbol"/>
          <w:i/>
          <w:lang w:val="en-US"/>
        </w:rPr>
        <w:t></w:t>
      </w:r>
      <w:r>
        <w:rPr>
          <w:rFonts w:ascii="Symbol" w:hAnsi="Symbol"/>
          <w:i/>
          <w:lang w:val="en-US"/>
        </w:rPr>
        <w:t></w:t>
      </w:r>
      <w:r w:rsidRPr="00A332B2">
        <w:rPr>
          <w:rFonts w:ascii="Times New Roman" w:hAnsi="Times New Roman" w:cs="Times New Roman"/>
          <w:sz w:val="24"/>
          <w:lang w:val="ru-RU"/>
        </w:rPr>
        <w:t xml:space="preserve"> Т.е. вероятность дефолта за время t рассчитываем как </w:t>
      </w:r>
      <m:oMath>
        <m:r>
          <m:rPr>
            <m:sty m:val="p"/>
          </m:rPr>
          <w:rPr>
            <w:rFonts w:ascii="Cambria Math" w:hAnsi="Cambria Math" w:cs="Times New Roman"/>
            <w:sz w:val="24"/>
            <w:lang w:val="ru-RU"/>
          </w:rPr>
          <m:t>PD</m:t>
        </m:r>
        <m:d>
          <m:dPr>
            <m:ctrlPr>
              <w:rPr>
                <w:rFonts w:ascii="Cambria Math" w:hAnsi="Cambria Math" w:cs="Times New Roman"/>
                <w:sz w:val="24"/>
                <w:lang w:val="ru-RU"/>
              </w:rPr>
            </m:ctrlPr>
          </m:dPr>
          <m:e>
            <m:r>
              <m:rPr>
                <m:sty m:val="p"/>
              </m:rPr>
              <w:rPr>
                <w:rFonts w:ascii="Cambria Math" w:hAnsi="Cambria Math" w:cs="Times New Roman"/>
                <w:sz w:val="24"/>
                <w:lang w:val="ru-RU"/>
              </w:rPr>
              <m:t>t</m:t>
            </m:r>
          </m:e>
        </m:d>
        <m:r>
          <m:rPr>
            <m:sty m:val="p"/>
          </m:rPr>
          <w:rPr>
            <w:rFonts w:ascii="Cambria Math" w:hAnsi="Cambria Math" w:cs="Times New Roman"/>
            <w:sz w:val="24"/>
            <w:lang w:val="ru-RU"/>
          </w:rPr>
          <m:t>=1-</m:t>
        </m:r>
        <m:sSup>
          <m:sSupPr>
            <m:ctrlPr>
              <w:rPr>
                <w:rFonts w:ascii="Cambria Math" w:hAnsi="Cambria Math" w:cs="Times New Roman"/>
                <w:sz w:val="24"/>
                <w:lang w:val="ru-RU"/>
              </w:rPr>
            </m:ctrlPr>
          </m:sSupPr>
          <m:e>
            <m:r>
              <m:rPr>
                <m:sty m:val="p"/>
              </m:rPr>
              <w:rPr>
                <w:rFonts w:ascii="Cambria Math" w:hAnsi="Cambria Math" w:cs="Times New Roman"/>
                <w:sz w:val="24"/>
                <w:lang w:val="ru-RU"/>
              </w:rPr>
              <m:t>e</m:t>
            </m:r>
          </m:e>
          <m:sup>
            <m:r>
              <m:rPr>
                <m:sty m:val="p"/>
              </m:rPr>
              <w:rPr>
                <w:rFonts w:ascii="Cambria Math" w:hAnsi="Cambria Math" w:cs="Times New Roman"/>
                <w:sz w:val="24"/>
                <w:lang w:val="ru-RU"/>
              </w:rPr>
              <m:t>-</m:t>
            </m:r>
            <m:sSub>
              <m:sSubPr>
                <m:ctrlPr>
                  <w:rPr>
                    <w:rFonts w:ascii="Cambria Math" w:hAnsi="Cambria Math" w:cs="Times New Roman"/>
                    <w:sz w:val="24"/>
                    <w:lang w:val="ru-RU"/>
                  </w:rPr>
                </m:ctrlPr>
              </m:sSubPr>
              <m:e>
                <m:r>
                  <m:rPr>
                    <m:sty m:val="p"/>
                  </m:rPr>
                  <w:rPr>
                    <w:rFonts w:ascii="Cambria Math" w:hAnsi="Cambria Math" w:cs="Times New Roman"/>
                    <w:sz w:val="24"/>
                    <w:lang w:val="ru-RU"/>
                  </w:rPr>
                  <m:t>λ</m:t>
                </m:r>
              </m:e>
              <m:sub>
                <m:r>
                  <m:rPr>
                    <m:sty m:val="p"/>
                  </m:rPr>
                  <w:rPr>
                    <w:rFonts w:ascii="Cambria Math" w:hAnsi="Cambria Math" w:cs="Times New Roman"/>
                    <w:sz w:val="24"/>
                    <w:lang w:val="ru-RU"/>
                  </w:rPr>
                  <m:t>t</m:t>
                </m:r>
              </m:sub>
            </m:sSub>
            <m:r>
              <m:rPr>
                <m:sty m:val="p"/>
              </m:rPr>
              <w:rPr>
                <w:rFonts w:ascii="Cambria Math" w:hAnsi="Cambria Math" w:cs="Times New Roman"/>
                <w:sz w:val="24"/>
                <w:lang w:val="ru-RU"/>
              </w:rPr>
              <m:t>t</m:t>
            </m:r>
          </m:sup>
        </m:sSup>
      </m:oMath>
      <w:r w:rsidR="001C44E6" w:rsidRPr="00093CF5">
        <w:rPr>
          <w:rFonts w:ascii="Times New Roman" w:hAnsi="Times New Roman" w:cs="Times New Roman"/>
          <w:sz w:val="24"/>
          <w:lang w:val="ru-RU"/>
        </w:rPr>
        <w:t>.</w:t>
      </w:r>
    </w:p>
    <w:p w:rsidR="00A4755C" w:rsidRPr="00093CF5" w:rsidRDefault="00A4755C" w:rsidP="00093CF5">
      <w:pPr>
        <w:numPr>
          <w:ilvl w:val="2"/>
          <w:numId w:val="12"/>
        </w:numPr>
        <w:autoSpaceDE w:val="0"/>
        <w:autoSpaceDN w:val="0"/>
        <w:spacing w:after="240"/>
        <w:ind w:left="1134" w:hanging="709"/>
        <w:jc w:val="both"/>
      </w:pPr>
      <w:r w:rsidRPr="00093CF5">
        <w:t xml:space="preserve">Параметры модели для вероятности дефолта калибруются таким образом, чтобы при применении для оценки рыночных контрактов, модель выдавала рыночные цены. При наличии котировок CDS, для процесса калибровки используются рыночные значения спредов s. На неликвидных рынках в </w:t>
      </w:r>
      <w:r w:rsidRPr="00093CF5">
        <w:lastRenderedPageBreak/>
        <w:t>отсутствии котировок CDS, величина спреда s определяется другим образом</w:t>
      </w:r>
      <w:r>
        <w:t xml:space="preserve"> (</w:t>
      </w:r>
      <w:r w:rsidRPr="00093CF5">
        <w:t>например, из котировок облигаций</w:t>
      </w:r>
      <w:r w:rsidRPr="0030224B">
        <w:t xml:space="preserve"> </w:t>
      </w:r>
      <w:r>
        <w:t>или на основе внутренних рейтингов)</w:t>
      </w:r>
      <w:r w:rsidRPr="00093CF5">
        <w:t xml:space="preserve">. </w:t>
      </w:r>
    </w:p>
    <w:p w:rsidR="00A4755C" w:rsidRPr="00093CF5" w:rsidRDefault="00A4755C" w:rsidP="00D93655">
      <w:pPr>
        <w:numPr>
          <w:ilvl w:val="2"/>
          <w:numId w:val="12"/>
        </w:numPr>
        <w:autoSpaceDE w:val="0"/>
        <w:autoSpaceDN w:val="0"/>
        <w:spacing w:after="240"/>
        <w:ind w:left="1134" w:hanging="709"/>
        <w:jc w:val="both"/>
      </w:pPr>
      <w:r w:rsidRPr="00093CF5">
        <w:t xml:space="preserve">Если выплаты по CDS происходят регулярно с периодичностью </w:t>
      </w:r>
      <w:r w:rsidRPr="006A5D85">
        <w:rPr>
          <w:rFonts w:ascii="Symbol" w:hAnsi="Symbol"/>
          <w:i/>
          <w:lang w:val="en-US"/>
        </w:rPr>
        <w:t></w:t>
      </w:r>
      <w:r w:rsidRPr="00093CF5">
        <w:t xml:space="preserve">, то условная вероятность дефолта за период </w:t>
      </w:r>
      <w:r w:rsidRPr="006A5D85">
        <w:rPr>
          <w:rFonts w:ascii="Symbol" w:hAnsi="Symbol"/>
          <w:i/>
          <w:lang w:val="en-US"/>
        </w:rPr>
        <w:t></w:t>
      </w:r>
      <w:r w:rsidRPr="00093CF5">
        <w:t xml:space="preserve"> (т.е. при условии, что не было дефолта до момента начала периода) определяется как</w:t>
      </w: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402"/>
      </w:tblGrid>
      <w:tr w:rsidR="001C44E6" w:rsidTr="001C44E6">
        <w:trPr>
          <w:trHeight w:val="679"/>
        </w:trPr>
        <w:tc>
          <w:tcPr>
            <w:tcW w:w="6062" w:type="dxa"/>
          </w:tcPr>
          <w:p w:rsidR="001C44E6" w:rsidRPr="00F415A3" w:rsidRDefault="001C44E6" w:rsidP="001C44E6">
            <w:pPr>
              <w:ind w:left="3686"/>
              <w:rPr>
                <w:rFonts w:eastAsiaTheme="minorEastAsia"/>
              </w:rPr>
            </w:pPr>
            <m:oMathPara>
              <m:oMathParaPr>
                <m:jc m:val="left"/>
              </m:oMathParaPr>
              <m:oMath>
                <m:r>
                  <w:rPr>
                    <w:rFonts w:ascii="Cambria Math" w:hAnsi="Cambria Math"/>
                    <w:lang w:val="en-US"/>
                  </w:rPr>
                  <m:t>PD</m:t>
                </m:r>
                <m:d>
                  <m:dPr>
                    <m:ctrlPr>
                      <w:rPr>
                        <w:rFonts w:ascii="Cambria Math" w:hAnsi="Cambria Math"/>
                        <w:i/>
                        <w:lang w:val="en-US"/>
                      </w:rPr>
                    </m:ctrlPr>
                  </m:dPr>
                  <m:e>
                    <m:r>
                      <w:rPr>
                        <w:rFonts w:ascii="Cambria Math" w:hAnsi="Cambria Math"/>
                        <w:lang w:val="en-US"/>
                      </w:rPr>
                      <m:t>τ</m:t>
                    </m:r>
                  </m:e>
                </m:d>
                <m:r>
                  <w:rPr>
                    <w:rFonts w:ascii="Cambria Math" w:hAnsi="Cambria Math"/>
                  </w:rPr>
                  <m:t>=</m:t>
                </m:r>
                <m:f>
                  <m:fPr>
                    <m:ctrlPr>
                      <w:rPr>
                        <w:rFonts w:ascii="Cambria Math" w:hAnsi="Cambria Math"/>
                        <w:i/>
                        <w:lang w:val="en-US"/>
                      </w:rPr>
                    </m:ctrlPr>
                  </m:fPr>
                  <m:num>
                    <m:r>
                      <w:rPr>
                        <w:rFonts w:ascii="Cambria Math" w:hAnsi="Cambria Math"/>
                        <w:lang w:val="en-US"/>
                      </w:rPr>
                      <m:t>sτ</m:t>
                    </m:r>
                  </m:num>
                  <m:den>
                    <m:r>
                      <w:rPr>
                        <w:rFonts w:ascii="Cambria Math" w:hAnsi="Cambria Math"/>
                        <w:lang w:val="en-US"/>
                      </w:rPr>
                      <m:t>sτ</m:t>
                    </m:r>
                    <m:r>
                      <w:rPr>
                        <w:rFonts w:ascii="Cambria Math" w:hAnsi="Cambria Math"/>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den>
                </m:f>
              </m:oMath>
            </m:oMathPara>
          </w:p>
        </w:tc>
        <w:tc>
          <w:tcPr>
            <w:tcW w:w="3402" w:type="dxa"/>
          </w:tcPr>
          <w:p w:rsidR="001C44E6" w:rsidRDefault="001C44E6" w:rsidP="001C44E6">
            <w:pPr>
              <w:jc w:val="right"/>
              <w:rPr>
                <w:rFonts w:eastAsiaTheme="minorEastAsia"/>
              </w:rPr>
            </w:pPr>
            <w:r>
              <w:rPr>
                <w:rFonts w:eastAsiaTheme="minorEastAsia"/>
              </w:rPr>
              <w:t>(4)</w:t>
            </w:r>
          </w:p>
        </w:tc>
      </w:tr>
    </w:tbl>
    <w:p w:rsidR="00A4755C" w:rsidRDefault="00A4755C" w:rsidP="00D93655"/>
    <w:p w:rsidR="00A4755C" w:rsidRPr="00BE7DB1" w:rsidRDefault="00A4755C" w:rsidP="00093CF5">
      <w:pPr>
        <w:spacing w:after="120"/>
        <w:ind w:firstLine="1134"/>
        <w:jc w:val="both"/>
      </w:pPr>
      <w:r>
        <w:t>где</w:t>
      </w:r>
    </w:p>
    <w:p w:rsidR="00A4755C" w:rsidRPr="00093CF5" w:rsidRDefault="00A4755C" w:rsidP="00093CF5">
      <w:pPr>
        <w:spacing w:after="120"/>
        <w:ind w:left="1134"/>
        <w:jc w:val="both"/>
        <w:rPr>
          <w:i/>
        </w:rPr>
      </w:pPr>
      <w:proofErr w:type="gramStart"/>
      <w:r w:rsidRPr="00093CF5">
        <w:rPr>
          <w:i/>
          <w:lang w:val="en-US"/>
        </w:rPr>
        <w:t>PD</w:t>
      </w:r>
      <w:r w:rsidRPr="00093CF5">
        <w:rPr>
          <w:i/>
        </w:rPr>
        <w:t>(</w:t>
      </w:r>
      <w:proofErr w:type="gramEnd"/>
      <w:r w:rsidRPr="00870BE4">
        <w:rPr>
          <w:rFonts w:ascii="Symbol" w:hAnsi="Symbol"/>
          <w:lang w:val="en-US"/>
        </w:rPr>
        <w:t></w:t>
      </w:r>
      <w:r w:rsidRPr="00093CF5">
        <w:rPr>
          <w:i/>
        </w:rPr>
        <w:t xml:space="preserve">) – </w:t>
      </w:r>
      <w:r w:rsidRPr="00093CF5">
        <w:t>вероятность дефолта за период</w:t>
      </w:r>
      <w:r w:rsidRPr="00093CF5">
        <w:rPr>
          <w:rFonts w:ascii="Symbol" w:hAnsi="Symbol"/>
          <w:lang w:val="en-US"/>
        </w:rPr>
        <w:t></w:t>
      </w:r>
      <w:r w:rsidRPr="00093CF5">
        <w:rPr>
          <w:rFonts w:ascii="Symbol" w:hAnsi="Symbol"/>
          <w:lang w:val="en-US"/>
        </w:rPr>
        <w:t></w:t>
      </w:r>
      <w:r w:rsidRPr="00093CF5">
        <w:rPr>
          <w:rFonts w:ascii="Symbol" w:hAnsi="Symbol"/>
        </w:rPr>
        <w:t></w:t>
      </w:r>
      <w:r w:rsidRPr="00093CF5">
        <w:t>при условии отсутствия дефолта до момента начала периода,</w:t>
      </w:r>
    </w:p>
    <w:p w:rsidR="00A4755C" w:rsidRPr="00093CF5" w:rsidRDefault="00A4755C" w:rsidP="00093CF5">
      <w:pPr>
        <w:spacing w:after="120"/>
        <w:ind w:left="1134"/>
        <w:jc w:val="both"/>
        <w:rPr>
          <w:i/>
        </w:rPr>
      </w:pPr>
      <w:r w:rsidRPr="00870BE4">
        <w:rPr>
          <w:rFonts w:ascii="Symbol" w:hAnsi="Symbol"/>
          <w:lang w:val="en-US"/>
        </w:rPr>
        <w:t></w:t>
      </w:r>
      <w:r w:rsidRPr="00093CF5">
        <w:rPr>
          <w:i/>
        </w:rPr>
        <w:t xml:space="preserve"> – </w:t>
      </w:r>
      <w:r w:rsidRPr="00093CF5">
        <w:t xml:space="preserve">период между выплатами по (предполагаемому) </w:t>
      </w:r>
      <w:r w:rsidRPr="00093CF5">
        <w:rPr>
          <w:lang w:val="en-US"/>
        </w:rPr>
        <w:t>CDS</w:t>
      </w:r>
      <w:r w:rsidRPr="00093CF5">
        <w:t>,</w:t>
      </w:r>
    </w:p>
    <w:p w:rsidR="00A4755C" w:rsidRPr="00093CF5" w:rsidRDefault="00A4755C" w:rsidP="00093CF5">
      <w:pPr>
        <w:spacing w:after="120"/>
        <w:ind w:left="1134"/>
        <w:jc w:val="both"/>
        <w:rPr>
          <w:i/>
        </w:rPr>
      </w:pPr>
      <w:r w:rsidRPr="00093CF5">
        <w:rPr>
          <w:i/>
          <w:lang w:val="en-US"/>
        </w:rPr>
        <w:t>s</w:t>
      </w:r>
      <w:r w:rsidRPr="00093CF5">
        <w:rPr>
          <w:i/>
        </w:rPr>
        <w:t xml:space="preserve"> – </w:t>
      </w:r>
      <w:r w:rsidRPr="00093CF5">
        <w:rPr>
          <w:lang w:val="en-US"/>
        </w:rPr>
        <w:t>CDS</w:t>
      </w:r>
      <w:r w:rsidRPr="00093CF5">
        <w:t xml:space="preserve"> спред</w:t>
      </w:r>
    </w:p>
    <w:p w:rsidR="00A4755C" w:rsidRPr="0030224B" w:rsidRDefault="00A4755C" w:rsidP="00093CF5">
      <w:pPr>
        <w:spacing w:after="120"/>
        <w:ind w:left="1134"/>
        <w:jc w:val="both"/>
        <w:rPr>
          <w:i/>
        </w:rPr>
      </w:pPr>
      <w:proofErr w:type="spellStart"/>
      <w:r w:rsidRPr="00093CF5">
        <w:rPr>
          <w:i/>
          <w:lang w:val="en-US"/>
        </w:rPr>
        <w:t>Rp</w:t>
      </w:r>
      <w:proofErr w:type="spellEnd"/>
      <w:r w:rsidRPr="0030224B">
        <w:rPr>
          <w:i/>
        </w:rPr>
        <w:t xml:space="preserve"> – </w:t>
      </w:r>
      <w:r w:rsidRPr="00093CF5">
        <w:rPr>
          <w:lang w:val="en-US"/>
        </w:rPr>
        <w:t>recovery</w:t>
      </w:r>
      <w:r w:rsidRPr="0030224B">
        <w:t xml:space="preserve"> </w:t>
      </w:r>
      <w:r w:rsidRPr="00093CF5">
        <w:rPr>
          <w:lang w:val="en-US"/>
        </w:rPr>
        <w:t>rate</w:t>
      </w:r>
      <w:r w:rsidRPr="0030224B">
        <w:t xml:space="preserve"> для </w:t>
      </w:r>
      <w:r w:rsidRPr="00093CF5">
        <w:rPr>
          <w:lang w:val="en-US"/>
        </w:rPr>
        <w:t>CDS</w:t>
      </w:r>
      <w:r w:rsidRPr="0030224B">
        <w:t xml:space="preserve">, определяемый как процент от номинала по </w:t>
      </w:r>
      <w:r w:rsidRPr="00093CF5">
        <w:rPr>
          <w:lang w:val="en-US"/>
        </w:rPr>
        <w:t>CDS</w:t>
      </w:r>
    </w:p>
    <w:p w:rsidR="00A4755C" w:rsidRDefault="00A4755C" w:rsidP="00D93655"/>
    <w:p w:rsidR="00A4755C" w:rsidRPr="00093CF5" w:rsidRDefault="00A4755C" w:rsidP="00093CF5">
      <w:pPr>
        <w:numPr>
          <w:ilvl w:val="2"/>
          <w:numId w:val="12"/>
        </w:numPr>
        <w:autoSpaceDE w:val="0"/>
        <w:autoSpaceDN w:val="0"/>
        <w:spacing w:after="240"/>
        <w:ind w:left="1134" w:hanging="709"/>
        <w:jc w:val="both"/>
      </w:pPr>
      <w:r w:rsidRPr="00093CF5">
        <w:t xml:space="preserve">В соответствие с выбранной моделью, безусловная вероятность дефолта за период, начиная с текущего момента до момента времени </w:t>
      </w:r>
      <w:r w:rsidRPr="00093CF5">
        <w:rPr>
          <w:i/>
        </w:rPr>
        <w:t>t</w:t>
      </w:r>
      <w:r w:rsidRPr="00093CF5">
        <w:t xml:space="preserve">, смоделированная с помощью процесса с интенсивностью дефолта </w:t>
      </w:r>
      <w:r w:rsidRPr="000D2561">
        <w:rPr>
          <w:rFonts w:ascii="Symbol" w:hAnsi="Symbol"/>
          <w:i/>
          <w:lang w:val="en-US"/>
        </w:rPr>
        <w:t></w:t>
      </w:r>
      <w:r w:rsidRPr="00093CF5">
        <w:t>, определяется как:</w:t>
      </w:r>
    </w:p>
    <w:tbl>
      <w:tblPr>
        <w:tblStyle w:val="a8"/>
        <w:tblW w:w="5710"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2855"/>
      </w:tblGrid>
      <w:tr w:rsidR="001C44E6" w:rsidTr="001C44E6">
        <w:trPr>
          <w:trHeight w:val="388"/>
        </w:trPr>
        <w:tc>
          <w:tcPr>
            <w:tcW w:w="2855" w:type="dxa"/>
          </w:tcPr>
          <w:p w:rsidR="001C44E6" w:rsidRPr="00F415A3" w:rsidRDefault="001C44E6" w:rsidP="001C44E6">
            <w:pPr>
              <w:ind w:firstLine="3686"/>
              <w:rPr>
                <w:rFonts w:eastAsiaTheme="minorEastAsia"/>
              </w:rPr>
            </w:pPr>
            <m:oMathPara>
              <m:oMathParaPr>
                <m:jc m:val="left"/>
              </m:oMathParaPr>
              <m:oMath>
                <m:r>
                  <w:rPr>
                    <w:rFonts w:ascii="Cambria Math" w:hAnsi="Cambria Math"/>
                    <w:lang w:val="en-US"/>
                  </w:rPr>
                  <m:t>PD</m:t>
                </m:r>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t</m:t>
                        </m:r>
                      </m:sub>
                    </m:sSub>
                    <m:r>
                      <w:rPr>
                        <w:rFonts w:ascii="Cambria Math" w:hAnsi="Cambria Math"/>
                        <w:lang w:val="en-US"/>
                      </w:rPr>
                      <m:t>t</m:t>
                    </m:r>
                  </m:sup>
                </m:sSup>
              </m:oMath>
            </m:oMathPara>
          </w:p>
        </w:tc>
        <w:tc>
          <w:tcPr>
            <w:tcW w:w="2855" w:type="dxa"/>
          </w:tcPr>
          <w:p w:rsidR="001C44E6" w:rsidRDefault="001C44E6" w:rsidP="001C44E6">
            <w:pPr>
              <w:jc w:val="right"/>
              <w:rPr>
                <w:rFonts w:eastAsiaTheme="minorEastAsia"/>
              </w:rPr>
            </w:pPr>
            <w:r>
              <w:rPr>
                <w:rFonts w:eastAsiaTheme="minorEastAsia"/>
              </w:rPr>
              <w:t>(5)</w:t>
            </w:r>
          </w:p>
        </w:tc>
      </w:tr>
    </w:tbl>
    <w:p w:rsidR="00A4755C" w:rsidRPr="00093CF5" w:rsidRDefault="00A4755C" w:rsidP="00093CF5">
      <w:pPr>
        <w:numPr>
          <w:ilvl w:val="2"/>
          <w:numId w:val="12"/>
        </w:numPr>
        <w:autoSpaceDE w:val="0"/>
        <w:autoSpaceDN w:val="0"/>
        <w:spacing w:after="240"/>
        <w:ind w:left="1134" w:hanging="709"/>
        <w:jc w:val="both"/>
      </w:pPr>
      <w:r w:rsidRPr="00093CF5">
        <w:t xml:space="preserve">При этом полагаем, что </w:t>
      </w:r>
      <w:r w:rsidRPr="00BE7DB1">
        <w:rPr>
          <w:rFonts w:ascii="Symbol" w:hAnsi="Symbol"/>
          <w:i/>
          <w:lang w:val="en-US"/>
        </w:rPr>
        <w:t></w:t>
      </w:r>
      <w:r w:rsidRPr="00BE7DB1">
        <w:rPr>
          <w:i/>
          <w:vertAlign w:val="subscript"/>
          <w:lang w:val="en-US"/>
        </w:rPr>
        <w:t>t</w:t>
      </w:r>
      <w:r w:rsidRPr="00BE7DB1">
        <w:t xml:space="preserve"> </w:t>
      </w:r>
      <w:r w:rsidRPr="00093CF5">
        <w:t>– детерминистическая функция</w:t>
      </w:r>
      <w:r w:rsidRPr="00093CF5">
        <w:rPr>
          <w:vertAlign w:val="superscript"/>
        </w:rPr>
        <w:footnoteReference w:id="4"/>
      </w:r>
      <w:r w:rsidRPr="00093CF5">
        <w:t xml:space="preserve">. При наличии нескольких CDS на разные сроки </w:t>
      </w:r>
      <w:r w:rsidRPr="00BE7DB1">
        <w:rPr>
          <w:rFonts w:ascii="Symbol" w:hAnsi="Symbol"/>
          <w:i/>
          <w:lang w:val="en-US"/>
        </w:rPr>
        <w:t></w:t>
      </w:r>
      <w:r w:rsidRPr="00BE7DB1">
        <w:rPr>
          <w:i/>
          <w:vertAlign w:val="subscript"/>
          <w:lang w:val="en-US"/>
        </w:rPr>
        <w:t>t</w:t>
      </w:r>
      <w:r>
        <w:rPr>
          <w:i/>
          <w:vertAlign w:val="subscript"/>
        </w:rPr>
        <w:t xml:space="preserve"> </w:t>
      </w:r>
      <w:r w:rsidRPr="00093CF5">
        <w:t xml:space="preserve">может быть откалибрована соответствующим образом (например, как кусочно-линейная функция) так, чтобы модель позволяла производить точную оценку существующих рыночных контрактов CDS. При наличии только одного спреда полагаем </w:t>
      </w:r>
      <w:r w:rsidRPr="00BE7DB1">
        <w:rPr>
          <w:rFonts w:ascii="Symbol" w:hAnsi="Symbol"/>
          <w:i/>
          <w:lang w:val="en-US"/>
        </w:rPr>
        <w:t></w:t>
      </w:r>
      <w:r w:rsidRPr="00BE7DB1">
        <w:rPr>
          <w:i/>
          <w:vertAlign w:val="subscript"/>
          <w:lang w:val="en-US"/>
        </w:rPr>
        <w:t>t</w:t>
      </w:r>
      <w:r>
        <w:t xml:space="preserve"> =</w:t>
      </w:r>
      <w:r w:rsidRPr="00BE7DB1">
        <w:rPr>
          <w:rFonts w:ascii="Symbol" w:hAnsi="Symbol"/>
          <w:i/>
          <w:lang w:val="en-US"/>
        </w:rPr>
        <w:t></w:t>
      </w:r>
      <w:r>
        <w:t>=</w:t>
      </w:r>
      <w:proofErr w:type="spellStart"/>
      <w:r>
        <w:rPr>
          <w:lang w:val="en-US"/>
        </w:rPr>
        <w:t>const</w:t>
      </w:r>
      <w:proofErr w:type="spellEnd"/>
      <w:r w:rsidRPr="001C44E6">
        <w:t>.</w:t>
      </w:r>
    </w:p>
    <w:p w:rsidR="00A4755C" w:rsidRDefault="00A4755C" w:rsidP="00D93655"/>
    <w:p w:rsidR="00A4755C" w:rsidRPr="00093CF5" w:rsidRDefault="00A4755C" w:rsidP="00093CF5">
      <w:pPr>
        <w:numPr>
          <w:ilvl w:val="2"/>
          <w:numId w:val="12"/>
        </w:numPr>
        <w:autoSpaceDE w:val="0"/>
        <w:autoSpaceDN w:val="0"/>
        <w:spacing w:after="240"/>
        <w:ind w:left="1134" w:hanging="709"/>
        <w:jc w:val="both"/>
      </w:pPr>
      <w:r w:rsidRPr="00093CF5">
        <w:t>В этом случае из (4) и (5) получаем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919"/>
      </w:tblGrid>
      <w:tr w:rsidR="001C44E6" w:rsidTr="001C44E6">
        <w:trPr>
          <w:trHeight w:val="824"/>
        </w:trPr>
        <w:tc>
          <w:tcPr>
            <w:tcW w:w="8545" w:type="dxa"/>
          </w:tcPr>
          <w:p w:rsidR="001C44E6" w:rsidRPr="00870BE4" w:rsidRDefault="001C44E6" w:rsidP="001C44E6">
            <w:pPr>
              <w:ind w:left="3261"/>
              <w:rPr>
                <w:rFonts w:eastAsiaTheme="minorEastAsia"/>
                <w:lang w:val="en-US"/>
              </w:rPr>
            </w:pPr>
            <m:oMathPara>
              <m:oMathParaPr>
                <m:jc m:val="left"/>
              </m:oMathParaPr>
              <m:oMath>
                <m:r>
                  <w:rPr>
                    <w:rFonts w:ascii="Cambria Math" w:hAnsi="Cambria Math"/>
                    <w:lang w:val="en-US"/>
                  </w:rPr>
                  <m:t>λ=</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τ</m:t>
                    </m:r>
                  </m:den>
                </m:f>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s∙τ+1-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den>
                    </m:f>
                  </m:e>
                </m:d>
              </m:oMath>
            </m:oMathPara>
          </w:p>
        </w:tc>
        <w:tc>
          <w:tcPr>
            <w:tcW w:w="919" w:type="dxa"/>
          </w:tcPr>
          <w:p w:rsidR="001C44E6" w:rsidRDefault="001C44E6" w:rsidP="001C44E6">
            <w:pPr>
              <w:jc w:val="right"/>
              <w:rPr>
                <w:rFonts w:eastAsiaTheme="minorEastAsia"/>
              </w:rPr>
            </w:pPr>
            <w:r>
              <w:rPr>
                <w:rFonts w:eastAsiaTheme="minorEastAsia"/>
              </w:rPr>
              <w:t>(6)</w:t>
            </w:r>
          </w:p>
        </w:tc>
      </w:tr>
    </w:tbl>
    <w:p w:rsidR="00A4755C" w:rsidRDefault="00A4755C" w:rsidP="00D93655"/>
    <w:p w:rsidR="00A4755C" w:rsidRPr="00093CF5" w:rsidRDefault="00A4755C" w:rsidP="00093CF5">
      <w:pPr>
        <w:numPr>
          <w:ilvl w:val="2"/>
          <w:numId w:val="12"/>
        </w:numPr>
        <w:autoSpaceDE w:val="0"/>
        <w:autoSpaceDN w:val="0"/>
        <w:spacing w:after="240"/>
        <w:ind w:left="1134" w:hanging="709"/>
        <w:jc w:val="both"/>
      </w:pPr>
      <w:r w:rsidRPr="00093CF5">
        <w:t>При малой величине</w:t>
      </w:r>
      <w:r w:rsidR="001C44E6">
        <w:t xml:space="preserve"> </w:t>
      </w:r>
      <w:r w:rsidR="001C44E6" w:rsidRPr="00093CF5">
        <w:t xml:space="preserve"> </w:t>
      </w:r>
      <m:oMath>
        <m:d>
          <m:dPr>
            <m:ctrlPr>
              <w:rPr>
                <w:rFonts w:ascii="Cambria Math" w:hAnsi="Cambria Math"/>
              </w:rPr>
            </m:ctrlPr>
          </m:dPr>
          <m:e>
            <m:f>
              <m:fPr>
                <m:ctrlPr>
                  <w:rPr>
                    <w:rFonts w:ascii="Cambria Math" w:hAnsi="Cambria Math"/>
                  </w:rPr>
                </m:ctrlPr>
              </m:fPr>
              <m:num>
                <m:r>
                  <m:rPr>
                    <m:sty m:val="p"/>
                  </m:rPr>
                  <w:rPr>
                    <w:rFonts w:ascii="Cambria Math" w:hAnsi="Cambria Math"/>
                  </w:rPr>
                  <m:t>s∙τ</m:t>
                </m:r>
              </m:num>
              <m:den>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den>
            </m:f>
          </m:e>
        </m:d>
      </m:oMath>
      <w:r w:rsidRPr="00093CF5">
        <w:t xml:space="preserve"> значение </w:t>
      </w:r>
      <w:r w:rsidRPr="00C273EF">
        <w:rPr>
          <w:rFonts w:ascii="Symbol" w:hAnsi="Symbol"/>
          <w:i/>
          <w:lang w:val="en-US"/>
        </w:rPr>
        <w:t></w:t>
      </w:r>
      <w:r w:rsidRPr="00093CF5">
        <w:t xml:space="preserve"> может быть приближено как</w:t>
      </w:r>
      <w:r w:rsidRPr="00093CF5">
        <w:rPr>
          <w:vertAlign w:val="superscript"/>
        </w:rPr>
        <w:footnoteReference w:id="5"/>
      </w:r>
      <w:r w:rsidRPr="00093CF5">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1"/>
        <w:gridCol w:w="917"/>
      </w:tblGrid>
      <w:tr w:rsidR="001C44E6" w:rsidTr="001C44E6">
        <w:trPr>
          <w:trHeight w:val="702"/>
        </w:trPr>
        <w:tc>
          <w:tcPr>
            <w:tcW w:w="8531" w:type="dxa"/>
          </w:tcPr>
          <w:p w:rsidR="001C44E6" w:rsidRPr="00093CF5" w:rsidRDefault="001C44E6" w:rsidP="001C44E6">
            <w:pPr>
              <w:rPr>
                <w:rFonts w:eastAsiaTheme="minorEastAsia"/>
                <w:lang w:val="en-US"/>
              </w:rPr>
            </w:pPr>
            <m:oMathPara>
              <m:oMathParaPr>
                <m:jc m:val="center"/>
              </m:oMathParaPr>
              <m:oMath>
                <m:r>
                  <w:rPr>
                    <w:rFonts w:ascii="Cambria Math" w:hAnsi="Cambria Math"/>
                    <w:lang w:val="en-US"/>
                  </w:rPr>
                  <m:t>λ≈</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den>
                </m:f>
              </m:oMath>
            </m:oMathPara>
          </w:p>
        </w:tc>
        <w:tc>
          <w:tcPr>
            <w:tcW w:w="917" w:type="dxa"/>
          </w:tcPr>
          <w:p w:rsidR="001C44E6" w:rsidRDefault="001C44E6" w:rsidP="001C44E6">
            <w:pPr>
              <w:jc w:val="right"/>
              <w:rPr>
                <w:rFonts w:eastAsiaTheme="minorEastAsia"/>
              </w:rPr>
            </w:pPr>
            <w:r>
              <w:rPr>
                <w:rFonts w:eastAsiaTheme="minorEastAsia"/>
              </w:rPr>
              <w:t>(7)</w:t>
            </w:r>
          </w:p>
        </w:tc>
      </w:tr>
    </w:tbl>
    <w:p w:rsidR="00A4755C" w:rsidRPr="00093CF5" w:rsidRDefault="00A4755C" w:rsidP="00093CF5">
      <w:pPr>
        <w:spacing w:after="120"/>
        <w:ind w:firstLine="1134"/>
        <w:jc w:val="both"/>
      </w:pPr>
      <w:r>
        <w:t>где</w:t>
      </w:r>
    </w:p>
    <w:p w:rsidR="00A4755C" w:rsidRPr="001C1C46" w:rsidRDefault="00A4755C" w:rsidP="001C1C46">
      <w:pPr>
        <w:spacing w:after="120"/>
        <w:ind w:left="1134"/>
        <w:jc w:val="both"/>
        <w:rPr>
          <w:i/>
        </w:rPr>
      </w:pPr>
      <w:r w:rsidRPr="0075086B">
        <w:rPr>
          <w:rFonts w:ascii="Symbol" w:hAnsi="Symbol"/>
          <w:i/>
          <w:lang w:val="en-US"/>
        </w:rPr>
        <w:t></w:t>
      </w:r>
      <w:r w:rsidRPr="001C1C46">
        <w:rPr>
          <w:i/>
          <w:lang w:val="en-US"/>
        </w:rPr>
        <w:t xml:space="preserve"> – </w:t>
      </w:r>
      <w:proofErr w:type="spellStart"/>
      <w:r w:rsidRPr="001C1C46">
        <w:rPr>
          <w:lang w:val="en-US"/>
        </w:rPr>
        <w:t>интенсивность</w:t>
      </w:r>
      <w:proofErr w:type="spellEnd"/>
      <w:r w:rsidRPr="001C1C46">
        <w:rPr>
          <w:lang w:val="en-US"/>
        </w:rPr>
        <w:t xml:space="preserve"> </w:t>
      </w:r>
      <w:proofErr w:type="spellStart"/>
      <w:r w:rsidRPr="001C1C46">
        <w:rPr>
          <w:lang w:val="en-US"/>
        </w:rPr>
        <w:t>дефолта</w:t>
      </w:r>
      <w:proofErr w:type="spellEnd"/>
      <w:r>
        <w:t>,</w:t>
      </w:r>
    </w:p>
    <w:p w:rsidR="00A4755C" w:rsidRPr="001C1C46" w:rsidRDefault="00A4755C" w:rsidP="001C1C46">
      <w:pPr>
        <w:spacing w:after="120"/>
        <w:ind w:left="1134"/>
        <w:jc w:val="both"/>
        <w:rPr>
          <w:i/>
        </w:rPr>
      </w:pPr>
      <w:r w:rsidRPr="00870BE4">
        <w:rPr>
          <w:rFonts w:ascii="Symbol" w:hAnsi="Symbol"/>
          <w:lang w:val="en-US"/>
        </w:rPr>
        <w:t></w:t>
      </w:r>
      <w:r w:rsidRPr="001C1C46">
        <w:rPr>
          <w:i/>
        </w:rPr>
        <w:t xml:space="preserve"> – </w:t>
      </w:r>
      <w:r w:rsidRPr="001C1C46">
        <w:t xml:space="preserve">(предполагаемый) период между выплатами по (предполагаемому) </w:t>
      </w:r>
      <w:r w:rsidRPr="001C1C46">
        <w:rPr>
          <w:lang w:val="en-US"/>
        </w:rPr>
        <w:t>CDS</w:t>
      </w:r>
      <w:r w:rsidRPr="001C1C46">
        <w:t>,</w:t>
      </w:r>
    </w:p>
    <w:p w:rsidR="00A4755C" w:rsidRPr="001C1C46" w:rsidRDefault="00A4755C" w:rsidP="001C1C46">
      <w:pPr>
        <w:spacing w:after="120"/>
        <w:ind w:left="1134"/>
        <w:jc w:val="both"/>
        <w:rPr>
          <w:i/>
        </w:rPr>
      </w:pPr>
      <w:r w:rsidRPr="001C1C46">
        <w:rPr>
          <w:i/>
          <w:lang w:val="en-US"/>
        </w:rPr>
        <w:lastRenderedPageBreak/>
        <w:t>s</w:t>
      </w:r>
      <w:r w:rsidRPr="001C1C46">
        <w:rPr>
          <w:i/>
        </w:rPr>
        <w:t xml:space="preserve"> – </w:t>
      </w:r>
      <w:r w:rsidRPr="001C1C46">
        <w:rPr>
          <w:lang w:val="en-US"/>
        </w:rPr>
        <w:t>CDS</w:t>
      </w:r>
      <w:r w:rsidRPr="001C1C46">
        <w:t xml:space="preserve"> спред,</w:t>
      </w:r>
    </w:p>
    <w:p w:rsidR="00A4755C" w:rsidRPr="001C1C46" w:rsidRDefault="00A4755C" w:rsidP="001C1C46">
      <w:pPr>
        <w:spacing w:after="120"/>
        <w:ind w:left="1134"/>
        <w:jc w:val="both"/>
        <w:rPr>
          <w:i/>
        </w:rPr>
      </w:pPr>
      <w:proofErr w:type="spellStart"/>
      <w:proofErr w:type="gramStart"/>
      <w:r w:rsidRPr="001C1C46">
        <w:rPr>
          <w:i/>
          <w:lang w:val="en-US"/>
        </w:rPr>
        <w:t>Rp</w:t>
      </w:r>
      <w:proofErr w:type="spellEnd"/>
      <w:r w:rsidRPr="001C1C46">
        <w:rPr>
          <w:i/>
        </w:rPr>
        <w:t xml:space="preserve"> – </w:t>
      </w:r>
      <w:r w:rsidRPr="001C1C46">
        <w:rPr>
          <w:lang w:val="en-US"/>
        </w:rPr>
        <w:t>recovery</w:t>
      </w:r>
      <w:r w:rsidRPr="001C1C46">
        <w:t xml:space="preserve"> </w:t>
      </w:r>
      <w:r w:rsidRPr="001C1C46">
        <w:rPr>
          <w:lang w:val="en-US"/>
        </w:rPr>
        <w:t>rate</w:t>
      </w:r>
      <w:r w:rsidRPr="001C1C46">
        <w:t xml:space="preserve"> для </w:t>
      </w:r>
      <w:r w:rsidRPr="001C1C46">
        <w:rPr>
          <w:lang w:val="en-US"/>
        </w:rPr>
        <w:t>CDS</w:t>
      </w:r>
      <w:r w:rsidRPr="001C1C46">
        <w:t xml:space="preserve"> (процент от номинала).</w:t>
      </w:r>
      <w:proofErr w:type="gramEnd"/>
    </w:p>
    <w:p w:rsidR="00A4755C" w:rsidRDefault="00A4755C" w:rsidP="00D93655"/>
    <w:p w:rsidR="00A4755C" w:rsidRPr="001C1C46" w:rsidRDefault="00A4755C" w:rsidP="001C1C46">
      <w:pPr>
        <w:numPr>
          <w:ilvl w:val="2"/>
          <w:numId w:val="12"/>
        </w:numPr>
        <w:autoSpaceDE w:val="0"/>
        <w:autoSpaceDN w:val="0"/>
        <w:spacing w:after="240"/>
        <w:ind w:left="1134" w:hanging="709"/>
        <w:jc w:val="both"/>
      </w:pPr>
      <w:r w:rsidRPr="001C1C46">
        <w:t>В итоге, получаем способ вычисления вероятности дефолта, используемой в формуле (3) для CVA:</w:t>
      </w: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686"/>
      </w:tblGrid>
      <w:tr w:rsidR="001C44E6" w:rsidTr="001C44E6">
        <w:trPr>
          <w:trHeight w:val="397"/>
        </w:trPr>
        <w:tc>
          <w:tcPr>
            <w:tcW w:w="5778" w:type="dxa"/>
          </w:tcPr>
          <w:p w:rsidR="001C44E6" w:rsidRPr="000A115A" w:rsidRDefault="001C44E6" w:rsidP="001C44E6">
            <w:pPr>
              <w:ind w:left="3402" w:hanging="3402"/>
              <w:rPr>
                <w:rFonts w:eastAsiaTheme="minorEastAsia"/>
              </w:rPr>
            </w:pPr>
            <m:oMathPara>
              <m:oMathParaPr>
                <m:jc m:val="left"/>
              </m:oMathParaPr>
              <m:oMath>
                <m:r>
                  <w:rPr>
                    <w:rFonts w:ascii="Cambria Math" w:hAnsi="Cambria Math"/>
                    <w:lang w:val="en-US"/>
                  </w:rPr>
                  <m:t>PD</m:t>
                </m:r>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-λT</m:t>
                    </m:r>
                  </m:sup>
                </m:sSup>
              </m:oMath>
            </m:oMathPara>
          </w:p>
        </w:tc>
        <w:tc>
          <w:tcPr>
            <w:tcW w:w="3686" w:type="dxa"/>
          </w:tcPr>
          <w:p w:rsidR="001C44E6" w:rsidRDefault="001C44E6" w:rsidP="001C44E6">
            <w:pPr>
              <w:jc w:val="right"/>
              <w:rPr>
                <w:rFonts w:eastAsiaTheme="minorEastAsia"/>
              </w:rPr>
            </w:pPr>
            <w:r>
              <w:rPr>
                <w:rFonts w:eastAsiaTheme="minorEastAsia"/>
              </w:rPr>
              <w:t>(8)</w:t>
            </w:r>
          </w:p>
        </w:tc>
      </w:tr>
    </w:tbl>
    <w:p w:rsidR="00A4755C" w:rsidRPr="000A115A" w:rsidRDefault="00A4755C" w:rsidP="001C1C46">
      <w:pPr>
        <w:spacing w:after="120"/>
        <w:ind w:firstLine="1134"/>
        <w:jc w:val="both"/>
      </w:pPr>
      <w:r w:rsidRPr="00870BE4">
        <w:t>где</w:t>
      </w:r>
      <w:r w:rsidRPr="000A115A">
        <w:t xml:space="preserve"> </w:t>
      </w:r>
      <w:r w:rsidRPr="0075086B">
        <w:rPr>
          <w:rFonts w:ascii="Symbol" w:hAnsi="Symbol"/>
          <w:i/>
          <w:lang w:val="en-US"/>
        </w:rPr>
        <w:t></w:t>
      </w:r>
      <w:r>
        <w:t xml:space="preserve"> </w:t>
      </w:r>
      <w:r w:rsidRPr="001C1C46">
        <w:t>определяется по формуле (6) или (7)</w:t>
      </w:r>
      <w:r>
        <w:t>.</w:t>
      </w:r>
    </w:p>
    <w:p w:rsidR="00A4755C" w:rsidRPr="00F9558C" w:rsidRDefault="00A4755C" w:rsidP="00C7795A"/>
    <w:p w:rsidR="00A4755C" w:rsidRPr="002541AC" w:rsidRDefault="00A4755C" w:rsidP="0057743E"/>
    <w:p w:rsidR="00A4755C" w:rsidRPr="002541AC" w:rsidRDefault="00A4755C" w:rsidP="0057743E">
      <w:pPr>
        <w:pStyle w:val="1"/>
        <w:keepLines w:val="0"/>
        <w:numPr>
          <w:ilvl w:val="0"/>
          <w:numId w:val="12"/>
        </w:numPr>
        <w:pBdr>
          <w:bottom w:val="single" w:sz="4" w:space="0" w:color="auto"/>
        </w:pBdr>
        <w:autoSpaceDE w:val="0"/>
        <w:autoSpaceDN w:val="0"/>
        <w:spacing w:before="0" w:after="240"/>
        <w:jc w:val="both"/>
        <w:rPr>
          <w:rFonts w:ascii="Times New Roman" w:hAnsi="Times New Roman" w:cs="Arial"/>
          <w:color w:val="auto"/>
          <w:kern w:val="32"/>
          <w:sz w:val="32"/>
          <w:szCs w:val="32"/>
        </w:rPr>
      </w:pPr>
      <w:bookmarkStart w:id="15" w:name="_Toc340832285"/>
      <w:r>
        <w:rPr>
          <w:rFonts w:ascii="Times New Roman" w:hAnsi="Times New Roman" w:cs="Arial"/>
          <w:color w:val="auto"/>
          <w:kern w:val="32"/>
          <w:sz w:val="32"/>
          <w:szCs w:val="32"/>
        </w:rPr>
        <w:t xml:space="preserve">Расчет </w:t>
      </w:r>
      <w:r w:rsidRPr="002541AC">
        <w:rPr>
          <w:rFonts w:ascii="Times New Roman" w:hAnsi="Times New Roman" w:cs="Arial"/>
          <w:color w:val="auto"/>
          <w:kern w:val="32"/>
          <w:sz w:val="32"/>
          <w:szCs w:val="32"/>
        </w:rPr>
        <w:t>CVA</w:t>
      </w:r>
      <w:r w:rsidRPr="0057743E">
        <w:rPr>
          <w:rFonts w:ascii="Times New Roman" w:hAnsi="Times New Roman" w:cs="Arial"/>
          <w:color w:val="auto"/>
          <w:kern w:val="32"/>
          <w:sz w:val="32"/>
          <w:szCs w:val="32"/>
        </w:rPr>
        <w:t xml:space="preserve"> </w:t>
      </w:r>
      <w:r>
        <w:rPr>
          <w:rFonts w:ascii="Times New Roman" w:hAnsi="Times New Roman" w:cs="Arial"/>
          <w:color w:val="auto"/>
          <w:kern w:val="32"/>
          <w:sz w:val="32"/>
          <w:szCs w:val="32"/>
        </w:rPr>
        <w:t>для валютного</w:t>
      </w:r>
      <w:r w:rsidRPr="0057743E">
        <w:rPr>
          <w:rFonts w:ascii="Times New Roman" w:hAnsi="Times New Roman" w:cs="Arial"/>
          <w:color w:val="auto"/>
          <w:kern w:val="32"/>
          <w:sz w:val="32"/>
          <w:szCs w:val="32"/>
        </w:rPr>
        <w:t xml:space="preserve"> форвард</w:t>
      </w:r>
      <w:r>
        <w:rPr>
          <w:rFonts w:ascii="Times New Roman" w:hAnsi="Times New Roman" w:cs="Arial"/>
          <w:color w:val="auto"/>
          <w:kern w:val="32"/>
          <w:sz w:val="32"/>
          <w:szCs w:val="32"/>
        </w:rPr>
        <w:t>а</w:t>
      </w:r>
      <w:bookmarkEnd w:id="15"/>
      <w:r w:rsidRPr="0057743E">
        <w:rPr>
          <w:rFonts w:ascii="Times New Roman" w:hAnsi="Times New Roman" w:cs="Arial"/>
          <w:color w:val="auto"/>
          <w:kern w:val="32"/>
          <w:sz w:val="32"/>
          <w:szCs w:val="32"/>
        </w:rPr>
        <w:t xml:space="preserve"> </w:t>
      </w:r>
    </w:p>
    <w:p w:rsidR="00A4755C" w:rsidRPr="00A40660" w:rsidRDefault="00A4755C" w:rsidP="0057743E">
      <w:pPr>
        <w:pStyle w:val="2"/>
        <w:keepLines w:val="0"/>
        <w:numPr>
          <w:ilvl w:val="1"/>
          <w:numId w:val="12"/>
        </w:numPr>
        <w:tabs>
          <w:tab w:val="num" w:pos="567"/>
        </w:tabs>
        <w:spacing w:before="240" w:after="240"/>
        <w:ind w:left="567" w:hanging="431"/>
        <w:jc w:val="both"/>
        <w:rPr>
          <w:rFonts w:ascii="Times New Roman" w:hAnsi="Times New Roman"/>
          <w:iCs/>
          <w:color w:val="auto"/>
          <w:sz w:val="24"/>
          <w:szCs w:val="24"/>
          <w:lang w:eastAsia="en-US"/>
        </w:rPr>
      </w:pPr>
      <w:bookmarkStart w:id="16" w:name="_Toc313983814"/>
      <w:bookmarkStart w:id="17" w:name="_Toc340832286"/>
      <w:r w:rsidRPr="004F3026">
        <w:rPr>
          <w:rFonts w:ascii="Times New Roman" w:hAnsi="Times New Roman"/>
          <w:iCs/>
          <w:color w:val="auto"/>
          <w:sz w:val="24"/>
          <w:szCs w:val="24"/>
          <w:lang w:eastAsia="en-US"/>
        </w:rPr>
        <w:t>Ожидаемая величина, подверженная кредитному риску для валютного форварда</w:t>
      </w:r>
      <w:bookmarkEnd w:id="16"/>
      <w:bookmarkEnd w:id="17"/>
    </w:p>
    <w:p w:rsidR="00A4755C" w:rsidRPr="004F3026" w:rsidRDefault="00A4755C" w:rsidP="004F3026">
      <w:pPr>
        <w:numPr>
          <w:ilvl w:val="2"/>
          <w:numId w:val="12"/>
        </w:numPr>
        <w:autoSpaceDE w:val="0"/>
        <w:autoSpaceDN w:val="0"/>
        <w:spacing w:after="240"/>
        <w:ind w:left="1134" w:hanging="709"/>
        <w:jc w:val="both"/>
      </w:pPr>
      <w:r w:rsidRPr="004F3026">
        <w:t xml:space="preserve">Величина приведенной ожидаемой стоимости, подверженной кредитному риску </w:t>
      </w:r>
      <w:r w:rsidRPr="0089791E">
        <w:rPr>
          <w:i/>
        </w:rPr>
        <w:t>C(0,T)</w:t>
      </w:r>
      <w:r w:rsidRPr="004F3026">
        <w:t xml:space="preserve"> в формуле (3) для FX форварда представляет собой:</w:t>
      </w:r>
    </w:p>
    <w:p w:rsidR="001C44E6" w:rsidRPr="001C44E6" w:rsidRDefault="001C44E6" w:rsidP="001C44E6">
      <w:pPr>
        <w:pStyle w:val="a6"/>
        <w:ind w:left="0"/>
      </w:pPr>
      <m:oMathPara>
        <m:oMath>
          <m:r>
            <m:rPr>
              <m:sty m:val="p"/>
            </m:rPr>
            <w:rPr>
              <w:rFonts w:ascii="Cambria Math" w:hAnsi="Cambria Math"/>
              <w:lang w:val="en-US"/>
            </w:rPr>
            <m:t>C</m:t>
          </m:r>
          <m:d>
            <m:dPr>
              <m:ctrlPr>
                <w:rPr>
                  <w:rFonts w:ascii="Cambria Math" w:hAnsi="Cambria Math"/>
                  <w:lang w:val="en-US"/>
                </w:rPr>
              </m:ctrlPr>
            </m:dPr>
            <m:e>
              <m:r>
                <m:rPr>
                  <m:sty m:val="p"/>
                </m:rPr>
                <w:rPr>
                  <w:rFonts w:ascii="Cambria Math" w:hAnsi="Cambria Math"/>
                  <w:lang w:val="en-US"/>
                </w:rPr>
                <m:t>0,</m:t>
              </m:r>
              <m:r>
                <w:rPr>
                  <w:rFonts w:ascii="Cambria Math" w:hAnsi="Cambria Math"/>
                  <w:lang w:val="en-US"/>
                </w:rPr>
                <m:t>T</m:t>
              </m:r>
            </m:e>
          </m:d>
          <m:r>
            <m:rPr>
              <m:sty m:val="p"/>
            </m:rPr>
            <w:rPr>
              <w:rFonts w:ascii="Cambria Math" w:hAnsi="Cambria Math"/>
              <w:lang w:val="en-US"/>
            </w:rPr>
            <m:t>=</m:t>
          </m:r>
          <m:func>
            <m:funcPr>
              <m:ctrlPr>
                <w:rPr>
                  <w:rFonts w:ascii="Cambria Math" w:hAnsi="Cambria Math"/>
                  <w:lang w:val="en-US"/>
                </w:rPr>
              </m:ctrlPr>
            </m:funcPr>
            <m:fNa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Q</m:t>
                  </m:r>
                </m:sup>
              </m:sSup>
            </m:fName>
            <m:e>
              <m:d>
                <m:dPr>
                  <m:begChr m:val="["/>
                  <m:endChr m:val="]"/>
                  <m:ctrlPr>
                    <w:rPr>
                      <w:rFonts w:ascii="Cambria Math" w:hAnsi="Cambria Math"/>
                      <w:lang w:val="en-US"/>
                    </w:rPr>
                  </m:ctrlPr>
                </m:dPr>
                <m:e>
                  <m:r>
                    <m:rPr>
                      <m:sty m:val="p"/>
                    </m:rPr>
                    <w:rPr>
                      <w:rFonts w:ascii="Cambria Math" w:hAnsi="Cambria Math"/>
                      <w:lang w:val="en-US"/>
                    </w:rPr>
                    <m:t>max</m:t>
                  </m:r>
                  <m:d>
                    <m:dPr>
                      <m:begChr m:val="{"/>
                      <m:endChr m:val="}"/>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,0</m:t>
                      </m:r>
                    </m:e>
                  </m:d>
                </m:e>
              </m:d>
            </m:e>
          </m:func>
          <m:r>
            <w:rPr>
              <w:rFonts w:ascii="Cambria Math" w:hAnsi="Cambria Math"/>
              <w:lang w:val="en-US"/>
            </w:rPr>
            <m:t>D</m:t>
          </m:r>
          <m:d>
            <m:dPr>
              <m:ctrlPr>
                <w:rPr>
                  <w:rFonts w:ascii="Cambria Math" w:hAnsi="Cambria Math"/>
                  <w:i/>
                  <w:lang w:val="en-US"/>
                </w:rPr>
              </m:ctrlPr>
            </m:dPr>
            <m:e>
              <m:r>
                <w:rPr>
                  <w:rFonts w:ascii="Cambria Math" w:hAnsi="Cambria Math"/>
                  <w:lang w:val="en-US"/>
                </w:rPr>
                <m:t>0,T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Q</m:t>
              </m:r>
            </m:sup>
          </m:sSup>
          <m:d>
            <m:dPr>
              <m:begChr m:val="["/>
              <m:endChr m:val="]"/>
              <m:ctrlPr>
                <w:rPr>
                  <w:rFonts w:ascii="Cambria Math" w:hAnsi="Cambria Math"/>
                  <w:lang w:val="en-US"/>
                </w:rPr>
              </m:ctrlPr>
            </m:dPr>
            <m:e>
              <m:func>
                <m:funcPr>
                  <m:ctrlPr>
                    <w:rPr>
                      <w:rFonts w:ascii="Cambria Math" w:hAnsi="Cambria Math"/>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-K,0</m:t>
                      </m:r>
                    </m:e>
                  </m:d>
                </m:e>
              </m:func>
            </m:e>
          </m:d>
          <m:r>
            <w:rPr>
              <w:rFonts w:ascii="Cambria Math" w:hAnsi="Cambria Math"/>
              <w:lang w:val="en-US"/>
            </w:rPr>
            <m:t>D</m:t>
          </m:r>
          <m:d>
            <m:dPr>
              <m:ctrlPr>
                <w:rPr>
                  <w:rFonts w:ascii="Cambria Math" w:hAnsi="Cambria Math"/>
                  <w:i/>
                  <w:lang w:val="en-US"/>
                </w:rPr>
              </m:ctrlPr>
            </m:dPr>
            <m:e>
              <m:r>
                <w:rPr>
                  <w:rFonts w:ascii="Cambria Math" w:hAnsi="Cambria Math"/>
                  <w:lang w:val="en-US"/>
                </w:rPr>
                <m:t>0,T</m:t>
              </m:r>
            </m:e>
          </m:d>
        </m:oMath>
      </m:oMathPara>
    </w:p>
    <w:p w:rsidR="00A4755C" w:rsidRPr="0089791E" w:rsidRDefault="00A4755C" w:rsidP="0089791E">
      <w:pPr>
        <w:ind w:left="1134"/>
        <w:jc w:val="both"/>
        <w:rPr>
          <w:sz w:val="18"/>
        </w:rPr>
      </w:pPr>
    </w:p>
    <w:p w:rsidR="00A4755C" w:rsidRPr="0089791E" w:rsidRDefault="00A4755C" w:rsidP="0089791E">
      <w:pPr>
        <w:spacing w:after="120"/>
        <w:ind w:left="1134"/>
        <w:jc w:val="both"/>
      </w:pPr>
      <w:r>
        <w:t xml:space="preserve">где </w:t>
      </w:r>
    </w:p>
    <w:p w:rsidR="00A4755C" w:rsidRPr="00152B56" w:rsidRDefault="00A4755C" w:rsidP="0089791E">
      <w:pPr>
        <w:spacing w:after="120"/>
        <w:ind w:left="1134"/>
        <w:jc w:val="both"/>
      </w:pPr>
      <w:proofErr w:type="gramStart"/>
      <w:r>
        <w:rPr>
          <w:i/>
          <w:lang w:val="en-US"/>
        </w:rPr>
        <w:t>E</w:t>
      </w:r>
      <w:r w:rsidRPr="000C59E1">
        <w:rPr>
          <w:i/>
          <w:vertAlign w:val="superscript"/>
          <w:lang w:val="en-US"/>
        </w:rPr>
        <w:t>Q</w:t>
      </w:r>
      <w:r w:rsidRPr="0008380E">
        <w:t xml:space="preserve"> </w:t>
      </w:r>
      <w:r w:rsidRPr="000C59E1">
        <w:rPr>
          <w:i/>
        </w:rPr>
        <w:t>[</w:t>
      </w:r>
      <w:r>
        <w:rPr>
          <w:i/>
        </w:rPr>
        <w:t>.</w:t>
      </w:r>
      <w:r w:rsidRPr="000C59E1">
        <w:rPr>
          <w:i/>
        </w:rPr>
        <w:t>]</w:t>
      </w:r>
      <w:proofErr w:type="gramEnd"/>
      <w:r w:rsidRPr="000C59E1">
        <w:t xml:space="preserve"> </w:t>
      </w:r>
      <w:r w:rsidRPr="0008380E">
        <w:t xml:space="preserve">– </w:t>
      </w:r>
      <w:r>
        <w:t xml:space="preserve">математическое ожидание в </w:t>
      </w:r>
      <w:proofErr w:type="gramStart"/>
      <w:r>
        <w:t>риск-нейтральной</w:t>
      </w:r>
      <w:proofErr w:type="gramEnd"/>
      <w:r>
        <w:t xml:space="preserve"> мере,</w:t>
      </w:r>
    </w:p>
    <w:p w:rsidR="00A4755C" w:rsidRPr="00710774" w:rsidRDefault="00A4755C" w:rsidP="0089791E">
      <w:pPr>
        <w:spacing w:after="120"/>
        <w:ind w:left="1134"/>
        <w:jc w:val="both"/>
      </w:pPr>
      <w:r w:rsidRPr="0089791E">
        <w:rPr>
          <w:i/>
        </w:rPr>
        <w:t>S(T)</w:t>
      </w:r>
      <w:r w:rsidRPr="00710774">
        <w:t xml:space="preserve"> –</w:t>
      </w:r>
      <w:r>
        <w:t xml:space="preserve"> </w:t>
      </w:r>
      <w:r w:rsidRPr="00710774">
        <w:t>обменн</w:t>
      </w:r>
      <w:r>
        <w:t>ый</w:t>
      </w:r>
      <w:r w:rsidRPr="00710774">
        <w:t xml:space="preserve"> курс в момент </w:t>
      </w:r>
      <w:r w:rsidRPr="0089791E">
        <w:rPr>
          <w:i/>
        </w:rPr>
        <w:t>T</w:t>
      </w:r>
      <w:r>
        <w:t>,</w:t>
      </w:r>
    </w:p>
    <w:p w:rsidR="00A4755C" w:rsidRPr="00607F4F" w:rsidRDefault="00A4755C" w:rsidP="0089791E">
      <w:pPr>
        <w:spacing w:after="120"/>
        <w:ind w:left="1134"/>
        <w:jc w:val="both"/>
      </w:pPr>
      <w:r w:rsidRPr="0089791E">
        <w:rPr>
          <w:i/>
        </w:rPr>
        <w:t>K</w:t>
      </w:r>
      <w:r w:rsidRPr="00710774">
        <w:t xml:space="preserve"> – обменн</w:t>
      </w:r>
      <w:r>
        <w:t>ый</w:t>
      </w:r>
      <w:r w:rsidRPr="00710774">
        <w:t xml:space="preserve"> курс </w:t>
      </w:r>
      <w:r>
        <w:t>по форвардному контракту,</w:t>
      </w:r>
    </w:p>
    <w:p w:rsidR="00A4755C" w:rsidRPr="00607F4F" w:rsidRDefault="00A4755C" w:rsidP="0089791E">
      <w:pPr>
        <w:spacing w:after="120"/>
        <w:ind w:left="1134"/>
        <w:jc w:val="both"/>
      </w:pPr>
      <w:r w:rsidRPr="0089791E">
        <w:rPr>
          <w:i/>
        </w:rPr>
        <w:t>D(0,T)</w:t>
      </w:r>
      <w:r w:rsidRPr="00870BE4">
        <w:t xml:space="preserve"> –</w:t>
      </w:r>
      <w:r>
        <w:t xml:space="preserve"> фактор дисконтирования с момента времени </w:t>
      </w:r>
      <w:r w:rsidRPr="0089791E">
        <w:rPr>
          <w:i/>
        </w:rPr>
        <w:t>T</w:t>
      </w:r>
      <w:r>
        <w:t xml:space="preserve"> к текущему (нулевому) моменту времени.</w:t>
      </w:r>
    </w:p>
    <w:p w:rsidR="00A4755C" w:rsidRPr="00B4703B" w:rsidRDefault="00A4755C" w:rsidP="00B4703B">
      <w:pPr>
        <w:numPr>
          <w:ilvl w:val="2"/>
          <w:numId w:val="12"/>
        </w:numPr>
        <w:autoSpaceDE w:val="0"/>
        <w:autoSpaceDN w:val="0"/>
        <w:spacing w:after="240"/>
        <w:ind w:left="1134" w:hanging="709"/>
        <w:jc w:val="both"/>
      </w:pPr>
      <w:r w:rsidRPr="00B4703B">
        <w:rPr>
          <w:i/>
        </w:rPr>
        <w:t>C(0,T)</w:t>
      </w:r>
      <w:r w:rsidRPr="00B4703B">
        <w:t xml:space="preserve"> для валютного форварда представляет собой валютный </w:t>
      </w:r>
      <w:proofErr w:type="spellStart"/>
      <w:r w:rsidRPr="00B4703B">
        <w:t>call</w:t>
      </w:r>
      <w:proofErr w:type="spellEnd"/>
      <w:r w:rsidRPr="00B4703B">
        <w:t xml:space="preserve"> опцион</w:t>
      </w:r>
      <w:r w:rsidRPr="00B4703B">
        <w:rPr>
          <w:vertAlign w:val="superscript"/>
        </w:rPr>
        <w:footnoteReference w:id="6"/>
      </w:r>
      <w:r w:rsidRPr="00B4703B">
        <w:t xml:space="preserve"> со </w:t>
      </w:r>
      <w:proofErr w:type="spellStart"/>
      <w:r w:rsidRPr="00B4703B">
        <w:t>страйком</w:t>
      </w:r>
      <w:proofErr w:type="spellEnd"/>
      <w:r w:rsidRPr="00B4703B">
        <w:t xml:space="preserve"> </w:t>
      </w:r>
      <w:r w:rsidRPr="00B4703B">
        <w:rPr>
          <w:i/>
        </w:rPr>
        <w:t>K</w:t>
      </w:r>
      <w:r w:rsidRPr="00B4703B">
        <w:t xml:space="preserve">. В рамках настоящего документа для расчета справедливой стоимости </w:t>
      </w:r>
      <w:proofErr w:type="spellStart"/>
      <w:r w:rsidRPr="00B4703B">
        <w:t>call</w:t>
      </w:r>
      <w:proofErr w:type="spellEnd"/>
      <w:r w:rsidRPr="00B4703B">
        <w:t xml:space="preserve"> опциона на покупку валюты используется формула </w:t>
      </w:r>
      <w:proofErr w:type="spellStart"/>
      <w:r>
        <w:t>Блэка-Шоулза</w:t>
      </w:r>
      <w:proofErr w:type="spellEnd"/>
      <w:r w:rsidRPr="00B4703B">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gridCol w:w="1048"/>
      </w:tblGrid>
      <w:tr w:rsidR="001C44E6" w:rsidTr="001C44E6">
        <w:trPr>
          <w:trHeight w:val="156"/>
        </w:trPr>
        <w:tc>
          <w:tcPr>
            <w:tcW w:w="7936" w:type="dxa"/>
          </w:tcPr>
          <w:p w:rsidR="001C44E6" w:rsidRPr="00870BE4" w:rsidRDefault="001C44E6" w:rsidP="001C44E6">
            <w:pPr>
              <w:ind w:left="2694" w:hanging="1418"/>
              <w:jc w:val="center"/>
              <w:rPr>
                <w:rFonts w:eastAsiaTheme="minorEastAsia"/>
                <w:lang w:val="en-US"/>
              </w:rPr>
            </w:pPr>
            <m:oMathPara>
              <m:oMathParaPr>
                <m:jc m:val="left"/>
              </m:oMathParaPr>
              <m:oMath>
                <m:r>
                  <w:rPr>
                    <w:rFonts w:ascii="Cambria Math" w:hAnsi="Cambria Math"/>
                    <w:lang w:val="en-US"/>
                  </w:rPr>
                  <m:t>C</m:t>
                </m:r>
                <m:d>
                  <m:dPr>
                    <m:ctrlPr>
                      <w:rPr>
                        <w:rFonts w:ascii="Cambria Math" w:hAnsi="Cambria Math"/>
                        <w:i/>
                        <w:lang w:val="en-US"/>
                      </w:rPr>
                    </m:ctrlPr>
                  </m:dPr>
                  <m:e>
                    <m:r>
                      <w:rPr>
                        <w:rFonts w:ascii="Cambria Math" w:hAnsi="Cambria Math"/>
                        <w:lang w:val="en-US"/>
                      </w:rPr>
                      <m:t>0,T</m:t>
                    </m:r>
                  </m:e>
                </m:d>
                <m:r>
                  <w:rPr>
                    <w:rFonts w:ascii="Cambria Math" w:hAnsi="Cambria Math"/>
                    <w:lang w:val="en-US"/>
                  </w:rPr>
                  <m:t>=S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T</m:t>
                    </m:r>
                  </m:sup>
                </m:sSup>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Ke</m:t>
                    </m:r>
                  </m:e>
                  <m:sup>
                    <m:r>
                      <w:rPr>
                        <w:rFonts w:ascii="Cambria Math" w:hAnsi="Cambria Math"/>
                        <w:lang w:val="en-US"/>
                      </w:rPr>
                      <m:t>-rT</m:t>
                    </m:r>
                  </m:sup>
                </m:sSup>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oMath>
            </m:oMathPara>
          </w:p>
          <w:p w:rsidR="001C44E6" w:rsidRPr="00870BE4" w:rsidRDefault="004D5B59" w:rsidP="001C44E6">
            <w:pPr>
              <w:ind w:left="2694" w:hanging="1418"/>
              <w:jc w:val="cente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K</m:t>
                                </m:r>
                              </m:den>
                            </m:f>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T</m:t>
                        </m:r>
                      </m:e>
                    </m:rad>
                  </m:den>
                </m:f>
              </m:oMath>
            </m:oMathPara>
          </w:p>
          <w:p w:rsidR="001C44E6" w:rsidRPr="00870BE4" w:rsidRDefault="004D5B59" w:rsidP="001C44E6">
            <w:pPr>
              <w:ind w:left="2694" w:hanging="1418"/>
              <w:jc w:val="cente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eastAsiaTheme="minorEastAsia" w:hAnsi="Cambria Math"/>
                    <w:lang w:val="en-US"/>
                  </w:rPr>
                  <m:t>-</m:t>
                </m:r>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T</m:t>
                    </m:r>
                  </m:e>
                </m:rad>
              </m:oMath>
            </m:oMathPara>
          </w:p>
        </w:tc>
        <w:tc>
          <w:tcPr>
            <w:tcW w:w="1048" w:type="dxa"/>
            <w:vAlign w:val="center"/>
          </w:tcPr>
          <w:p w:rsidR="001C44E6" w:rsidRDefault="001C44E6" w:rsidP="001C44E6">
            <w:pPr>
              <w:jc w:val="right"/>
              <w:rPr>
                <w:rFonts w:eastAsiaTheme="minorEastAsia"/>
              </w:rPr>
            </w:pPr>
            <w:r>
              <w:rPr>
                <w:rFonts w:eastAsiaTheme="minorEastAsia"/>
              </w:rPr>
              <w:t>(9)</w:t>
            </w:r>
          </w:p>
        </w:tc>
      </w:tr>
    </w:tbl>
    <w:p w:rsidR="00A4755C" w:rsidRPr="00870BE4" w:rsidRDefault="00A4755C" w:rsidP="007B1DE5">
      <w:pPr>
        <w:spacing w:after="120"/>
        <w:ind w:left="1134"/>
        <w:jc w:val="both"/>
      </w:pPr>
      <w:r>
        <w:t>где</w:t>
      </w:r>
    </w:p>
    <w:p w:rsidR="00A4755C" w:rsidRDefault="00A4755C" w:rsidP="007B1DE5">
      <w:pPr>
        <w:spacing w:after="120"/>
        <w:ind w:left="1134"/>
        <w:jc w:val="both"/>
      </w:pPr>
      <w:r w:rsidRPr="007B1DE5">
        <w:rPr>
          <w:i/>
        </w:rPr>
        <w:t>r</w:t>
      </w:r>
      <w:r>
        <w:t xml:space="preserve"> – ставка в локальной валюте,</w:t>
      </w:r>
    </w:p>
    <w:p w:rsidR="00A4755C" w:rsidRPr="00870BE4" w:rsidRDefault="00A4755C" w:rsidP="007B1DE5">
      <w:pPr>
        <w:spacing w:after="120"/>
        <w:ind w:left="1134"/>
        <w:jc w:val="both"/>
      </w:pPr>
      <w:r w:rsidRPr="002604B3">
        <w:rPr>
          <w:i/>
        </w:rPr>
        <w:t>r</w:t>
      </w:r>
      <w:r w:rsidRPr="002604B3">
        <w:rPr>
          <w:i/>
          <w:vertAlign w:val="subscript"/>
          <w:lang w:val="en-US"/>
        </w:rPr>
        <w:t>f</w:t>
      </w:r>
      <w:r>
        <w:t xml:space="preserve"> – ставка в иностранной валюте,</w:t>
      </w:r>
    </w:p>
    <w:p w:rsidR="00A4755C" w:rsidRPr="00870BE4" w:rsidRDefault="00A4755C" w:rsidP="007B1DE5">
      <w:pPr>
        <w:spacing w:after="120"/>
        <w:ind w:left="1134"/>
        <w:jc w:val="both"/>
      </w:pPr>
      <w:r w:rsidRPr="007B1DE5">
        <w:rPr>
          <w:i/>
        </w:rPr>
        <w:t>Т</w:t>
      </w:r>
      <w:r>
        <w:t xml:space="preserve"> – с</w:t>
      </w:r>
      <w:r w:rsidRPr="00870BE4">
        <w:t>рок до погашения (в годах)</w:t>
      </w:r>
      <w:r>
        <w:t>,</w:t>
      </w:r>
    </w:p>
    <w:p w:rsidR="00A4755C" w:rsidRPr="00870BE4" w:rsidRDefault="00A4755C" w:rsidP="007B1DE5">
      <w:pPr>
        <w:spacing w:after="120"/>
        <w:ind w:left="1134"/>
        <w:jc w:val="both"/>
      </w:pPr>
      <w:r w:rsidRPr="007B1DE5">
        <w:rPr>
          <w:i/>
        </w:rPr>
        <w:t>S</w:t>
      </w:r>
      <w:r w:rsidRPr="00870BE4">
        <w:t xml:space="preserve"> – </w:t>
      </w:r>
      <w:proofErr w:type="spellStart"/>
      <w:r>
        <w:t>спотовый</w:t>
      </w:r>
      <w:proofErr w:type="spellEnd"/>
      <w:r>
        <w:t xml:space="preserve"> курс,</w:t>
      </w:r>
    </w:p>
    <w:p w:rsidR="00A4755C" w:rsidRPr="00870BE4" w:rsidRDefault="00A4755C" w:rsidP="007B1DE5">
      <w:pPr>
        <w:spacing w:after="120"/>
        <w:ind w:left="1134"/>
        <w:jc w:val="both"/>
      </w:pPr>
      <w:r w:rsidRPr="007B1DE5">
        <w:rPr>
          <w:i/>
        </w:rPr>
        <w:lastRenderedPageBreak/>
        <w:t>К</w:t>
      </w:r>
      <w:r w:rsidRPr="00870BE4">
        <w:t xml:space="preserve"> –</w:t>
      </w:r>
      <w:r>
        <w:t xml:space="preserve"> </w:t>
      </w:r>
      <w:proofErr w:type="spellStart"/>
      <w:r w:rsidRPr="00870BE4">
        <w:t>страйк</w:t>
      </w:r>
      <w:proofErr w:type="spellEnd"/>
      <w:r>
        <w:t>,</w:t>
      </w:r>
    </w:p>
    <w:p w:rsidR="00A4755C" w:rsidRPr="00870BE4" w:rsidRDefault="00A4755C" w:rsidP="007B1DE5">
      <w:pPr>
        <w:spacing w:after="120"/>
        <w:ind w:left="1134"/>
        <w:jc w:val="both"/>
      </w:pPr>
      <w:r w:rsidRPr="007B1DE5">
        <w:t>σ</w:t>
      </w:r>
      <w:r w:rsidRPr="00870BE4">
        <w:t xml:space="preserve"> –</w:t>
      </w:r>
      <w:r>
        <w:t xml:space="preserve"> </w:t>
      </w:r>
      <w:r w:rsidRPr="00870BE4">
        <w:t>волатильность</w:t>
      </w:r>
      <w:r>
        <w:t>,</w:t>
      </w:r>
    </w:p>
    <w:p w:rsidR="00A4755C" w:rsidRDefault="00A4755C" w:rsidP="007B1DE5">
      <w:pPr>
        <w:spacing w:after="120"/>
        <w:ind w:left="1134"/>
        <w:jc w:val="both"/>
      </w:pPr>
      <w:r w:rsidRPr="007B1DE5">
        <w:rPr>
          <w:i/>
        </w:rPr>
        <w:t>N</w:t>
      </w:r>
      <w:r w:rsidRPr="00870BE4">
        <w:t xml:space="preserve"> – Кумулятивная функция </w:t>
      </w:r>
      <w:r>
        <w:t xml:space="preserve">стандартного </w:t>
      </w:r>
      <w:r w:rsidRPr="00870BE4">
        <w:t>нормального распределения.</w:t>
      </w:r>
    </w:p>
    <w:p w:rsidR="00A4755C" w:rsidRPr="00DF0777" w:rsidRDefault="00A4755C" w:rsidP="00C7795A">
      <w:pPr>
        <w:pStyle w:val="2"/>
        <w:keepLines w:val="0"/>
        <w:numPr>
          <w:ilvl w:val="1"/>
          <w:numId w:val="12"/>
        </w:numPr>
        <w:tabs>
          <w:tab w:val="num" w:pos="567"/>
        </w:tabs>
        <w:spacing w:before="240" w:after="240"/>
        <w:ind w:left="567" w:hanging="431"/>
        <w:jc w:val="both"/>
        <w:rPr>
          <w:rFonts w:ascii="Times New Roman" w:hAnsi="Times New Roman"/>
          <w:iCs/>
          <w:color w:val="auto"/>
          <w:sz w:val="24"/>
          <w:szCs w:val="24"/>
          <w:lang w:eastAsia="en-US"/>
        </w:rPr>
      </w:pPr>
      <w:bookmarkStart w:id="18" w:name="_Toc340832287"/>
      <w:r>
        <w:rPr>
          <w:rFonts w:ascii="Times New Roman" w:hAnsi="Times New Roman"/>
          <w:iCs/>
          <w:color w:val="auto"/>
          <w:sz w:val="24"/>
          <w:szCs w:val="24"/>
          <w:lang w:eastAsia="en-US"/>
        </w:rPr>
        <w:t>Расчет CVA</w:t>
      </w:r>
      <w:bookmarkEnd w:id="18"/>
    </w:p>
    <w:p w:rsidR="001C44E6" w:rsidRPr="00DF0777" w:rsidRDefault="00A4755C" w:rsidP="001C44E6">
      <w:pPr>
        <w:numPr>
          <w:ilvl w:val="2"/>
          <w:numId w:val="12"/>
        </w:numPr>
        <w:autoSpaceDE w:val="0"/>
        <w:autoSpaceDN w:val="0"/>
        <w:spacing w:after="240"/>
        <w:ind w:left="1134" w:hanging="709"/>
        <w:jc w:val="both"/>
      </w:pPr>
      <w:r w:rsidRPr="00DF0777">
        <w:t xml:space="preserve">Применяя формулы (3), (7) и (9) для форвардного контракта на покупку иностранной валюты в момент времени </w:t>
      </w:r>
      <w:r w:rsidRPr="00DF0777">
        <w:rPr>
          <w:i/>
        </w:rPr>
        <w:t>T</w:t>
      </w:r>
      <w:r w:rsidRPr="00DF0777">
        <w:t xml:space="preserve"> в будущем, получаем CVA </w:t>
      </w:r>
      <w:r>
        <w:t>для валютного форварда:</w:t>
      </w:r>
      <w:r w:rsidR="001C44E6" w:rsidRPr="001C44E6">
        <w:t xml:space="preserve"> </w:t>
      </w:r>
    </w:p>
    <w:p w:rsidR="001C44E6" w:rsidRPr="009A2FCC" w:rsidRDefault="001C44E6" w:rsidP="001C44E6">
      <w:pPr>
        <w:rPr>
          <w:rFonts w:eastAsiaTheme="minorEastAsia"/>
          <w:i/>
        </w:rPr>
      </w:pPr>
      <m:oMathPara>
        <m:oMathParaPr>
          <m:jc m:val="center"/>
        </m:oMathParaPr>
        <m:oMath>
          <m:r>
            <w:rPr>
              <w:rFonts w:ascii="Cambria Math" w:hAnsi="Cambria Math"/>
              <w:lang w:val="en-US"/>
            </w:rPr>
            <m:t xml:space="preserve">CVA=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m:t>
                  </m:r>
                </m:sub>
              </m:sSub>
            </m:e>
          </m:d>
          <m:r>
            <w:rPr>
              <w:rFonts w:ascii="Cambria Math" w:hAnsi="Cambria Math"/>
              <w:lang w:val="en-US"/>
            </w:rPr>
            <m:t>C</m:t>
          </m:r>
          <m:d>
            <m:dPr>
              <m:ctrlPr>
                <w:rPr>
                  <w:rFonts w:ascii="Cambria Math" w:hAnsi="Cambria Math"/>
                  <w:i/>
                  <w:lang w:val="en-US"/>
                </w:rPr>
              </m:ctrlPr>
            </m:dPr>
            <m:e>
              <m:r>
                <w:rPr>
                  <w:rFonts w:ascii="Cambria Math" w:hAnsi="Cambria Math"/>
                  <w:lang w:val="en-US"/>
                </w:rPr>
                <m:t>0,T</m:t>
              </m:r>
            </m:e>
          </m:d>
          <m:r>
            <w:rPr>
              <w:rFonts w:ascii="Cambria Math" w:hAnsi="Cambria Math"/>
              <w:lang w:val="en-US"/>
            </w:rPr>
            <m:t>PD(T)</m:t>
          </m:r>
        </m:oMath>
      </m:oMathPara>
    </w:p>
    <w:p w:rsidR="001C44E6" w:rsidRPr="004039CF" w:rsidRDefault="001C44E6" w:rsidP="001C44E6">
      <w:pPr>
        <w:rPr>
          <w:rFonts w:eastAsiaTheme="minorEastAsia"/>
        </w:rPr>
      </w:pPr>
    </w:p>
    <w:p w:rsidR="001C44E6" w:rsidRPr="002604B3" w:rsidRDefault="001C44E6" w:rsidP="001C44E6">
      <w:pPr>
        <w:ind w:left="3119" w:hanging="567"/>
        <w:jc w:val="center"/>
        <w:rPr>
          <w:rFonts w:eastAsiaTheme="minorEastAsia"/>
          <w:lang w:val="en-US"/>
        </w:rPr>
      </w:pPr>
      <m:oMathPara>
        <m:oMathParaPr>
          <m:jc m:val="left"/>
        </m:oMathParaPr>
        <m:oMath>
          <m:r>
            <w:rPr>
              <w:rFonts w:ascii="Cambria Math" w:hAnsi="Cambria Math"/>
              <w:lang w:val="en-US"/>
            </w:rPr>
            <m:t>PD</m:t>
          </m:r>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-λT</m:t>
              </m:r>
            </m:sup>
          </m:sSup>
        </m:oMath>
      </m:oMathPara>
    </w:p>
    <w:p w:rsidR="001C44E6" w:rsidRPr="002604B3" w:rsidRDefault="001C44E6" w:rsidP="001C44E6">
      <w:pPr>
        <w:ind w:left="3119" w:hanging="567"/>
        <w:jc w:val="center"/>
        <w:rPr>
          <w:rFonts w:eastAsiaTheme="minorEastAsia"/>
          <w:lang w:val="en-US"/>
        </w:rPr>
      </w:pPr>
      <m:oMathPara>
        <m:oMathParaPr>
          <m:jc m:val="left"/>
        </m:oMathParaPr>
        <m:oMath>
          <m:r>
            <w:rPr>
              <w:rFonts w:ascii="Cambria Math" w:hAnsi="Cambria Math"/>
              <w:lang w:val="en-US"/>
            </w:rPr>
            <m:t>λ=</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τ</m:t>
              </m:r>
            </m:den>
          </m:f>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s∙τ+1-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den>
              </m:f>
            </m:e>
          </m:d>
        </m:oMath>
      </m:oMathPara>
    </w:p>
    <w:p w:rsidR="001C44E6" w:rsidRPr="002604B3" w:rsidRDefault="001C44E6" w:rsidP="001C44E6">
      <w:pPr>
        <w:ind w:left="3119" w:hanging="567"/>
        <w:jc w:val="center"/>
        <w:rPr>
          <w:rFonts w:eastAsiaTheme="minorEastAsia"/>
          <w:lang w:val="en-US"/>
        </w:rPr>
      </w:pPr>
    </w:p>
    <w:p w:rsidR="001C44E6" w:rsidRPr="00870BE4" w:rsidRDefault="001C44E6" w:rsidP="001C44E6">
      <w:pPr>
        <w:ind w:left="3119" w:hanging="567"/>
        <w:jc w:val="center"/>
        <w:rPr>
          <w:rFonts w:eastAsiaTheme="minorEastAsia"/>
          <w:lang w:val="en-US"/>
        </w:rPr>
      </w:pPr>
      <m:oMathPara>
        <m:oMathParaPr>
          <m:jc m:val="left"/>
        </m:oMathParaPr>
        <m:oMath>
          <m:r>
            <w:rPr>
              <w:rFonts w:ascii="Cambria Math" w:hAnsi="Cambria Math"/>
              <w:lang w:val="en-US"/>
            </w:rPr>
            <m:t>C</m:t>
          </m:r>
          <m:d>
            <m:dPr>
              <m:ctrlPr>
                <w:rPr>
                  <w:rFonts w:ascii="Cambria Math" w:hAnsi="Cambria Math"/>
                  <w:i/>
                  <w:lang w:val="en-US"/>
                </w:rPr>
              </m:ctrlPr>
            </m:dPr>
            <m:e>
              <m:r>
                <w:rPr>
                  <w:rFonts w:ascii="Cambria Math" w:hAnsi="Cambria Math"/>
                  <w:lang w:val="en-US"/>
                </w:rPr>
                <m:t>0,T</m:t>
              </m:r>
            </m:e>
          </m:d>
          <m:r>
            <w:rPr>
              <w:rFonts w:ascii="Cambria Math" w:hAnsi="Cambria Math"/>
              <w:lang w:val="en-US"/>
            </w:rPr>
            <m:t>=S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T</m:t>
              </m:r>
            </m:sup>
          </m:sSup>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Ke</m:t>
              </m:r>
            </m:e>
            <m:sup>
              <m:r>
                <w:rPr>
                  <w:rFonts w:ascii="Cambria Math" w:hAnsi="Cambria Math"/>
                  <w:lang w:val="en-US"/>
                </w:rPr>
                <m:t>-rT</m:t>
              </m:r>
            </m:sup>
          </m:sSup>
          <m: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oMath>
      </m:oMathPara>
    </w:p>
    <w:p w:rsidR="001C44E6" w:rsidRPr="00870BE4" w:rsidRDefault="004D5B59" w:rsidP="001C44E6">
      <w:pPr>
        <w:ind w:left="3119" w:hanging="567"/>
        <w:jc w:val="cente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K</m:t>
                          </m:r>
                        </m:den>
                      </m:f>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T</m:t>
                  </m:r>
                </m:e>
              </m:rad>
            </m:den>
          </m:f>
        </m:oMath>
      </m:oMathPara>
    </w:p>
    <w:p w:rsidR="001C44E6" w:rsidRPr="002604B3" w:rsidRDefault="004D5B59" w:rsidP="001C44E6">
      <w:pPr>
        <w:ind w:left="3119" w:hanging="567"/>
        <w:jc w:val="cente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eastAsiaTheme="minorEastAsia" w:hAnsi="Cambria Math"/>
              <w:lang w:val="en-US"/>
            </w:rPr>
            <m:t>-</m:t>
          </m:r>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T</m:t>
              </m:r>
            </m:e>
          </m:rad>
        </m:oMath>
      </m:oMathPara>
    </w:p>
    <w:p w:rsidR="001C44E6" w:rsidRDefault="001C44E6" w:rsidP="001C44E6">
      <w:pPr>
        <w:ind w:left="708"/>
        <w:rPr>
          <w:rFonts w:eastAsiaTheme="minorEastAsia"/>
          <w:lang w:val="en-US"/>
        </w:rPr>
      </w:pPr>
    </w:p>
    <w:p w:rsidR="00A4755C" w:rsidRPr="001C44E6" w:rsidRDefault="001C44E6" w:rsidP="001C44E6">
      <w:pPr>
        <w:spacing w:after="120"/>
        <w:ind w:left="1134"/>
        <w:jc w:val="both"/>
        <w:rPr>
          <w:rFonts w:eastAsiaTheme="minorEastAsia"/>
        </w:rPr>
      </w:pPr>
      <w:r>
        <w:rPr>
          <w:rFonts w:eastAsiaTheme="minorEastAsia"/>
        </w:rPr>
        <w:t>где</w:t>
      </w:r>
    </w:p>
    <w:p w:rsidR="00A4755C" w:rsidRDefault="00A4755C" w:rsidP="009A2FCC">
      <w:pPr>
        <w:spacing w:after="120"/>
        <w:ind w:left="1134"/>
        <w:jc w:val="both"/>
      </w:pPr>
      <w:r w:rsidRPr="009A2FCC">
        <w:rPr>
          <w:i/>
        </w:rPr>
        <w:t>r</w:t>
      </w:r>
      <w:r>
        <w:t xml:space="preserve"> – ставка в локальной валюте</w:t>
      </w:r>
    </w:p>
    <w:p w:rsidR="00A4755C" w:rsidRPr="00870BE4" w:rsidRDefault="00A4755C" w:rsidP="009A2FCC">
      <w:pPr>
        <w:spacing w:after="120"/>
        <w:ind w:left="1134"/>
        <w:jc w:val="both"/>
      </w:pPr>
      <w:r w:rsidRPr="002604B3">
        <w:rPr>
          <w:i/>
        </w:rPr>
        <w:t>r</w:t>
      </w:r>
      <w:r w:rsidRPr="002604B3">
        <w:rPr>
          <w:i/>
          <w:vertAlign w:val="subscript"/>
          <w:lang w:val="en-US"/>
        </w:rPr>
        <w:t>f</w:t>
      </w:r>
      <w:r>
        <w:t xml:space="preserve"> – ставка в иностранной валюте</w:t>
      </w:r>
    </w:p>
    <w:p w:rsidR="00A4755C" w:rsidRPr="00870BE4" w:rsidRDefault="00A4755C" w:rsidP="009A2FCC">
      <w:pPr>
        <w:spacing w:after="120"/>
        <w:ind w:left="1134"/>
        <w:jc w:val="both"/>
      </w:pPr>
      <w:r w:rsidRPr="009A2FCC">
        <w:rPr>
          <w:i/>
        </w:rPr>
        <w:t>Т</w:t>
      </w:r>
      <w:r>
        <w:t xml:space="preserve"> – с</w:t>
      </w:r>
      <w:r w:rsidRPr="00870BE4">
        <w:t>рок до погашения (в годах)</w:t>
      </w:r>
    </w:p>
    <w:p w:rsidR="00A4755C" w:rsidRPr="00870BE4" w:rsidRDefault="00A4755C" w:rsidP="009A2FCC">
      <w:pPr>
        <w:spacing w:after="120"/>
        <w:ind w:left="1134"/>
        <w:jc w:val="both"/>
      </w:pPr>
      <w:r w:rsidRPr="009A2FCC">
        <w:rPr>
          <w:i/>
        </w:rPr>
        <w:t>S</w:t>
      </w:r>
      <w:r w:rsidRPr="00870BE4">
        <w:t xml:space="preserve"> – </w:t>
      </w:r>
      <w:r>
        <w:t>обменный спот курс</w:t>
      </w:r>
    </w:p>
    <w:p w:rsidR="00A4755C" w:rsidRPr="00870BE4" w:rsidRDefault="00A4755C" w:rsidP="009A2FCC">
      <w:pPr>
        <w:spacing w:after="120"/>
        <w:ind w:left="1134"/>
        <w:jc w:val="both"/>
      </w:pPr>
      <w:r w:rsidRPr="009A2FCC">
        <w:rPr>
          <w:i/>
        </w:rPr>
        <w:t>К</w:t>
      </w:r>
      <w:r w:rsidRPr="00870BE4">
        <w:t xml:space="preserve"> –</w:t>
      </w:r>
      <w:r>
        <w:t xml:space="preserve"> </w:t>
      </w:r>
      <w:proofErr w:type="spellStart"/>
      <w:r w:rsidRPr="00870BE4">
        <w:t>страйк</w:t>
      </w:r>
      <w:proofErr w:type="spellEnd"/>
    </w:p>
    <w:p w:rsidR="00A4755C" w:rsidRPr="00870BE4" w:rsidRDefault="00A4755C" w:rsidP="009A2FCC">
      <w:pPr>
        <w:spacing w:after="120"/>
        <w:ind w:left="1134"/>
        <w:jc w:val="both"/>
      </w:pPr>
      <w:r w:rsidRPr="009A2FCC">
        <w:t>σ</w:t>
      </w:r>
      <w:r w:rsidRPr="00870BE4">
        <w:t xml:space="preserve"> –</w:t>
      </w:r>
      <w:r>
        <w:t xml:space="preserve"> </w:t>
      </w:r>
      <w:r w:rsidRPr="00870BE4">
        <w:t>волатильность</w:t>
      </w:r>
      <w:r>
        <w:t xml:space="preserve"> обменного курса</w:t>
      </w:r>
    </w:p>
    <w:p w:rsidR="00A4755C" w:rsidRDefault="00A4755C" w:rsidP="009A2FCC">
      <w:pPr>
        <w:spacing w:after="120"/>
        <w:ind w:left="1134"/>
        <w:jc w:val="both"/>
      </w:pPr>
      <w:r w:rsidRPr="009A2FCC">
        <w:rPr>
          <w:i/>
        </w:rPr>
        <w:t>N</w:t>
      </w:r>
      <w:r>
        <w:t xml:space="preserve"> – к</w:t>
      </w:r>
      <w:r w:rsidRPr="00870BE4">
        <w:t xml:space="preserve">умулятивная функция </w:t>
      </w:r>
      <w:r>
        <w:t xml:space="preserve">стандартного </w:t>
      </w:r>
      <w:r w:rsidRPr="00870BE4">
        <w:t>нормального распределения.</w:t>
      </w:r>
    </w:p>
    <w:p w:rsidR="00A4755C" w:rsidRPr="007E5F71" w:rsidRDefault="00A4755C" w:rsidP="009A2FCC">
      <w:pPr>
        <w:spacing w:after="120"/>
        <w:ind w:left="1134"/>
        <w:jc w:val="both"/>
      </w:pPr>
      <w:proofErr w:type="spellStart"/>
      <w:proofErr w:type="gramStart"/>
      <w:r w:rsidRPr="00D54DAF">
        <w:rPr>
          <w:i/>
          <w:lang w:val="en-US"/>
        </w:rPr>
        <w:t>R</w:t>
      </w:r>
      <w:r w:rsidRPr="00D54DAF">
        <w:rPr>
          <w:i/>
          <w:vertAlign w:val="subscript"/>
          <w:lang w:val="en-US"/>
        </w:rPr>
        <w:t>v</w:t>
      </w:r>
      <w:proofErr w:type="spellEnd"/>
      <w:proofErr w:type="gramEnd"/>
      <w:r w:rsidRPr="00472722">
        <w:t xml:space="preserve"> – </w:t>
      </w:r>
      <w:r w:rsidRPr="009A2FCC">
        <w:rPr>
          <w:lang w:val="en-US"/>
        </w:rPr>
        <w:t>recovery</w:t>
      </w:r>
      <w:r w:rsidRPr="00472722">
        <w:t xml:space="preserve"> </w:t>
      </w:r>
      <w:r w:rsidRPr="009A2FCC">
        <w:rPr>
          <w:lang w:val="en-US"/>
        </w:rPr>
        <w:t>rate</w:t>
      </w:r>
      <w:r w:rsidRPr="00472722">
        <w:t xml:space="preserve"> </w:t>
      </w:r>
      <w:r w:rsidRPr="009A2FCC">
        <w:t>для</w:t>
      </w:r>
      <w:r w:rsidRPr="00472722">
        <w:t xml:space="preserve"> </w:t>
      </w:r>
      <w:r>
        <w:t>валютного форварда</w:t>
      </w:r>
    </w:p>
    <w:p w:rsidR="00A4755C" w:rsidRPr="009A2FCC" w:rsidRDefault="00A4755C" w:rsidP="009A2FCC">
      <w:pPr>
        <w:spacing w:after="120"/>
        <w:ind w:left="1134"/>
        <w:jc w:val="both"/>
      </w:pPr>
      <w:proofErr w:type="gramStart"/>
      <w:r w:rsidRPr="00D54DAF">
        <w:rPr>
          <w:rFonts w:ascii="Symbol" w:hAnsi="Symbol"/>
          <w:i/>
          <w:lang w:val="en-US"/>
        </w:rPr>
        <w:t></w:t>
      </w:r>
      <w:r w:rsidRPr="00870BE4">
        <w:t xml:space="preserve"> </w:t>
      </w:r>
      <w:r w:rsidRPr="009A2FCC">
        <w:t xml:space="preserve"> –</w:t>
      </w:r>
      <w:proofErr w:type="gramEnd"/>
      <w:r w:rsidRPr="009A2FCC">
        <w:t xml:space="preserve"> (предполагаемый) период между выплатами по (предполагаемому) CDS</w:t>
      </w:r>
    </w:p>
    <w:p w:rsidR="00A4755C" w:rsidRPr="009A2FCC" w:rsidRDefault="00A4755C" w:rsidP="009A2FCC">
      <w:pPr>
        <w:spacing w:after="120"/>
        <w:ind w:left="1134"/>
        <w:jc w:val="both"/>
        <w:rPr>
          <w:lang w:val="en-US"/>
        </w:rPr>
      </w:pPr>
      <w:r w:rsidRPr="009A2FCC">
        <w:rPr>
          <w:i/>
          <w:lang w:val="en-US"/>
        </w:rPr>
        <w:t>s</w:t>
      </w:r>
      <w:r w:rsidRPr="009A2FCC">
        <w:rPr>
          <w:lang w:val="en-US"/>
        </w:rPr>
        <w:t xml:space="preserve"> – CDS </w:t>
      </w:r>
      <w:r w:rsidRPr="009A2FCC">
        <w:t>спред</w:t>
      </w:r>
    </w:p>
    <w:p w:rsidR="00A4755C" w:rsidRPr="004D5B59" w:rsidRDefault="00A4755C" w:rsidP="004D5B59">
      <w:pPr>
        <w:spacing w:after="120"/>
        <w:ind w:left="1134"/>
        <w:jc w:val="both"/>
      </w:pPr>
      <w:proofErr w:type="spellStart"/>
      <w:r w:rsidRPr="00D54DAF">
        <w:rPr>
          <w:i/>
          <w:lang w:val="en-US"/>
        </w:rPr>
        <w:t>R</w:t>
      </w:r>
      <w:r w:rsidRPr="00D54DAF">
        <w:rPr>
          <w:i/>
          <w:vertAlign w:val="subscript"/>
          <w:lang w:val="en-US"/>
        </w:rPr>
        <w:t>p</w:t>
      </w:r>
      <w:proofErr w:type="spellEnd"/>
      <w:r w:rsidRPr="009A2FCC">
        <w:rPr>
          <w:lang w:val="en-US"/>
        </w:rPr>
        <w:t xml:space="preserve"> – recovery rate </w:t>
      </w:r>
      <w:r w:rsidRPr="009A2FCC">
        <w:t>для</w:t>
      </w:r>
      <w:r w:rsidRPr="009A2FCC">
        <w:rPr>
          <w:lang w:val="en-US"/>
        </w:rPr>
        <w:t xml:space="preserve"> CDS</w:t>
      </w:r>
      <w:r>
        <w:rPr>
          <w:lang w:val="en-US"/>
        </w:rPr>
        <w:br w:type="page"/>
      </w:r>
    </w:p>
    <w:p w:rsidR="00A4755C" w:rsidRPr="002541AC" w:rsidRDefault="00A4755C" w:rsidP="0072463F">
      <w:pPr>
        <w:pStyle w:val="1"/>
        <w:keepLines w:val="0"/>
        <w:pBdr>
          <w:bottom w:val="single" w:sz="4" w:space="0" w:color="auto"/>
        </w:pBdr>
        <w:autoSpaceDE w:val="0"/>
        <w:autoSpaceDN w:val="0"/>
        <w:spacing w:before="0" w:after="240"/>
        <w:jc w:val="both"/>
        <w:rPr>
          <w:rFonts w:ascii="Times New Roman" w:hAnsi="Times New Roman" w:cs="Arial"/>
          <w:color w:val="auto"/>
          <w:kern w:val="32"/>
          <w:sz w:val="32"/>
          <w:szCs w:val="32"/>
        </w:rPr>
      </w:pPr>
      <w:bookmarkStart w:id="19" w:name="_Toc340832288"/>
      <w:r>
        <w:rPr>
          <w:rFonts w:ascii="Times New Roman" w:hAnsi="Times New Roman" w:cs="Arial"/>
          <w:color w:val="auto"/>
          <w:kern w:val="32"/>
          <w:sz w:val="32"/>
          <w:szCs w:val="32"/>
        </w:rPr>
        <w:lastRenderedPageBreak/>
        <w:t>Приложения</w:t>
      </w:r>
      <w:bookmarkEnd w:id="19"/>
    </w:p>
    <w:p w:rsidR="00A4755C" w:rsidRPr="007A6A30" w:rsidRDefault="00A4755C" w:rsidP="007A6A30">
      <w:pPr>
        <w:pStyle w:val="2"/>
        <w:keepLines w:val="0"/>
        <w:spacing w:before="240" w:after="240"/>
        <w:ind w:left="142"/>
        <w:jc w:val="both"/>
        <w:rPr>
          <w:rFonts w:ascii="Times New Roman" w:hAnsi="Times New Roman"/>
          <w:iCs/>
          <w:color w:val="auto"/>
          <w:sz w:val="24"/>
          <w:szCs w:val="24"/>
          <w:lang w:eastAsia="en-US"/>
        </w:rPr>
      </w:pPr>
      <w:bookmarkStart w:id="20" w:name="_Toc313983818"/>
      <w:bookmarkStart w:id="21" w:name="_Toc340832289"/>
      <w:r w:rsidRPr="001A550F">
        <w:rPr>
          <w:rFonts w:ascii="Times New Roman" w:hAnsi="Times New Roman"/>
          <w:iCs/>
          <w:color w:val="auto"/>
          <w:sz w:val="24"/>
          <w:szCs w:val="24"/>
          <w:lang w:eastAsia="en-US"/>
        </w:rPr>
        <w:t xml:space="preserve">Приложение </w:t>
      </w:r>
      <w:r w:rsidR="004D5B59">
        <w:rPr>
          <w:rFonts w:ascii="Times New Roman" w:hAnsi="Times New Roman"/>
          <w:iCs/>
          <w:color w:val="auto"/>
          <w:sz w:val="24"/>
          <w:szCs w:val="24"/>
          <w:lang w:eastAsia="en-US"/>
        </w:rPr>
        <w:t>1</w:t>
      </w:r>
      <w:r w:rsidRPr="001A550F">
        <w:rPr>
          <w:rFonts w:ascii="Times New Roman" w:hAnsi="Times New Roman"/>
          <w:iCs/>
          <w:color w:val="auto"/>
          <w:sz w:val="24"/>
          <w:szCs w:val="24"/>
          <w:lang w:eastAsia="en-US"/>
        </w:rPr>
        <w:t xml:space="preserve">. </w:t>
      </w:r>
      <w:r>
        <w:rPr>
          <w:rFonts w:ascii="Times New Roman" w:hAnsi="Times New Roman"/>
          <w:iCs/>
          <w:color w:val="auto"/>
          <w:sz w:val="24"/>
          <w:szCs w:val="24"/>
          <w:lang w:eastAsia="en-US"/>
        </w:rPr>
        <w:t xml:space="preserve">Учет обеспечения при расчете </w:t>
      </w:r>
      <w:r>
        <w:rPr>
          <w:rFonts w:ascii="Times New Roman" w:hAnsi="Times New Roman"/>
          <w:iCs/>
          <w:color w:val="auto"/>
          <w:sz w:val="24"/>
          <w:szCs w:val="24"/>
          <w:lang w:val="en-US" w:eastAsia="en-US"/>
        </w:rPr>
        <w:t>CVA</w:t>
      </w:r>
      <w:bookmarkEnd w:id="21"/>
    </w:p>
    <w:bookmarkEnd w:id="20"/>
    <w:p w:rsidR="003371E2" w:rsidRPr="007A6A30" w:rsidRDefault="003371E2" w:rsidP="003371E2">
      <w:pPr>
        <w:pStyle w:val="a6"/>
        <w:numPr>
          <w:ilvl w:val="0"/>
          <w:numId w:val="31"/>
        </w:numPr>
        <w:autoSpaceDE w:val="0"/>
        <w:autoSpaceDN w:val="0"/>
        <w:spacing w:after="240"/>
        <w:jc w:val="both"/>
      </w:pPr>
      <w:r w:rsidRPr="007A6A30">
        <w:t>При наличии обеспечения величина, подверженн</w:t>
      </w:r>
      <w:r>
        <w:t>ая</w:t>
      </w:r>
      <w:r w:rsidRPr="007A6A30">
        <w:t xml:space="preserve"> кредитному риску</w:t>
      </w:r>
      <w:r>
        <w:t xml:space="preserve"> уменьшается на размер обеспечения. Таким образом, формула (1) должна быть переписана как</w:t>
      </w:r>
      <w:r>
        <w:rPr>
          <w:lang w:val="en-US"/>
        </w:rPr>
        <w:t>:</w:t>
      </w:r>
    </w:p>
    <w:p w:rsidR="003371E2" w:rsidRPr="00C7795A" w:rsidRDefault="003371E2" w:rsidP="003371E2">
      <w:pPr>
        <w:autoSpaceDE w:val="0"/>
        <w:autoSpaceDN w:val="0"/>
        <w:spacing w:after="240"/>
        <w:ind w:left="1701"/>
        <w:jc w:val="both"/>
      </w:pPr>
      <m:oMath>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m:t>
                </m:r>
              </m:sub>
            </m:sSub>
          </m:e>
        </m:d>
        <m:func>
          <m:funcPr>
            <m:ctrlPr>
              <w:rPr>
                <w:rFonts w:ascii="Cambria Math" w:hAnsi="Cambria Math"/>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e>
                </m:d>
                <m: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e>
                </m:d>
                <m:r>
                  <w:rPr>
                    <w:rFonts w:ascii="Cambria Math" w:hAnsi="Cambria Math"/>
                  </w:rPr>
                  <m:t>,0</m:t>
                </m:r>
              </m:e>
            </m:d>
          </m:e>
        </m:func>
      </m:oMath>
      <w:r>
        <w:tab/>
      </w:r>
      <w:r>
        <w:tab/>
      </w:r>
      <w:r>
        <w:tab/>
      </w:r>
      <w:r>
        <w:tab/>
      </w:r>
      <w:r>
        <w:tab/>
        <w:t xml:space="preserve">         </w:t>
      </w:r>
    </w:p>
    <w:p w:rsidR="003371E2" w:rsidRDefault="003371E2" w:rsidP="003371E2">
      <w:pPr>
        <w:spacing w:after="120"/>
        <w:ind w:firstLine="1134"/>
        <w:jc w:val="both"/>
      </w:pPr>
      <w:r>
        <w:t xml:space="preserve">где </w:t>
      </w:r>
    </w:p>
    <w:p w:rsidR="003371E2" w:rsidRPr="00C7795A" w:rsidRDefault="003371E2" w:rsidP="003371E2">
      <w:pPr>
        <w:spacing w:after="120"/>
        <w:ind w:left="1134"/>
        <w:jc w:val="both"/>
      </w:pPr>
      <m:oMath>
        <m: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e>
        </m:d>
      </m:oMath>
      <w:r w:rsidRPr="00C7795A">
        <w:t xml:space="preserve"> – </w:t>
      </w:r>
      <w:r>
        <w:t xml:space="preserve">размер обеспечения на </w:t>
      </w:r>
      <w:r w:rsidRPr="00C7795A">
        <w:t>момент наступления события дефолта</w:t>
      </w:r>
      <w:r>
        <w:t>.</w:t>
      </w:r>
    </w:p>
    <w:p w:rsidR="00A4755C" w:rsidRPr="004F05C8" w:rsidRDefault="003371E2" w:rsidP="003371E2">
      <w:pPr>
        <w:pStyle w:val="a6"/>
        <w:numPr>
          <w:ilvl w:val="0"/>
          <w:numId w:val="31"/>
        </w:numPr>
        <w:autoSpaceDE w:val="0"/>
        <w:autoSpaceDN w:val="0"/>
        <w:spacing w:after="240"/>
        <w:jc w:val="both"/>
      </w:pPr>
      <w:r>
        <w:t xml:space="preserve">Соответственно, </w:t>
      </w:r>
      <w:r w:rsidRPr="004F05C8">
        <w:t>приведенная ожидаемая стоимость величины, подверженной кредитному риску (</w:t>
      </w:r>
      <w:r>
        <w:t xml:space="preserve">т.е. значение </w:t>
      </w:r>
      <w:r w:rsidRPr="004F05C8">
        <w:rPr>
          <w:i/>
          <w:lang w:val="en-US"/>
        </w:rPr>
        <w:t>C</w:t>
      </w:r>
      <w:r w:rsidRPr="004F05C8">
        <w:rPr>
          <w:i/>
        </w:rPr>
        <w:t>(0,</w:t>
      </w:r>
      <w:r w:rsidRPr="004F05C8">
        <w:rPr>
          <w:i/>
          <w:lang w:val="en-US"/>
        </w:rPr>
        <w:t>T</w:t>
      </w:r>
      <w:r w:rsidRPr="004F05C8">
        <w:rPr>
          <w:i/>
        </w:rPr>
        <w:t>)</w:t>
      </w:r>
      <w:r>
        <w:t>) в формуле (3) должна принимать во внимание уровень обеспечения.</w:t>
      </w:r>
    </w:p>
    <w:sectPr w:rsidR="00A4755C" w:rsidRPr="004F05C8" w:rsidSect="00642BAC">
      <w:pgSz w:w="11906" w:h="16838"/>
      <w:pgMar w:top="1134" w:right="850" w:bottom="1134" w:left="170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1ED" w:rsidRDefault="008531ED" w:rsidP="0008380E">
      <w:r>
        <w:separator/>
      </w:r>
    </w:p>
  </w:endnote>
  <w:endnote w:type="continuationSeparator" w:id="0">
    <w:p w:rsidR="008531ED" w:rsidRDefault="008531ED" w:rsidP="0008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B59" w:rsidRDefault="004D5B59" w:rsidP="00971F2C">
    <w:pPr>
      <w:pStyle w:val="af2"/>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4D5B59" w:rsidRDefault="004D5B59" w:rsidP="00971F2C">
    <w:pPr>
      <w:pStyle w:val="af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B59" w:rsidRDefault="004D5B59" w:rsidP="00971F2C">
    <w:pPr>
      <w:pStyle w:val="af2"/>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3371E2">
      <w:rPr>
        <w:rStyle w:val="af0"/>
        <w:noProof/>
      </w:rPr>
      <w:t>8</w:t>
    </w:r>
    <w:r>
      <w:rPr>
        <w:rStyle w:val="af0"/>
      </w:rPr>
      <w:fldChar w:fldCharType="end"/>
    </w:r>
  </w:p>
  <w:p w:rsidR="004D5B59" w:rsidRDefault="004D5B59" w:rsidP="00971F2C">
    <w:pPr>
      <w:pStyle w:val="af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1ED" w:rsidRDefault="008531ED" w:rsidP="0008380E">
      <w:r>
        <w:separator/>
      </w:r>
    </w:p>
  </w:footnote>
  <w:footnote w:type="continuationSeparator" w:id="0">
    <w:p w:rsidR="008531ED" w:rsidRDefault="008531ED" w:rsidP="0008380E">
      <w:r>
        <w:continuationSeparator/>
      </w:r>
    </w:p>
  </w:footnote>
  <w:footnote w:id="1">
    <w:p w:rsidR="004D5B59" w:rsidRPr="00160CD1" w:rsidRDefault="004D5B59" w:rsidP="00A40660">
      <w:pPr>
        <w:rPr>
          <w:sz w:val="20"/>
          <w:szCs w:val="20"/>
        </w:rPr>
      </w:pPr>
      <w:r>
        <w:rPr>
          <w:rStyle w:val="ab"/>
        </w:rPr>
        <w:footnoteRef/>
      </w:r>
      <w:r>
        <w:t xml:space="preserve"> </w:t>
      </w:r>
      <w:r w:rsidRPr="00160CD1">
        <w:rPr>
          <w:sz w:val="20"/>
          <w:szCs w:val="20"/>
        </w:rPr>
        <w:t>Существует несколько широко используемых метрик кредитного риска. Такие, например, как</w:t>
      </w:r>
      <w:r>
        <w:rPr>
          <w:sz w:val="20"/>
          <w:szCs w:val="20"/>
        </w:rPr>
        <w:t xml:space="preserve"> </w:t>
      </w:r>
      <w:r w:rsidRPr="00160CD1">
        <w:rPr>
          <w:sz w:val="20"/>
          <w:szCs w:val="20"/>
        </w:rPr>
        <w:t xml:space="preserve">кредитный </w:t>
      </w:r>
      <w:proofErr w:type="spellStart"/>
      <w:r w:rsidRPr="00160CD1">
        <w:rPr>
          <w:sz w:val="20"/>
          <w:szCs w:val="20"/>
        </w:rPr>
        <w:t>VaR</w:t>
      </w:r>
      <w:proofErr w:type="spellEnd"/>
      <w:r w:rsidRPr="00160CD1">
        <w:rPr>
          <w:sz w:val="20"/>
          <w:szCs w:val="20"/>
        </w:rPr>
        <w:t>; текущий размер позиции под риском (</w:t>
      </w:r>
      <w:proofErr w:type="spellStart"/>
      <w:r w:rsidRPr="00160CD1">
        <w:rPr>
          <w:sz w:val="20"/>
          <w:szCs w:val="20"/>
        </w:rPr>
        <w:t>current</w:t>
      </w:r>
      <w:proofErr w:type="spellEnd"/>
      <w:r w:rsidRPr="00160CD1">
        <w:rPr>
          <w:sz w:val="20"/>
          <w:szCs w:val="20"/>
        </w:rPr>
        <w:t xml:space="preserve"> </w:t>
      </w:r>
      <w:proofErr w:type="spellStart"/>
      <w:r w:rsidRPr="00160CD1">
        <w:rPr>
          <w:sz w:val="20"/>
          <w:szCs w:val="20"/>
        </w:rPr>
        <w:t>exposure</w:t>
      </w:r>
      <w:proofErr w:type="spellEnd"/>
      <w:r w:rsidRPr="00160CD1">
        <w:rPr>
          <w:sz w:val="20"/>
          <w:szCs w:val="20"/>
        </w:rPr>
        <w:t>); потенциальный размер позиции под риском в будущем (</w:t>
      </w:r>
      <w:proofErr w:type="spellStart"/>
      <w:r w:rsidRPr="00160CD1">
        <w:rPr>
          <w:sz w:val="20"/>
          <w:szCs w:val="20"/>
        </w:rPr>
        <w:t>Potential</w:t>
      </w:r>
      <w:proofErr w:type="spellEnd"/>
      <w:r w:rsidRPr="00160CD1">
        <w:rPr>
          <w:sz w:val="20"/>
          <w:szCs w:val="20"/>
        </w:rPr>
        <w:t xml:space="preserve"> </w:t>
      </w:r>
      <w:proofErr w:type="spellStart"/>
      <w:r w:rsidRPr="00160CD1">
        <w:rPr>
          <w:sz w:val="20"/>
          <w:szCs w:val="20"/>
        </w:rPr>
        <w:t>Future</w:t>
      </w:r>
      <w:proofErr w:type="spellEnd"/>
      <w:r w:rsidRPr="00160CD1">
        <w:rPr>
          <w:sz w:val="20"/>
          <w:szCs w:val="20"/>
        </w:rPr>
        <w:t xml:space="preserve"> </w:t>
      </w:r>
      <w:proofErr w:type="spellStart"/>
      <w:r w:rsidRPr="00160CD1">
        <w:rPr>
          <w:sz w:val="20"/>
          <w:szCs w:val="20"/>
        </w:rPr>
        <w:t>Exposure</w:t>
      </w:r>
      <w:proofErr w:type="spellEnd"/>
      <w:r w:rsidRPr="00160CD1">
        <w:rPr>
          <w:sz w:val="20"/>
          <w:szCs w:val="20"/>
        </w:rPr>
        <w:t xml:space="preserve"> - PFE); ожидаемый  положительный размер позиции под риском (</w:t>
      </w:r>
      <w:proofErr w:type="spellStart"/>
      <w:r w:rsidRPr="00160CD1">
        <w:rPr>
          <w:sz w:val="20"/>
          <w:szCs w:val="20"/>
        </w:rPr>
        <w:t>Expected</w:t>
      </w:r>
      <w:proofErr w:type="spellEnd"/>
      <w:r w:rsidRPr="00160CD1">
        <w:rPr>
          <w:sz w:val="20"/>
          <w:szCs w:val="20"/>
        </w:rPr>
        <w:t xml:space="preserve"> </w:t>
      </w:r>
      <w:proofErr w:type="spellStart"/>
      <w:r w:rsidRPr="00160CD1">
        <w:rPr>
          <w:sz w:val="20"/>
          <w:szCs w:val="20"/>
        </w:rPr>
        <w:t>Positive</w:t>
      </w:r>
      <w:proofErr w:type="spellEnd"/>
      <w:r w:rsidRPr="00160CD1">
        <w:rPr>
          <w:sz w:val="20"/>
          <w:szCs w:val="20"/>
        </w:rPr>
        <w:t xml:space="preserve"> </w:t>
      </w:r>
      <w:proofErr w:type="spellStart"/>
      <w:r w:rsidRPr="00160CD1">
        <w:rPr>
          <w:sz w:val="20"/>
          <w:szCs w:val="20"/>
        </w:rPr>
        <w:t>Exposure</w:t>
      </w:r>
      <w:proofErr w:type="spellEnd"/>
      <w:r w:rsidRPr="00160CD1">
        <w:rPr>
          <w:sz w:val="20"/>
          <w:szCs w:val="20"/>
        </w:rPr>
        <w:t xml:space="preserve"> - EPE); размер позиции, подверженной дефолту (</w:t>
      </w:r>
      <w:proofErr w:type="spellStart"/>
      <w:r w:rsidRPr="00160CD1">
        <w:rPr>
          <w:sz w:val="20"/>
          <w:szCs w:val="20"/>
        </w:rPr>
        <w:t>Exposure</w:t>
      </w:r>
      <w:proofErr w:type="spellEnd"/>
      <w:r w:rsidRPr="00160CD1">
        <w:rPr>
          <w:sz w:val="20"/>
          <w:szCs w:val="20"/>
        </w:rPr>
        <w:t xml:space="preserve"> </w:t>
      </w:r>
      <w:proofErr w:type="spellStart"/>
      <w:r w:rsidRPr="00160CD1">
        <w:rPr>
          <w:sz w:val="20"/>
          <w:szCs w:val="20"/>
        </w:rPr>
        <w:t>At</w:t>
      </w:r>
      <w:proofErr w:type="spellEnd"/>
      <w:r w:rsidRPr="00160CD1">
        <w:rPr>
          <w:sz w:val="20"/>
          <w:szCs w:val="20"/>
        </w:rPr>
        <w:t xml:space="preserve"> </w:t>
      </w:r>
      <w:proofErr w:type="spellStart"/>
      <w:r w:rsidRPr="00160CD1">
        <w:rPr>
          <w:sz w:val="20"/>
          <w:szCs w:val="20"/>
        </w:rPr>
        <w:t>Default</w:t>
      </w:r>
      <w:proofErr w:type="spellEnd"/>
      <w:r w:rsidRPr="00160CD1">
        <w:rPr>
          <w:sz w:val="20"/>
          <w:szCs w:val="20"/>
        </w:rPr>
        <w:t xml:space="preserve"> - EAD) в сочетании с кредитным рейтингом контрагента, вероятностью его дефолта (</w:t>
      </w:r>
      <w:proofErr w:type="spellStart"/>
      <w:r w:rsidRPr="00160CD1">
        <w:rPr>
          <w:sz w:val="20"/>
          <w:szCs w:val="20"/>
        </w:rPr>
        <w:t>Probability</w:t>
      </w:r>
      <w:proofErr w:type="spellEnd"/>
      <w:r w:rsidRPr="00160CD1">
        <w:rPr>
          <w:sz w:val="20"/>
          <w:szCs w:val="20"/>
        </w:rPr>
        <w:t xml:space="preserve"> </w:t>
      </w:r>
      <w:proofErr w:type="spellStart"/>
      <w:r w:rsidRPr="00160CD1">
        <w:rPr>
          <w:sz w:val="20"/>
          <w:szCs w:val="20"/>
        </w:rPr>
        <w:t>of</w:t>
      </w:r>
      <w:proofErr w:type="spellEnd"/>
      <w:r w:rsidRPr="00160CD1">
        <w:rPr>
          <w:sz w:val="20"/>
          <w:szCs w:val="20"/>
        </w:rPr>
        <w:t xml:space="preserve"> </w:t>
      </w:r>
      <w:proofErr w:type="spellStart"/>
      <w:r w:rsidRPr="00160CD1">
        <w:rPr>
          <w:sz w:val="20"/>
          <w:szCs w:val="20"/>
        </w:rPr>
        <w:t>Default</w:t>
      </w:r>
      <w:proofErr w:type="spellEnd"/>
      <w:r w:rsidRPr="00160CD1">
        <w:rPr>
          <w:sz w:val="20"/>
          <w:szCs w:val="20"/>
        </w:rPr>
        <w:t xml:space="preserve"> - PD) и величиной потерь при дефолте (</w:t>
      </w:r>
      <w:proofErr w:type="spellStart"/>
      <w:r w:rsidRPr="00160CD1">
        <w:rPr>
          <w:sz w:val="20"/>
          <w:szCs w:val="20"/>
        </w:rPr>
        <w:t>Loss</w:t>
      </w:r>
      <w:proofErr w:type="spellEnd"/>
      <w:r w:rsidRPr="00160CD1">
        <w:rPr>
          <w:sz w:val="20"/>
          <w:szCs w:val="20"/>
        </w:rPr>
        <w:t xml:space="preserve"> </w:t>
      </w:r>
      <w:proofErr w:type="spellStart"/>
      <w:r w:rsidRPr="00160CD1">
        <w:rPr>
          <w:sz w:val="20"/>
          <w:szCs w:val="20"/>
        </w:rPr>
        <w:t>Given</w:t>
      </w:r>
      <w:proofErr w:type="spellEnd"/>
      <w:r w:rsidRPr="00160CD1">
        <w:rPr>
          <w:sz w:val="20"/>
          <w:szCs w:val="20"/>
        </w:rPr>
        <w:t xml:space="preserve"> </w:t>
      </w:r>
      <w:proofErr w:type="spellStart"/>
      <w:r w:rsidRPr="00160CD1">
        <w:rPr>
          <w:sz w:val="20"/>
          <w:szCs w:val="20"/>
        </w:rPr>
        <w:t>Default</w:t>
      </w:r>
      <w:proofErr w:type="spellEnd"/>
      <w:r w:rsidRPr="00160CD1">
        <w:rPr>
          <w:sz w:val="20"/>
          <w:szCs w:val="20"/>
        </w:rPr>
        <w:t xml:space="preserve"> – LGD) и т.д.</w:t>
      </w:r>
    </w:p>
    <w:p w:rsidR="004D5B59" w:rsidRDefault="004D5B59" w:rsidP="00A40660"/>
  </w:footnote>
  <w:footnote w:id="2">
    <w:p w:rsidR="004D5B59" w:rsidRDefault="004D5B59" w:rsidP="00B929FE">
      <w:pPr>
        <w:pStyle w:val="a9"/>
      </w:pPr>
      <w:r>
        <w:rPr>
          <w:rStyle w:val="ab"/>
        </w:rPr>
        <w:footnoteRef/>
      </w:r>
      <w:r>
        <w:t xml:space="preserve"> В результате использования предположения о независимости, методика не учитывает возможность появления </w:t>
      </w:r>
      <w:r w:rsidRPr="00266BD8">
        <w:rPr>
          <w:lang w:val="en-US"/>
        </w:rPr>
        <w:t>wrong</w:t>
      </w:r>
      <w:r w:rsidRPr="00590B7E">
        <w:t>-</w:t>
      </w:r>
      <w:r w:rsidRPr="00266BD8">
        <w:rPr>
          <w:lang w:val="en-US"/>
        </w:rPr>
        <w:t>way</w:t>
      </w:r>
      <w:r>
        <w:t xml:space="preserve"> (</w:t>
      </w:r>
      <w:r w:rsidRPr="00266BD8">
        <w:rPr>
          <w:lang w:val="en-US"/>
        </w:rPr>
        <w:t>right</w:t>
      </w:r>
      <w:r w:rsidRPr="00590B7E">
        <w:t>-</w:t>
      </w:r>
      <w:r w:rsidRPr="00266BD8">
        <w:rPr>
          <w:lang w:val="en-US"/>
        </w:rPr>
        <w:t>way</w:t>
      </w:r>
      <w:r>
        <w:t>)</w:t>
      </w:r>
      <w:r w:rsidRPr="00590B7E">
        <w:t xml:space="preserve"> </w:t>
      </w:r>
      <w:r>
        <w:t>рисков, т.е. рисков связанных с увеличением (уменьшением) уровня потенциальных потерь при возрастании вероятности дефолта. Для</w:t>
      </w:r>
      <w:r w:rsidRPr="00590B7E">
        <w:t xml:space="preserve"> </w:t>
      </w:r>
      <w:r>
        <w:t>учета</w:t>
      </w:r>
      <w:r w:rsidRPr="00590B7E">
        <w:t xml:space="preserve"> </w:t>
      </w:r>
      <w:r w:rsidRPr="00266BD8">
        <w:rPr>
          <w:lang w:val="en-US"/>
        </w:rPr>
        <w:t>wrong</w:t>
      </w:r>
      <w:r w:rsidRPr="00590B7E">
        <w:t>-</w:t>
      </w:r>
      <w:r w:rsidRPr="00266BD8">
        <w:rPr>
          <w:lang w:val="en-US"/>
        </w:rPr>
        <w:t>way</w:t>
      </w:r>
      <w:r w:rsidRPr="00590B7E">
        <w:t>/</w:t>
      </w:r>
      <w:r w:rsidRPr="00266BD8">
        <w:rPr>
          <w:lang w:val="en-US"/>
        </w:rPr>
        <w:t>right</w:t>
      </w:r>
      <w:r w:rsidRPr="00590B7E">
        <w:t>-</w:t>
      </w:r>
      <w:r w:rsidRPr="00266BD8">
        <w:rPr>
          <w:lang w:val="en-US"/>
        </w:rPr>
        <w:t>way</w:t>
      </w:r>
      <w:r w:rsidRPr="00590B7E">
        <w:t xml:space="preserve"> </w:t>
      </w:r>
      <w:r>
        <w:t xml:space="preserve">рисков необходимо моделирование зависимости события дефолта и поведения базовых активов. Данный тип риска может быть актуален, например, для валютных инструментов. Т.к. снижение </w:t>
      </w:r>
      <w:proofErr w:type="spellStart"/>
      <w:r>
        <w:t>странового</w:t>
      </w:r>
      <w:proofErr w:type="spellEnd"/>
      <w:r>
        <w:t xml:space="preserve"> рейтинга обычно сопровождается девальвацией национальной валюты.</w:t>
      </w:r>
    </w:p>
  </w:footnote>
  <w:footnote w:id="3">
    <w:p w:rsidR="004D5B59" w:rsidRPr="00D93655" w:rsidRDefault="004D5B59" w:rsidP="00D93655">
      <w:pPr>
        <w:rPr>
          <w:sz w:val="20"/>
          <w:szCs w:val="20"/>
        </w:rPr>
      </w:pPr>
      <w:r>
        <w:rPr>
          <w:rStyle w:val="ab"/>
        </w:rPr>
        <w:footnoteRef/>
      </w:r>
      <w:r>
        <w:t xml:space="preserve"> </w:t>
      </w:r>
      <w:r w:rsidRPr="00D93655">
        <w:rPr>
          <w:sz w:val="20"/>
          <w:szCs w:val="20"/>
        </w:rPr>
        <w:t>Используемые на практике модели оценки кредитного риска можно разделить на две основные категории:</w:t>
      </w:r>
    </w:p>
    <w:p w:rsidR="004D5B59" w:rsidRPr="00D93655" w:rsidRDefault="004D5B59" w:rsidP="00D93655">
      <w:pPr>
        <w:pStyle w:val="a6"/>
        <w:numPr>
          <w:ilvl w:val="0"/>
          <w:numId w:val="18"/>
        </w:numPr>
        <w:rPr>
          <w:sz w:val="20"/>
          <w:szCs w:val="20"/>
        </w:rPr>
      </w:pPr>
      <w:r w:rsidRPr="00D93655">
        <w:rPr>
          <w:sz w:val="20"/>
          <w:szCs w:val="20"/>
        </w:rPr>
        <w:t>Структурные модели (</w:t>
      </w:r>
      <w:r w:rsidRPr="00160CD1">
        <w:rPr>
          <w:sz w:val="20"/>
          <w:szCs w:val="20"/>
          <w:lang w:val="en-US"/>
        </w:rPr>
        <w:t>structural</w:t>
      </w:r>
      <w:r w:rsidRPr="00D93655">
        <w:rPr>
          <w:sz w:val="20"/>
          <w:szCs w:val="20"/>
        </w:rPr>
        <w:t xml:space="preserve"> </w:t>
      </w:r>
      <w:r w:rsidRPr="00160CD1">
        <w:rPr>
          <w:sz w:val="20"/>
          <w:szCs w:val="20"/>
          <w:lang w:val="en-US"/>
        </w:rPr>
        <w:t>models</w:t>
      </w:r>
      <w:r w:rsidRPr="00D93655">
        <w:rPr>
          <w:sz w:val="20"/>
          <w:szCs w:val="20"/>
        </w:rPr>
        <w:t>) – модели с явными событиями дефолта, основанные на моделировании структуры активов и пассивов компании.</w:t>
      </w:r>
    </w:p>
    <w:p w:rsidR="004D5B59" w:rsidRPr="001C44E6" w:rsidRDefault="004D5B59" w:rsidP="001C44E6">
      <w:pPr>
        <w:pStyle w:val="a6"/>
        <w:numPr>
          <w:ilvl w:val="0"/>
          <w:numId w:val="18"/>
        </w:numPr>
        <w:rPr>
          <w:sz w:val="20"/>
          <w:szCs w:val="20"/>
        </w:rPr>
      </w:pPr>
      <w:r w:rsidRPr="00D93655">
        <w:rPr>
          <w:sz w:val="20"/>
          <w:szCs w:val="20"/>
        </w:rPr>
        <w:t>«Сокращенные» модели (</w:t>
      </w:r>
      <w:r w:rsidRPr="00160CD1">
        <w:rPr>
          <w:sz w:val="20"/>
          <w:szCs w:val="20"/>
          <w:lang w:val="en-US"/>
        </w:rPr>
        <w:t>reduced</w:t>
      </w:r>
      <w:r w:rsidRPr="00D93655">
        <w:rPr>
          <w:sz w:val="20"/>
          <w:szCs w:val="20"/>
        </w:rPr>
        <w:t xml:space="preserve"> </w:t>
      </w:r>
      <w:r w:rsidRPr="00160CD1">
        <w:rPr>
          <w:sz w:val="20"/>
          <w:szCs w:val="20"/>
          <w:lang w:val="en-US"/>
        </w:rPr>
        <w:t>models</w:t>
      </w:r>
      <w:r w:rsidRPr="00D93655">
        <w:rPr>
          <w:sz w:val="20"/>
          <w:szCs w:val="20"/>
        </w:rPr>
        <w:t>) – модели, в которых событие наступления дефолта является случайной величиной и моделируется напрямую.</w:t>
      </w:r>
    </w:p>
  </w:footnote>
  <w:footnote w:id="4">
    <w:p w:rsidR="004D5B59" w:rsidRDefault="004D5B59" w:rsidP="00D93655">
      <w:pPr>
        <w:pStyle w:val="a9"/>
      </w:pPr>
      <w:r>
        <w:rPr>
          <w:rStyle w:val="ab"/>
        </w:rPr>
        <w:footnoteRef/>
      </w:r>
      <w:r>
        <w:t xml:space="preserve"> В общем случае, при моделировании зависимостей события дефолта и цены инструмента </w:t>
      </w:r>
      <w:r w:rsidRPr="00BE7DB1">
        <w:rPr>
          <w:rFonts w:ascii="Symbol" w:hAnsi="Symbol"/>
          <w:i/>
          <w:lang w:val="en-US"/>
        </w:rPr>
        <w:t></w:t>
      </w:r>
      <w:r w:rsidRPr="00BE7DB1">
        <w:rPr>
          <w:i/>
          <w:vertAlign w:val="subscript"/>
          <w:lang w:val="en-US"/>
        </w:rPr>
        <w:t>t</w:t>
      </w:r>
      <w:r>
        <w:t xml:space="preserve">  может моделироваться как случайная величина </w:t>
      </w:r>
      <w:proofErr w:type="spellStart"/>
      <w:r>
        <w:t>скоррелированная</w:t>
      </w:r>
      <w:proofErr w:type="spellEnd"/>
      <w:r>
        <w:t xml:space="preserve"> с поведением контракта или базового актива.</w:t>
      </w:r>
    </w:p>
  </w:footnote>
  <w:footnote w:id="5">
    <w:p w:rsidR="004D5B59" w:rsidRDefault="004D5B59" w:rsidP="00D93655">
      <w:pPr>
        <w:pStyle w:val="a9"/>
      </w:pPr>
      <w:r>
        <w:rPr>
          <w:rStyle w:val="ab"/>
        </w:rPr>
        <w:footnoteRef/>
      </w:r>
      <w:r>
        <w:t xml:space="preserve">.Используем приближение </w:t>
      </w:r>
      <w:proofErr w:type="spellStart"/>
      <w:r w:rsidRPr="00B23FE4">
        <w:rPr>
          <w:i/>
          <w:lang w:val="en-US"/>
        </w:rPr>
        <w:t>ln</w:t>
      </w:r>
      <w:proofErr w:type="spellEnd"/>
      <w:r w:rsidRPr="00B23FE4">
        <w:rPr>
          <w:i/>
        </w:rPr>
        <w:t>(1+</w:t>
      </w:r>
      <w:r w:rsidRPr="00B23FE4">
        <w:rPr>
          <w:i/>
          <w:lang w:val="en-US"/>
        </w:rPr>
        <w:t>x</w:t>
      </w:r>
      <w:r w:rsidRPr="00B23FE4">
        <w:rPr>
          <w:i/>
        </w:rPr>
        <w:t>)~</w:t>
      </w:r>
      <w:r w:rsidRPr="00B23FE4">
        <w:rPr>
          <w:i/>
          <w:lang w:val="en-US"/>
        </w:rPr>
        <w:t>x</w:t>
      </w:r>
      <w:r w:rsidRPr="00B23FE4">
        <w:t xml:space="preserve"> </w:t>
      </w:r>
      <w:r>
        <w:t>для малых</w:t>
      </w:r>
      <w:r w:rsidRPr="00B23FE4">
        <w:t xml:space="preserve"> </w:t>
      </w:r>
      <w:r w:rsidRPr="00B23FE4">
        <w:rPr>
          <w:i/>
          <w:lang w:val="en-US"/>
        </w:rPr>
        <w:t>x</w:t>
      </w:r>
    </w:p>
  </w:footnote>
  <w:footnote w:id="6">
    <w:p w:rsidR="004D5B59" w:rsidRPr="001A0DFD" w:rsidRDefault="004D5B59" w:rsidP="00B4703B">
      <w:pPr>
        <w:rPr>
          <w:sz w:val="20"/>
          <w:szCs w:val="20"/>
        </w:rPr>
      </w:pPr>
      <w:r>
        <w:rPr>
          <w:rStyle w:val="ab"/>
        </w:rPr>
        <w:footnoteRef/>
      </w:r>
      <w:r>
        <w:t xml:space="preserve"> </w:t>
      </w:r>
      <w:r w:rsidRPr="001A0DFD">
        <w:rPr>
          <w:sz w:val="20"/>
          <w:szCs w:val="20"/>
        </w:rPr>
        <w:t>В отличие от валютных форвардов, при расчете величины</w:t>
      </w:r>
      <w:r>
        <w:rPr>
          <w:sz w:val="20"/>
          <w:szCs w:val="20"/>
        </w:rPr>
        <w:t xml:space="preserve"> </w:t>
      </w:r>
      <w:r w:rsidRPr="001A0DFD">
        <w:rPr>
          <w:i/>
          <w:sz w:val="20"/>
          <w:szCs w:val="20"/>
        </w:rPr>
        <w:t>C(0,T)</w:t>
      </w:r>
      <w:r w:rsidRPr="001A0DFD">
        <w:rPr>
          <w:sz w:val="20"/>
          <w:szCs w:val="20"/>
        </w:rPr>
        <w:t xml:space="preserve"> </w:t>
      </w:r>
      <w:r>
        <w:rPr>
          <w:sz w:val="20"/>
          <w:szCs w:val="20"/>
        </w:rPr>
        <w:t>для</w:t>
      </w:r>
      <w:r w:rsidRPr="001A0DFD">
        <w:rPr>
          <w:sz w:val="20"/>
          <w:szCs w:val="20"/>
        </w:rPr>
        <w:t xml:space="preserve"> валютны</w:t>
      </w:r>
      <w:r>
        <w:rPr>
          <w:sz w:val="20"/>
          <w:szCs w:val="20"/>
        </w:rPr>
        <w:t>х</w:t>
      </w:r>
      <w:r w:rsidRPr="001A0DFD">
        <w:rPr>
          <w:sz w:val="20"/>
          <w:szCs w:val="20"/>
        </w:rPr>
        <w:t xml:space="preserve"> и процентны</w:t>
      </w:r>
      <w:r>
        <w:rPr>
          <w:sz w:val="20"/>
          <w:szCs w:val="20"/>
        </w:rPr>
        <w:t>х</w:t>
      </w:r>
      <w:r w:rsidRPr="001A0DFD">
        <w:rPr>
          <w:sz w:val="20"/>
          <w:szCs w:val="20"/>
        </w:rPr>
        <w:t xml:space="preserve"> своп</w:t>
      </w:r>
      <w:r>
        <w:rPr>
          <w:sz w:val="20"/>
          <w:szCs w:val="20"/>
        </w:rPr>
        <w:t>ов,</w:t>
      </w:r>
      <w:r w:rsidRPr="001A0DFD">
        <w:rPr>
          <w:sz w:val="20"/>
          <w:szCs w:val="20"/>
        </w:rPr>
        <w:t xml:space="preserve"> вместо опциона на валюту нужно рассчитывать опцион на своп (</w:t>
      </w:r>
      <w:proofErr w:type="spellStart"/>
      <w:r w:rsidRPr="001A0DFD">
        <w:rPr>
          <w:sz w:val="20"/>
          <w:szCs w:val="20"/>
        </w:rPr>
        <w:t>swaption</w:t>
      </w:r>
      <w:proofErr w:type="spellEnd"/>
      <w:r w:rsidRPr="001A0DFD">
        <w:rPr>
          <w:sz w:val="20"/>
          <w:szCs w:val="20"/>
        </w:rPr>
        <w:t>).</w:t>
      </w:r>
      <w:r>
        <w:rPr>
          <w:sz w:val="20"/>
          <w:szCs w:val="20"/>
        </w:rPr>
        <w:t xml:space="preserve"> </w:t>
      </w:r>
      <w:r w:rsidRPr="001A0DFD">
        <w:rPr>
          <w:sz w:val="20"/>
          <w:szCs w:val="20"/>
        </w:rPr>
        <w:t>В случае оценки CVA для валютного свопа с плавающими ставками, влияние изменений ставок может быть значительным. При этом может понадобиться совместное моделирование процентных ставок и обменных курсов с учетом корреляций между ними.</w:t>
      </w:r>
    </w:p>
    <w:p w:rsidR="004D5B59" w:rsidRDefault="004D5B59" w:rsidP="00B4703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304"/>
    <w:multiLevelType w:val="hybridMultilevel"/>
    <w:tmpl w:val="2A9AC0C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06C62B9"/>
    <w:multiLevelType w:val="hybridMultilevel"/>
    <w:tmpl w:val="19982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8550A0"/>
    <w:multiLevelType w:val="multilevel"/>
    <w:tmpl w:val="0114C55E"/>
    <w:lvl w:ilvl="0">
      <w:start w:val="1"/>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06BF09E9"/>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0B957D3E"/>
    <w:multiLevelType w:val="hybridMultilevel"/>
    <w:tmpl w:val="CA1628B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nsid w:val="16F45169"/>
    <w:multiLevelType w:val="multilevel"/>
    <w:tmpl w:val="0114C55E"/>
    <w:lvl w:ilvl="0">
      <w:start w:val="1"/>
      <w:numFmt w:val="decimal"/>
      <w:lvlText w:val="%1."/>
      <w:lvlJc w:val="left"/>
      <w:pPr>
        <w:ind w:left="502" w:hanging="360"/>
      </w:pPr>
      <w:rPr>
        <w:rFonts w:cs="Times New Roman" w:hint="default"/>
      </w:rPr>
    </w:lvl>
    <w:lvl w:ilvl="1">
      <w:start w:val="1"/>
      <w:numFmt w:val="decimal"/>
      <w:lvlText w:val="%1.%2."/>
      <w:lvlJc w:val="left"/>
      <w:pPr>
        <w:ind w:left="786" w:hanging="360"/>
      </w:pPr>
      <w:rPr>
        <w:rFonts w:cs="Times New Roman" w:hint="default"/>
        <w:color w:val="auto"/>
      </w:rPr>
    </w:lvl>
    <w:lvl w:ilvl="2">
      <w:start w:val="1"/>
      <w:numFmt w:val="decimal"/>
      <w:lvlText w:val="%1.%2.%3."/>
      <w:lvlJc w:val="left"/>
      <w:pPr>
        <w:ind w:left="862" w:hanging="720"/>
      </w:pPr>
      <w:rPr>
        <w:rFonts w:cs="Times New Roman" w:hint="default"/>
      </w:rPr>
    </w:lvl>
    <w:lvl w:ilvl="3">
      <w:start w:val="1"/>
      <w:numFmt w:val="decimal"/>
      <w:lvlText w:val="%1.%2.%3.%4."/>
      <w:lvlJc w:val="left"/>
      <w:pPr>
        <w:ind w:left="862" w:hanging="720"/>
      </w:pPr>
      <w:rPr>
        <w:rFonts w:cs="Times New Roman" w:hint="default"/>
      </w:rPr>
    </w:lvl>
    <w:lvl w:ilvl="4">
      <w:start w:val="1"/>
      <w:numFmt w:val="decimal"/>
      <w:lvlText w:val="%1.%2.%3.%4.%5."/>
      <w:lvlJc w:val="left"/>
      <w:pPr>
        <w:ind w:left="1222" w:hanging="1080"/>
      </w:pPr>
      <w:rPr>
        <w:rFonts w:cs="Times New Roman" w:hint="default"/>
      </w:rPr>
    </w:lvl>
    <w:lvl w:ilvl="5">
      <w:start w:val="1"/>
      <w:numFmt w:val="decimal"/>
      <w:lvlText w:val="%1.%2.%3.%4.%5.%6."/>
      <w:lvlJc w:val="left"/>
      <w:pPr>
        <w:ind w:left="1222" w:hanging="1080"/>
      </w:pPr>
      <w:rPr>
        <w:rFonts w:cs="Times New Roman" w:hint="default"/>
      </w:rPr>
    </w:lvl>
    <w:lvl w:ilvl="6">
      <w:start w:val="1"/>
      <w:numFmt w:val="decimal"/>
      <w:lvlText w:val="%1.%2.%3.%4.%5.%6.%7."/>
      <w:lvlJc w:val="left"/>
      <w:pPr>
        <w:ind w:left="1582" w:hanging="1440"/>
      </w:pPr>
      <w:rPr>
        <w:rFonts w:cs="Times New Roman" w:hint="default"/>
      </w:rPr>
    </w:lvl>
    <w:lvl w:ilvl="7">
      <w:start w:val="1"/>
      <w:numFmt w:val="decimal"/>
      <w:lvlText w:val="%1.%2.%3.%4.%5.%6.%7.%8."/>
      <w:lvlJc w:val="left"/>
      <w:pPr>
        <w:ind w:left="1582" w:hanging="1440"/>
      </w:pPr>
      <w:rPr>
        <w:rFonts w:cs="Times New Roman" w:hint="default"/>
      </w:rPr>
    </w:lvl>
    <w:lvl w:ilvl="8">
      <w:start w:val="1"/>
      <w:numFmt w:val="decimal"/>
      <w:lvlText w:val="%1.%2.%3.%4.%5.%6.%7.%8.%9."/>
      <w:lvlJc w:val="left"/>
      <w:pPr>
        <w:ind w:left="1942" w:hanging="1800"/>
      </w:pPr>
      <w:rPr>
        <w:rFonts w:cs="Times New Roman" w:hint="default"/>
      </w:rPr>
    </w:lvl>
  </w:abstractNum>
  <w:abstractNum w:abstractNumId="6">
    <w:nsid w:val="1A2F2425"/>
    <w:multiLevelType w:val="multilevel"/>
    <w:tmpl w:val="0114C55E"/>
    <w:lvl w:ilvl="0">
      <w:start w:val="1"/>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20B2106E"/>
    <w:multiLevelType w:val="hybridMultilevel"/>
    <w:tmpl w:val="56D208D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0EB07DD"/>
    <w:multiLevelType w:val="hybridMultilevel"/>
    <w:tmpl w:val="0962353E"/>
    <w:lvl w:ilvl="0" w:tplc="B4220CE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
    <w:nsid w:val="282F4098"/>
    <w:multiLevelType w:val="hybridMultilevel"/>
    <w:tmpl w:val="9CFE22AC"/>
    <w:lvl w:ilvl="0" w:tplc="09426E8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0">
    <w:nsid w:val="2F5E7450"/>
    <w:multiLevelType w:val="hybridMultilevel"/>
    <w:tmpl w:val="BFD031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182900"/>
    <w:multiLevelType w:val="multilevel"/>
    <w:tmpl w:val="9A0C65C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31DB6E8D"/>
    <w:multiLevelType w:val="hybridMultilevel"/>
    <w:tmpl w:val="BBA68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E131A2"/>
    <w:multiLevelType w:val="hybridMultilevel"/>
    <w:tmpl w:val="2A9AC0C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3A1A3C73"/>
    <w:multiLevelType w:val="hybridMultilevel"/>
    <w:tmpl w:val="8C2A9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044F47"/>
    <w:multiLevelType w:val="hybridMultilevel"/>
    <w:tmpl w:val="3E88644E"/>
    <w:lvl w:ilvl="0" w:tplc="9C40E142">
      <w:numFmt w:val="bullet"/>
      <w:lvlText w:val=""/>
      <w:lvlJc w:val="left"/>
      <w:pPr>
        <w:ind w:left="1068" w:hanging="360"/>
      </w:pPr>
      <w:rPr>
        <w:rFonts w:ascii="Symbol" w:eastAsia="Times New Roman"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3D0819ED"/>
    <w:multiLevelType w:val="hybridMultilevel"/>
    <w:tmpl w:val="9992D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DA1177F"/>
    <w:multiLevelType w:val="hybridMultilevel"/>
    <w:tmpl w:val="47F4E31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407A4623"/>
    <w:multiLevelType w:val="multilevel"/>
    <w:tmpl w:val="5AE45DE6"/>
    <w:lvl w:ilvl="0">
      <w:start w:val="4"/>
      <w:numFmt w:val="decimal"/>
      <w:lvlText w:val="%1."/>
      <w:lvlJc w:val="left"/>
      <w:pPr>
        <w:ind w:left="360" w:hanging="360"/>
      </w:pPr>
      <w:rPr>
        <w:rFonts w:cs="Times New Roman" w:hint="default"/>
      </w:rPr>
    </w:lvl>
    <w:lvl w:ilvl="1">
      <w:start w:val="4"/>
      <w:numFmt w:val="decimal"/>
      <w:lvlText w:val="%1.%2."/>
      <w:lvlJc w:val="left"/>
      <w:pPr>
        <w:ind w:left="644" w:hanging="360"/>
      </w:pPr>
      <w:rPr>
        <w:rFonts w:cs="Times New Roman" w:hint="default"/>
        <w:i w:val="0"/>
      </w:rPr>
    </w:lvl>
    <w:lvl w:ilvl="2">
      <w:start w:val="1"/>
      <w:numFmt w:val="decimal"/>
      <w:lvlText w:val="%1.%2.%3."/>
      <w:lvlJc w:val="left"/>
      <w:pPr>
        <w:ind w:left="1288" w:hanging="720"/>
      </w:pPr>
      <w:rPr>
        <w:rFonts w:cs="Times New Roman" w:hint="default"/>
      </w:rPr>
    </w:lvl>
    <w:lvl w:ilvl="3">
      <w:start w:val="1"/>
      <w:numFmt w:val="decimal"/>
      <w:lvlText w:val="%1.%2.%3.%4."/>
      <w:lvlJc w:val="left"/>
      <w:pPr>
        <w:ind w:left="1572" w:hanging="720"/>
      </w:pPr>
      <w:rPr>
        <w:rFonts w:cs="Times New Roman" w:hint="default"/>
      </w:rPr>
    </w:lvl>
    <w:lvl w:ilvl="4">
      <w:start w:val="1"/>
      <w:numFmt w:val="decimal"/>
      <w:lvlText w:val="%1.%2.%3.%4.%5."/>
      <w:lvlJc w:val="left"/>
      <w:pPr>
        <w:ind w:left="2216" w:hanging="1080"/>
      </w:pPr>
      <w:rPr>
        <w:rFonts w:cs="Times New Roman" w:hint="default"/>
      </w:rPr>
    </w:lvl>
    <w:lvl w:ilvl="5">
      <w:start w:val="1"/>
      <w:numFmt w:val="decimal"/>
      <w:lvlText w:val="%1.%2.%3.%4.%5.%6."/>
      <w:lvlJc w:val="left"/>
      <w:pPr>
        <w:ind w:left="2500" w:hanging="1080"/>
      </w:pPr>
      <w:rPr>
        <w:rFonts w:cs="Times New Roman" w:hint="default"/>
      </w:rPr>
    </w:lvl>
    <w:lvl w:ilvl="6">
      <w:start w:val="1"/>
      <w:numFmt w:val="decimal"/>
      <w:lvlText w:val="%1.%2.%3.%4.%5.%6.%7."/>
      <w:lvlJc w:val="left"/>
      <w:pPr>
        <w:ind w:left="3144" w:hanging="1440"/>
      </w:pPr>
      <w:rPr>
        <w:rFonts w:cs="Times New Roman" w:hint="default"/>
      </w:rPr>
    </w:lvl>
    <w:lvl w:ilvl="7">
      <w:start w:val="1"/>
      <w:numFmt w:val="decimal"/>
      <w:lvlText w:val="%1.%2.%3.%4.%5.%6.%7.%8."/>
      <w:lvlJc w:val="left"/>
      <w:pPr>
        <w:ind w:left="3428" w:hanging="1440"/>
      </w:pPr>
      <w:rPr>
        <w:rFonts w:cs="Times New Roman" w:hint="default"/>
      </w:rPr>
    </w:lvl>
    <w:lvl w:ilvl="8">
      <w:start w:val="1"/>
      <w:numFmt w:val="decimal"/>
      <w:lvlText w:val="%1.%2.%3.%4.%5.%6.%7.%8.%9."/>
      <w:lvlJc w:val="left"/>
      <w:pPr>
        <w:ind w:left="4072" w:hanging="1800"/>
      </w:pPr>
      <w:rPr>
        <w:rFonts w:cs="Times New Roman" w:hint="default"/>
      </w:rPr>
    </w:lvl>
  </w:abstractNum>
  <w:abstractNum w:abstractNumId="19">
    <w:nsid w:val="4188324F"/>
    <w:multiLevelType w:val="hybridMultilevel"/>
    <w:tmpl w:val="64CC474C"/>
    <w:lvl w:ilvl="0" w:tplc="0419000F">
      <w:start w:val="1"/>
      <w:numFmt w:val="decimal"/>
      <w:lvlText w:val="%1."/>
      <w:lvlJc w:val="left"/>
      <w:pPr>
        <w:ind w:left="1428" w:hanging="360"/>
      </w:pPr>
      <w:rPr>
        <w:rFonts w:cs="Times New Roman"/>
      </w:rPr>
    </w:lvl>
    <w:lvl w:ilvl="1" w:tplc="04190019" w:tentative="1">
      <w:start w:val="1"/>
      <w:numFmt w:val="lowerLetter"/>
      <w:lvlText w:val="%2."/>
      <w:lvlJc w:val="left"/>
      <w:pPr>
        <w:ind w:left="2148" w:hanging="360"/>
      </w:pPr>
      <w:rPr>
        <w:rFonts w:cs="Times New Roman"/>
      </w:rPr>
    </w:lvl>
    <w:lvl w:ilvl="2" w:tplc="0419001B" w:tentative="1">
      <w:start w:val="1"/>
      <w:numFmt w:val="lowerRoman"/>
      <w:lvlText w:val="%3."/>
      <w:lvlJc w:val="right"/>
      <w:pPr>
        <w:ind w:left="2868" w:hanging="180"/>
      </w:pPr>
      <w:rPr>
        <w:rFonts w:cs="Times New Roman"/>
      </w:rPr>
    </w:lvl>
    <w:lvl w:ilvl="3" w:tplc="0419000F" w:tentative="1">
      <w:start w:val="1"/>
      <w:numFmt w:val="decimal"/>
      <w:lvlText w:val="%4."/>
      <w:lvlJc w:val="left"/>
      <w:pPr>
        <w:ind w:left="3588" w:hanging="360"/>
      </w:pPr>
      <w:rPr>
        <w:rFonts w:cs="Times New Roman"/>
      </w:rPr>
    </w:lvl>
    <w:lvl w:ilvl="4" w:tplc="04190019" w:tentative="1">
      <w:start w:val="1"/>
      <w:numFmt w:val="lowerLetter"/>
      <w:lvlText w:val="%5."/>
      <w:lvlJc w:val="left"/>
      <w:pPr>
        <w:ind w:left="4308" w:hanging="360"/>
      </w:pPr>
      <w:rPr>
        <w:rFonts w:cs="Times New Roman"/>
      </w:rPr>
    </w:lvl>
    <w:lvl w:ilvl="5" w:tplc="0419001B" w:tentative="1">
      <w:start w:val="1"/>
      <w:numFmt w:val="lowerRoman"/>
      <w:lvlText w:val="%6."/>
      <w:lvlJc w:val="right"/>
      <w:pPr>
        <w:ind w:left="5028" w:hanging="180"/>
      </w:pPr>
      <w:rPr>
        <w:rFonts w:cs="Times New Roman"/>
      </w:rPr>
    </w:lvl>
    <w:lvl w:ilvl="6" w:tplc="0419000F" w:tentative="1">
      <w:start w:val="1"/>
      <w:numFmt w:val="decimal"/>
      <w:lvlText w:val="%7."/>
      <w:lvlJc w:val="left"/>
      <w:pPr>
        <w:ind w:left="5748" w:hanging="360"/>
      </w:pPr>
      <w:rPr>
        <w:rFonts w:cs="Times New Roman"/>
      </w:rPr>
    </w:lvl>
    <w:lvl w:ilvl="7" w:tplc="04190019" w:tentative="1">
      <w:start w:val="1"/>
      <w:numFmt w:val="lowerLetter"/>
      <w:lvlText w:val="%8."/>
      <w:lvlJc w:val="left"/>
      <w:pPr>
        <w:ind w:left="6468" w:hanging="360"/>
      </w:pPr>
      <w:rPr>
        <w:rFonts w:cs="Times New Roman"/>
      </w:rPr>
    </w:lvl>
    <w:lvl w:ilvl="8" w:tplc="0419001B" w:tentative="1">
      <w:start w:val="1"/>
      <w:numFmt w:val="lowerRoman"/>
      <w:lvlText w:val="%9."/>
      <w:lvlJc w:val="right"/>
      <w:pPr>
        <w:ind w:left="7188" w:hanging="180"/>
      </w:pPr>
      <w:rPr>
        <w:rFonts w:cs="Times New Roman"/>
      </w:rPr>
    </w:lvl>
  </w:abstractNum>
  <w:abstractNum w:abstractNumId="20">
    <w:nsid w:val="427F441F"/>
    <w:multiLevelType w:val="hybridMultilevel"/>
    <w:tmpl w:val="35F68E38"/>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nsid w:val="45614D74"/>
    <w:multiLevelType w:val="hybridMultilevel"/>
    <w:tmpl w:val="4C9451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A75251E"/>
    <w:multiLevelType w:val="multilevel"/>
    <w:tmpl w:val="4E3004D6"/>
    <w:lvl w:ilvl="0">
      <w:start w:val="2"/>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3">
    <w:nsid w:val="516003B1"/>
    <w:multiLevelType w:val="multilevel"/>
    <w:tmpl w:val="0114C55E"/>
    <w:lvl w:ilvl="0">
      <w:start w:val="1"/>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nsid w:val="54EA6832"/>
    <w:multiLevelType w:val="hybridMultilevel"/>
    <w:tmpl w:val="0E041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EBD55A2"/>
    <w:multiLevelType w:val="multilevel"/>
    <w:tmpl w:val="0114C55E"/>
    <w:lvl w:ilvl="0">
      <w:start w:val="1"/>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nsid w:val="648175B0"/>
    <w:multiLevelType w:val="multilevel"/>
    <w:tmpl w:val="727EF04A"/>
    <w:lvl w:ilvl="0">
      <w:start w:val="4"/>
      <w:numFmt w:val="decimal"/>
      <w:lvlText w:val="%1."/>
      <w:lvlJc w:val="left"/>
      <w:pPr>
        <w:ind w:left="360" w:hanging="360"/>
      </w:pPr>
      <w:rPr>
        <w:rFonts w:cs="Times New Roman" w:hint="default"/>
      </w:rPr>
    </w:lvl>
    <w:lvl w:ilvl="1">
      <w:start w:val="4"/>
      <w:numFmt w:val="decimal"/>
      <w:lvlText w:val="%1.%2."/>
      <w:lvlJc w:val="left"/>
      <w:pPr>
        <w:ind w:left="644" w:hanging="360"/>
      </w:pPr>
      <w:rPr>
        <w:rFonts w:cs="Times New Roman" w:hint="default"/>
      </w:rPr>
    </w:lvl>
    <w:lvl w:ilvl="2">
      <w:start w:val="1"/>
      <w:numFmt w:val="decimal"/>
      <w:lvlText w:val="%1.%2.%3."/>
      <w:lvlJc w:val="left"/>
      <w:pPr>
        <w:ind w:left="1288" w:hanging="720"/>
      </w:pPr>
      <w:rPr>
        <w:rFonts w:cs="Times New Roman" w:hint="default"/>
      </w:rPr>
    </w:lvl>
    <w:lvl w:ilvl="3">
      <w:start w:val="1"/>
      <w:numFmt w:val="decimal"/>
      <w:lvlText w:val="%1.%2.%3.%4."/>
      <w:lvlJc w:val="left"/>
      <w:pPr>
        <w:ind w:left="1572" w:hanging="720"/>
      </w:pPr>
      <w:rPr>
        <w:rFonts w:cs="Times New Roman" w:hint="default"/>
      </w:rPr>
    </w:lvl>
    <w:lvl w:ilvl="4">
      <w:start w:val="1"/>
      <w:numFmt w:val="decimal"/>
      <w:lvlText w:val="%1.%2.%3.%4.%5."/>
      <w:lvlJc w:val="left"/>
      <w:pPr>
        <w:ind w:left="2216" w:hanging="1080"/>
      </w:pPr>
      <w:rPr>
        <w:rFonts w:cs="Times New Roman" w:hint="default"/>
      </w:rPr>
    </w:lvl>
    <w:lvl w:ilvl="5">
      <w:start w:val="1"/>
      <w:numFmt w:val="decimal"/>
      <w:lvlText w:val="%1.%2.%3.%4.%5.%6."/>
      <w:lvlJc w:val="left"/>
      <w:pPr>
        <w:ind w:left="2500" w:hanging="1080"/>
      </w:pPr>
      <w:rPr>
        <w:rFonts w:cs="Times New Roman" w:hint="default"/>
      </w:rPr>
    </w:lvl>
    <w:lvl w:ilvl="6">
      <w:start w:val="1"/>
      <w:numFmt w:val="decimal"/>
      <w:lvlText w:val="%1.%2.%3.%4.%5.%6.%7."/>
      <w:lvlJc w:val="left"/>
      <w:pPr>
        <w:ind w:left="3144" w:hanging="1440"/>
      </w:pPr>
      <w:rPr>
        <w:rFonts w:cs="Times New Roman" w:hint="default"/>
      </w:rPr>
    </w:lvl>
    <w:lvl w:ilvl="7">
      <w:start w:val="1"/>
      <w:numFmt w:val="decimal"/>
      <w:lvlText w:val="%1.%2.%3.%4.%5.%6.%7.%8."/>
      <w:lvlJc w:val="left"/>
      <w:pPr>
        <w:ind w:left="3428" w:hanging="1440"/>
      </w:pPr>
      <w:rPr>
        <w:rFonts w:cs="Times New Roman" w:hint="default"/>
      </w:rPr>
    </w:lvl>
    <w:lvl w:ilvl="8">
      <w:start w:val="1"/>
      <w:numFmt w:val="decimal"/>
      <w:lvlText w:val="%1.%2.%3.%4.%5.%6.%7.%8.%9."/>
      <w:lvlJc w:val="left"/>
      <w:pPr>
        <w:ind w:left="4072" w:hanging="1800"/>
      </w:pPr>
      <w:rPr>
        <w:rFonts w:cs="Times New Roman" w:hint="default"/>
      </w:rPr>
    </w:lvl>
  </w:abstractNum>
  <w:abstractNum w:abstractNumId="27">
    <w:nsid w:val="71092AFA"/>
    <w:multiLevelType w:val="hybridMultilevel"/>
    <w:tmpl w:val="D214C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10F22A3"/>
    <w:multiLevelType w:val="hybridMultilevel"/>
    <w:tmpl w:val="0D8E7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F79197A"/>
    <w:multiLevelType w:val="hybridMultilevel"/>
    <w:tmpl w:val="11D433B4"/>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28"/>
  </w:num>
  <w:num w:numId="6">
    <w:abstractNumId w:val="19"/>
  </w:num>
  <w:num w:numId="7">
    <w:abstractNumId w:val="15"/>
  </w:num>
  <w:num w:numId="8">
    <w:abstractNumId w:val="29"/>
  </w:num>
  <w:num w:numId="9">
    <w:abstractNumId w:val="12"/>
  </w:num>
  <w:num w:numId="10">
    <w:abstractNumId w:val="10"/>
  </w:num>
  <w:num w:numId="11">
    <w:abstractNumId w:val="24"/>
  </w:num>
  <w:num w:numId="12">
    <w:abstractNumId w:val="25"/>
  </w:num>
  <w:num w:numId="13">
    <w:abstractNumId w:val="22"/>
  </w:num>
  <w:num w:numId="14">
    <w:abstractNumId w:val="16"/>
  </w:num>
  <w:num w:numId="15">
    <w:abstractNumId w:val="23"/>
  </w:num>
  <w:num w:numId="16">
    <w:abstractNumId w:val="2"/>
  </w:num>
  <w:num w:numId="17">
    <w:abstractNumId w:val="5"/>
  </w:num>
  <w:num w:numId="18">
    <w:abstractNumId w:val="1"/>
  </w:num>
  <w:num w:numId="19">
    <w:abstractNumId w:val="21"/>
  </w:num>
  <w:num w:numId="20">
    <w:abstractNumId w:val="3"/>
  </w:num>
  <w:num w:numId="21">
    <w:abstractNumId w:val="27"/>
  </w:num>
  <w:num w:numId="22">
    <w:abstractNumId w:val="0"/>
  </w:num>
  <w:num w:numId="23">
    <w:abstractNumId w:val="17"/>
  </w:num>
  <w:num w:numId="24">
    <w:abstractNumId w:val="11"/>
  </w:num>
  <w:num w:numId="25">
    <w:abstractNumId w:val="26"/>
  </w:num>
  <w:num w:numId="26">
    <w:abstractNumId w:val="18"/>
  </w:num>
  <w:num w:numId="27">
    <w:abstractNumId w:val="14"/>
  </w:num>
  <w:num w:numId="28">
    <w:abstractNumId w:val="8"/>
  </w:num>
  <w:num w:numId="29">
    <w:abstractNumId w:val="9"/>
  </w:num>
  <w:num w:numId="30">
    <w:abstractNumId w:val="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C"/>
    <w:rsid w:val="00033472"/>
    <w:rsid w:val="00037E3D"/>
    <w:rsid w:val="0008380E"/>
    <w:rsid w:val="0008588F"/>
    <w:rsid w:val="00093CF5"/>
    <w:rsid w:val="000A115A"/>
    <w:rsid w:val="000C59E1"/>
    <w:rsid w:val="000D2561"/>
    <w:rsid w:val="00113DF1"/>
    <w:rsid w:val="0013210A"/>
    <w:rsid w:val="00152B56"/>
    <w:rsid w:val="00157926"/>
    <w:rsid w:val="00160CD1"/>
    <w:rsid w:val="00173362"/>
    <w:rsid w:val="00173E19"/>
    <w:rsid w:val="00186639"/>
    <w:rsid w:val="001A0DFD"/>
    <w:rsid w:val="001A550F"/>
    <w:rsid w:val="001A5D22"/>
    <w:rsid w:val="001B7937"/>
    <w:rsid w:val="001C1C46"/>
    <w:rsid w:val="001C44E6"/>
    <w:rsid w:val="00211D10"/>
    <w:rsid w:val="00232CC9"/>
    <w:rsid w:val="00233DD0"/>
    <w:rsid w:val="0024731C"/>
    <w:rsid w:val="002541AC"/>
    <w:rsid w:val="002604B3"/>
    <w:rsid w:val="00266BD8"/>
    <w:rsid w:val="00276426"/>
    <w:rsid w:val="002A0701"/>
    <w:rsid w:val="002D006F"/>
    <w:rsid w:val="002D0BB7"/>
    <w:rsid w:val="002F710D"/>
    <w:rsid w:val="0030224B"/>
    <w:rsid w:val="00304ABD"/>
    <w:rsid w:val="003371E2"/>
    <w:rsid w:val="00366828"/>
    <w:rsid w:val="003A57B4"/>
    <w:rsid w:val="003D7872"/>
    <w:rsid w:val="004039CF"/>
    <w:rsid w:val="0041230B"/>
    <w:rsid w:val="00430699"/>
    <w:rsid w:val="0043147E"/>
    <w:rsid w:val="00446983"/>
    <w:rsid w:val="00472722"/>
    <w:rsid w:val="00493CC7"/>
    <w:rsid w:val="004D5B59"/>
    <w:rsid w:val="004E02EE"/>
    <w:rsid w:val="004E1C08"/>
    <w:rsid w:val="004E2ED1"/>
    <w:rsid w:val="004F05C8"/>
    <w:rsid w:val="004F2970"/>
    <w:rsid w:val="004F3026"/>
    <w:rsid w:val="005315EA"/>
    <w:rsid w:val="00536852"/>
    <w:rsid w:val="00551500"/>
    <w:rsid w:val="00572A75"/>
    <w:rsid w:val="0057743E"/>
    <w:rsid w:val="00590B7E"/>
    <w:rsid w:val="005D42A6"/>
    <w:rsid w:val="00607F4F"/>
    <w:rsid w:val="0063479C"/>
    <w:rsid w:val="00642BAC"/>
    <w:rsid w:val="00650448"/>
    <w:rsid w:val="006504D9"/>
    <w:rsid w:val="006A5D85"/>
    <w:rsid w:val="006B4078"/>
    <w:rsid w:val="006D48E2"/>
    <w:rsid w:val="00707DE2"/>
    <w:rsid w:val="00710774"/>
    <w:rsid w:val="007225DD"/>
    <w:rsid w:val="0072463F"/>
    <w:rsid w:val="0075086B"/>
    <w:rsid w:val="0075559E"/>
    <w:rsid w:val="00793796"/>
    <w:rsid w:val="00793C16"/>
    <w:rsid w:val="007A6A30"/>
    <w:rsid w:val="007B1DE5"/>
    <w:rsid w:val="007B46AD"/>
    <w:rsid w:val="007E5F71"/>
    <w:rsid w:val="00820BDB"/>
    <w:rsid w:val="00832E20"/>
    <w:rsid w:val="008361D8"/>
    <w:rsid w:val="008531ED"/>
    <w:rsid w:val="00870BE4"/>
    <w:rsid w:val="0089791E"/>
    <w:rsid w:val="008A1915"/>
    <w:rsid w:val="008A3119"/>
    <w:rsid w:val="008A4C8B"/>
    <w:rsid w:val="0091022C"/>
    <w:rsid w:val="009353E8"/>
    <w:rsid w:val="00935974"/>
    <w:rsid w:val="00937514"/>
    <w:rsid w:val="00962B9B"/>
    <w:rsid w:val="00971F2C"/>
    <w:rsid w:val="0098643E"/>
    <w:rsid w:val="00994E50"/>
    <w:rsid w:val="009A2FCC"/>
    <w:rsid w:val="009A40F6"/>
    <w:rsid w:val="009C7258"/>
    <w:rsid w:val="009D5A12"/>
    <w:rsid w:val="009F69D9"/>
    <w:rsid w:val="00A0685B"/>
    <w:rsid w:val="00A332B2"/>
    <w:rsid w:val="00A40660"/>
    <w:rsid w:val="00A4755C"/>
    <w:rsid w:val="00A5052F"/>
    <w:rsid w:val="00A63546"/>
    <w:rsid w:val="00AA3165"/>
    <w:rsid w:val="00AA3FBC"/>
    <w:rsid w:val="00AC01BC"/>
    <w:rsid w:val="00AC6053"/>
    <w:rsid w:val="00B23FE4"/>
    <w:rsid w:val="00B346DF"/>
    <w:rsid w:val="00B4703B"/>
    <w:rsid w:val="00B52C3F"/>
    <w:rsid w:val="00B728AA"/>
    <w:rsid w:val="00B90FB5"/>
    <w:rsid w:val="00B929FE"/>
    <w:rsid w:val="00B97CA4"/>
    <w:rsid w:val="00BC778C"/>
    <w:rsid w:val="00BD69E7"/>
    <w:rsid w:val="00BD732F"/>
    <w:rsid w:val="00BE7DB1"/>
    <w:rsid w:val="00BF6870"/>
    <w:rsid w:val="00C2299A"/>
    <w:rsid w:val="00C273EF"/>
    <w:rsid w:val="00C42298"/>
    <w:rsid w:val="00C731F4"/>
    <w:rsid w:val="00C76162"/>
    <w:rsid w:val="00C7795A"/>
    <w:rsid w:val="00C972F9"/>
    <w:rsid w:val="00CF5E7C"/>
    <w:rsid w:val="00D01A0B"/>
    <w:rsid w:val="00D10387"/>
    <w:rsid w:val="00D54DAF"/>
    <w:rsid w:val="00D65480"/>
    <w:rsid w:val="00D847FE"/>
    <w:rsid w:val="00D93655"/>
    <w:rsid w:val="00DA7795"/>
    <w:rsid w:val="00DF0777"/>
    <w:rsid w:val="00E15371"/>
    <w:rsid w:val="00E20D62"/>
    <w:rsid w:val="00E302B4"/>
    <w:rsid w:val="00E47574"/>
    <w:rsid w:val="00E67723"/>
    <w:rsid w:val="00E979FB"/>
    <w:rsid w:val="00EC7B09"/>
    <w:rsid w:val="00ED48D0"/>
    <w:rsid w:val="00EE7108"/>
    <w:rsid w:val="00F00A5B"/>
    <w:rsid w:val="00F10A1D"/>
    <w:rsid w:val="00F1150C"/>
    <w:rsid w:val="00F65F1B"/>
    <w:rsid w:val="00F80515"/>
    <w:rsid w:val="00F94E8E"/>
    <w:rsid w:val="00F9558C"/>
    <w:rsid w:val="00FD793A"/>
    <w:rsid w:val="00FE0361"/>
    <w:rsid w:val="00FE67B6"/>
    <w:rsid w:val="00FF2A6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E7DB1"/>
    <w:rPr>
      <w:rFonts w:ascii="Times New Roman" w:hAnsi="Times New Roman" w:cs="Times New Roman"/>
      <w:sz w:val="24"/>
      <w:szCs w:val="24"/>
    </w:rPr>
  </w:style>
  <w:style w:type="paragraph" w:styleId="1">
    <w:name w:val="heading 1"/>
    <w:basedOn w:val="a"/>
    <w:next w:val="a"/>
    <w:link w:val="10"/>
    <w:uiPriority w:val="99"/>
    <w:qFormat/>
    <w:rsid w:val="0008380E"/>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9"/>
    <w:qFormat/>
    <w:rsid w:val="0008380E"/>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9"/>
    <w:qFormat/>
    <w:rsid w:val="00EC7B09"/>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08380E"/>
    <w:rPr>
      <w:rFonts w:ascii="Cambria" w:hAnsi="Cambria" w:cs="Times New Roman"/>
      <w:b/>
      <w:bCs/>
      <w:color w:val="4F81BD"/>
      <w:sz w:val="26"/>
      <w:szCs w:val="26"/>
      <w:lang w:val="x-none" w:eastAsia="ru-RU"/>
    </w:rPr>
  </w:style>
  <w:style w:type="character" w:customStyle="1" w:styleId="30">
    <w:name w:val="Заголовок 3 Знак"/>
    <w:basedOn w:val="a0"/>
    <w:link w:val="3"/>
    <w:uiPriority w:val="99"/>
    <w:locked/>
    <w:rsid w:val="00EC7B09"/>
    <w:rPr>
      <w:rFonts w:ascii="Cambria" w:hAnsi="Cambria" w:cs="Times New Roman"/>
      <w:b/>
      <w:bCs/>
      <w:color w:val="4F81BD"/>
      <w:sz w:val="24"/>
      <w:szCs w:val="24"/>
      <w:lang w:val="x-none" w:eastAsia="ru-RU"/>
    </w:rPr>
  </w:style>
  <w:style w:type="paragraph" w:styleId="a3">
    <w:name w:val="Balloon Text"/>
    <w:basedOn w:val="a"/>
    <w:link w:val="a4"/>
    <w:uiPriority w:val="99"/>
    <w:semiHidden/>
    <w:rsid w:val="00BE7DB1"/>
    <w:rPr>
      <w:rFonts w:ascii="Tahoma" w:hAnsi="Tahoma" w:cs="Tahoma"/>
      <w:sz w:val="16"/>
      <w:szCs w:val="16"/>
    </w:rPr>
  </w:style>
  <w:style w:type="character" w:customStyle="1" w:styleId="10">
    <w:name w:val="Заголовок 1 Знак"/>
    <w:basedOn w:val="a0"/>
    <w:link w:val="1"/>
    <w:uiPriority w:val="99"/>
    <w:locked/>
    <w:rsid w:val="0008380E"/>
    <w:rPr>
      <w:rFonts w:ascii="Cambria" w:hAnsi="Cambria" w:cs="Times New Roman"/>
      <w:b/>
      <w:bCs/>
      <w:color w:val="365F91"/>
      <w:sz w:val="28"/>
      <w:szCs w:val="28"/>
      <w:lang w:val="x-none" w:eastAsia="ru-RU"/>
    </w:rPr>
  </w:style>
  <w:style w:type="paragraph" w:customStyle="1" w:styleId="Default">
    <w:name w:val="Default"/>
    <w:basedOn w:val="a"/>
    <w:uiPriority w:val="99"/>
    <w:rsid w:val="00BE7DB1"/>
    <w:pPr>
      <w:autoSpaceDE w:val="0"/>
      <w:autoSpaceDN w:val="0"/>
    </w:pPr>
    <w:rPr>
      <w:color w:val="000000"/>
      <w:lang w:eastAsia="en-US"/>
    </w:rPr>
  </w:style>
  <w:style w:type="character" w:customStyle="1" w:styleId="a4">
    <w:name w:val="Текст выноски Знак"/>
    <w:basedOn w:val="a0"/>
    <w:link w:val="a3"/>
    <w:uiPriority w:val="99"/>
    <w:semiHidden/>
    <w:locked/>
    <w:rsid w:val="00BE7DB1"/>
    <w:rPr>
      <w:rFonts w:ascii="Tahoma" w:hAnsi="Tahoma" w:cs="Tahoma"/>
      <w:sz w:val="16"/>
      <w:szCs w:val="16"/>
      <w:lang w:val="x-none" w:eastAsia="ru-RU"/>
    </w:rPr>
  </w:style>
  <w:style w:type="character" w:styleId="a5">
    <w:name w:val="Hyperlink"/>
    <w:basedOn w:val="a0"/>
    <w:uiPriority w:val="99"/>
    <w:rsid w:val="00BE7DB1"/>
    <w:rPr>
      <w:rFonts w:cs="Times New Roman"/>
      <w:color w:val="0000FF"/>
      <w:u w:val="single"/>
    </w:rPr>
  </w:style>
  <w:style w:type="paragraph" w:styleId="a6">
    <w:name w:val="List Paragraph"/>
    <w:basedOn w:val="a"/>
    <w:uiPriority w:val="34"/>
    <w:qFormat/>
    <w:rsid w:val="00BE7DB1"/>
    <w:pPr>
      <w:ind w:left="720"/>
    </w:pPr>
  </w:style>
  <w:style w:type="character" w:styleId="a7">
    <w:name w:val="Placeholder Text"/>
    <w:basedOn w:val="a0"/>
    <w:uiPriority w:val="99"/>
    <w:semiHidden/>
    <w:rsid w:val="00BE7DB1"/>
    <w:rPr>
      <w:rFonts w:cs="Times New Roman"/>
      <w:color w:val="808080"/>
    </w:rPr>
  </w:style>
  <w:style w:type="table" w:styleId="a8">
    <w:name w:val="Table Grid"/>
    <w:basedOn w:val="a1"/>
    <w:uiPriority w:val="59"/>
    <w:rsid w:val="00BE7DB1"/>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a"/>
    <w:uiPriority w:val="99"/>
    <w:rsid w:val="00870BE4"/>
    <w:pPr>
      <w:spacing w:before="40" w:after="40"/>
    </w:pPr>
    <w:rPr>
      <w:rFonts w:ascii="Arial" w:hAnsi="Arial" w:cs="Arial"/>
      <w:sz w:val="20"/>
      <w:szCs w:val="20"/>
      <w:lang w:val="en-GB" w:eastAsia="en-US"/>
    </w:rPr>
  </w:style>
  <w:style w:type="paragraph" w:styleId="a9">
    <w:name w:val="footnote text"/>
    <w:basedOn w:val="a"/>
    <w:link w:val="11"/>
    <w:uiPriority w:val="99"/>
    <w:semiHidden/>
    <w:rsid w:val="0008380E"/>
    <w:rPr>
      <w:sz w:val="20"/>
      <w:szCs w:val="20"/>
    </w:rPr>
  </w:style>
  <w:style w:type="paragraph" w:styleId="aa">
    <w:name w:val="TOC Heading"/>
    <w:basedOn w:val="1"/>
    <w:next w:val="a"/>
    <w:uiPriority w:val="99"/>
    <w:qFormat/>
    <w:rsid w:val="00650448"/>
    <w:pPr>
      <w:spacing w:line="276" w:lineRule="auto"/>
      <w:outlineLvl w:val="9"/>
    </w:pPr>
    <w:rPr>
      <w:lang w:val="en-US" w:eastAsia="ja-JP"/>
    </w:rPr>
  </w:style>
  <w:style w:type="character" w:styleId="ab">
    <w:name w:val="footnote reference"/>
    <w:basedOn w:val="a0"/>
    <w:uiPriority w:val="99"/>
    <w:semiHidden/>
    <w:rsid w:val="0008380E"/>
    <w:rPr>
      <w:rFonts w:cs="Times New Roman"/>
      <w:vertAlign w:val="superscript"/>
    </w:rPr>
  </w:style>
  <w:style w:type="character" w:customStyle="1" w:styleId="11">
    <w:name w:val="Текст сноски Знак1"/>
    <w:basedOn w:val="a0"/>
    <w:link w:val="a9"/>
    <w:uiPriority w:val="99"/>
    <w:semiHidden/>
    <w:locked/>
    <w:rsid w:val="0008380E"/>
    <w:rPr>
      <w:rFonts w:ascii="Times New Roman" w:hAnsi="Times New Roman" w:cs="Times New Roman"/>
      <w:sz w:val="20"/>
      <w:szCs w:val="20"/>
      <w:lang w:val="x-none" w:eastAsia="ru-RU"/>
    </w:rPr>
  </w:style>
  <w:style w:type="paragraph" w:styleId="12">
    <w:name w:val="toc 1"/>
    <w:basedOn w:val="a"/>
    <w:next w:val="a"/>
    <w:autoRedefine/>
    <w:uiPriority w:val="39"/>
    <w:rsid w:val="0075559E"/>
    <w:pPr>
      <w:tabs>
        <w:tab w:val="left" w:pos="426"/>
        <w:tab w:val="right" w:leader="dot" w:pos="9345"/>
      </w:tabs>
      <w:spacing w:after="100"/>
      <w:ind w:left="426" w:hanging="426"/>
    </w:pPr>
  </w:style>
  <w:style w:type="paragraph" w:styleId="21">
    <w:name w:val="toc 2"/>
    <w:basedOn w:val="a"/>
    <w:next w:val="a"/>
    <w:autoRedefine/>
    <w:uiPriority w:val="39"/>
    <w:rsid w:val="00B346DF"/>
    <w:pPr>
      <w:tabs>
        <w:tab w:val="left" w:pos="709"/>
        <w:tab w:val="right" w:leader="dot" w:pos="9345"/>
      </w:tabs>
      <w:spacing w:after="100"/>
      <w:ind w:left="709" w:hanging="709"/>
    </w:pPr>
  </w:style>
  <w:style w:type="paragraph" w:customStyle="1" w:styleId="HeadingNumber4">
    <w:name w:val="Heading Number 4"/>
    <w:basedOn w:val="a"/>
    <w:next w:val="a"/>
    <w:uiPriority w:val="99"/>
    <w:rsid w:val="00C7795A"/>
    <w:pPr>
      <w:keepNext/>
      <w:tabs>
        <w:tab w:val="left" w:pos="907"/>
      </w:tabs>
      <w:spacing w:before="60" w:after="60"/>
      <w:outlineLvl w:val="3"/>
    </w:pPr>
    <w:rPr>
      <w:rFonts w:ascii="Arial" w:hAnsi="Arial" w:cs="Arial"/>
      <w:sz w:val="20"/>
      <w:szCs w:val="20"/>
      <w:lang w:val="en-GB" w:eastAsia="en-US"/>
    </w:rPr>
  </w:style>
  <w:style w:type="paragraph" w:styleId="ac">
    <w:name w:val="caption"/>
    <w:basedOn w:val="a"/>
    <w:next w:val="a"/>
    <w:uiPriority w:val="99"/>
    <w:qFormat/>
    <w:rsid w:val="00C7795A"/>
    <w:pPr>
      <w:spacing w:after="200"/>
    </w:pPr>
    <w:rPr>
      <w:b/>
      <w:bCs/>
      <w:color w:val="4F81BD"/>
      <w:sz w:val="18"/>
      <w:szCs w:val="18"/>
    </w:rPr>
  </w:style>
  <w:style w:type="paragraph" w:styleId="ad">
    <w:name w:val="Revision"/>
    <w:hidden/>
    <w:uiPriority w:val="99"/>
    <w:semiHidden/>
    <w:rsid w:val="00BC778C"/>
    <w:rPr>
      <w:rFonts w:ascii="Times New Roman" w:hAnsi="Times New Roman" w:cs="Times New Roman"/>
      <w:sz w:val="24"/>
      <w:szCs w:val="24"/>
    </w:rPr>
  </w:style>
  <w:style w:type="character" w:customStyle="1" w:styleId="ae">
    <w:name w:val="Название Знак"/>
    <w:link w:val="af"/>
    <w:uiPriority w:val="99"/>
    <w:locked/>
    <w:rsid w:val="00157926"/>
    <w:rPr>
      <w:rFonts w:ascii="Arial" w:hAnsi="Arial"/>
      <w:b/>
      <w:caps/>
      <w:spacing w:val="5"/>
      <w:kern w:val="28"/>
      <w:sz w:val="52"/>
    </w:rPr>
  </w:style>
  <w:style w:type="paragraph" w:styleId="af">
    <w:name w:val="Title"/>
    <w:basedOn w:val="a"/>
    <w:next w:val="a"/>
    <w:link w:val="ae"/>
    <w:uiPriority w:val="99"/>
    <w:qFormat/>
    <w:rsid w:val="00157926"/>
    <w:pPr>
      <w:spacing w:after="300"/>
      <w:ind w:firstLine="709"/>
      <w:contextualSpacing/>
      <w:jc w:val="center"/>
    </w:pPr>
    <w:rPr>
      <w:rFonts w:ascii="Arial" w:hAnsi="Arial"/>
      <w:b/>
      <w:caps/>
      <w:spacing w:val="5"/>
      <w:kern w:val="28"/>
      <w:sz w:val="28"/>
      <w:szCs w:val="52"/>
    </w:rPr>
  </w:style>
  <w:style w:type="character" w:customStyle="1" w:styleId="TitleChar">
    <w:name w:val="Title Char"/>
    <w:basedOn w:val="a0"/>
    <w:uiPriority w:val="10"/>
    <w:rPr>
      <w:rFonts w:asciiTheme="majorHAnsi" w:eastAsiaTheme="majorEastAsia" w:hAnsiTheme="majorHAnsi" w:cstheme="majorBidi"/>
      <w:b/>
      <w:bCs/>
      <w:kern w:val="28"/>
      <w:sz w:val="32"/>
      <w:szCs w:val="32"/>
    </w:rPr>
  </w:style>
  <w:style w:type="character" w:customStyle="1" w:styleId="13">
    <w:name w:val="Название Знак1"/>
    <w:basedOn w:val="a0"/>
    <w:uiPriority w:val="10"/>
    <w:rPr>
      <w:rFonts w:asciiTheme="majorHAnsi" w:eastAsiaTheme="majorEastAsia" w:hAnsiTheme="majorHAnsi" w:cs="Times New Roman"/>
      <w:b/>
      <w:bCs/>
      <w:kern w:val="28"/>
      <w:sz w:val="32"/>
      <w:szCs w:val="32"/>
    </w:rPr>
  </w:style>
  <w:style w:type="character" w:customStyle="1" w:styleId="TitleChar1">
    <w:name w:val="Title Char1"/>
    <w:basedOn w:val="a0"/>
    <w:uiPriority w:val="99"/>
    <w:rsid w:val="00157926"/>
    <w:rPr>
      <w:rFonts w:ascii="Cambria" w:hAnsi="Cambria" w:cs="Times New Roman"/>
      <w:color w:val="17365D"/>
      <w:spacing w:val="5"/>
      <w:kern w:val="28"/>
      <w:sz w:val="52"/>
      <w:szCs w:val="52"/>
      <w:lang w:val="x-none" w:eastAsia="ru-RU"/>
    </w:rPr>
  </w:style>
  <w:style w:type="character" w:styleId="af0">
    <w:name w:val="page number"/>
    <w:basedOn w:val="a0"/>
    <w:uiPriority w:val="99"/>
    <w:rsid w:val="006D48E2"/>
    <w:rPr>
      <w:rFonts w:ascii="Times New Roman" w:hAnsi="Times New Roman" w:cs="Times New Roman"/>
      <w:sz w:val="20"/>
    </w:rPr>
  </w:style>
  <w:style w:type="character" w:customStyle="1" w:styleId="af1">
    <w:name w:val="Текст сноски Знак"/>
    <w:basedOn w:val="a0"/>
    <w:uiPriority w:val="99"/>
    <w:locked/>
    <w:rsid w:val="006D48E2"/>
    <w:rPr>
      <w:rFonts w:cs="Times New Roman"/>
      <w:sz w:val="20"/>
      <w:lang w:val="en-GB" w:eastAsia="en-US"/>
    </w:rPr>
  </w:style>
  <w:style w:type="paragraph" w:customStyle="1" w:styleId="TOCHeading1">
    <w:name w:val="TOC Heading1"/>
    <w:basedOn w:val="a"/>
    <w:uiPriority w:val="99"/>
    <w:rsid w:val="006D48E2"/>
    <w:pPr>
      <w:spacing w:before="300" w:line="360" w:lineRule="exact"/>
    </w:pPr>
    <w:rPr>
      <w:rFonts w:ascii="Arial Black" w:eastAsia="MS Mincho" w:hAnsi="Arial Black"/>
      <w:sz w:val="28"/>
      <w:szCs w:val="20"/>
      <w:lang w:val="en-GB" w:eastAsia="en-US"/>
    </w:rPr>
  </w:style>
  <w:style w:type="paragraph" w:styleId="af2">
    <w:name w:val="footer"/>
    <w:basedOn w:val="a"/>
    <w:link w:val="af3"/>
    <w:uiPriority w:val="99"/>
    <w:rsid w:val="006D48E2"/>
    <w:pPr>
      <w:tabs>
        <w:tab w:val="center" w:pos="4320"/>
        <w:tab w:val="right" w:pos="8640"/>
      </w:tabs>
    </w:pPr>
    <w:rPr>
      <w:rFonts w:eastAsia="MS Mincho"/>
      <w:szCs w:val="20"/>
      <w:lang w:val="en-GB" w:eastAsia="en-US"/>
    </w:rPr>
  </w:style>
  <w:style w:type="character" w:customStyle="1" w:styleId="FooterChar">
    <w:name w:val="Footer Char"/>
    <w:basedOn w:val="a0"/>
    <w:uiPriority w:val="99"/>
    <w:semiHidden/>
    <w:rPr>
      <w:rFonts w:ascii="Times New Roman" w:hAnsi="Times New Roman" w:cs="Times New Roman"/>
      <w:sz w:val="24"/>
      <w:szCs w:val="24"/>
    </w:rPr>
  </w:style>
  <w:style w:type="character" w:customStyle="1" w:styleId="af3">
    <w:name w:val="Нижний колонтитул Знак"/>
    <w:basedOn w:val="a0"/>
    <w:link w:val="af2"/>
    <w:uiPriority w:val="99"/>
    <w:semiHidden/>
    <w:locked/>
    <w:rsid w:val="006D48E2"/>
    <w:rPr>
      <w:rFonts w:eastAsia="MS Mincho" w:cs="Times New Roman"/>
      <w:sz w:val="24"/>
      <w:lang w:val="en-GB" w:eastAsia="en-US" w:bidi="ar-SA"/>
    </w:rPr>
  </w:style>
  <w:style w:type="paragraph" w:customStyle="1" w:styleId="Caaieiaieoaaeeoueaa">
    <w:name w:val="Caaieiaie oaaeeou eaa."/>
    <w:basedOn w:val="a"/>
    <w:uiPriority w:val="99"/>
    <w:rsid w:val="006D48E2"/>
    <w:pPr>
      <w:widowControl w:val="0"/>
      <w:spacing w:before="20" w:after="20"/>
    </w:pPr>
    <w:rPr>
      <w:rFonts w:eastAsia="MS Mincho"/>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E7DB1"/>
    <w:rPr>
      <w:rFonts w:ascii="Times New Roman" w:hAnsi="Times New Roman" w:cs="Times New Roman"/>
      <w:sz w:val="24"/>
      <w:szCs w:val="24"/>
    </w:rPr>
  </w:style>
  <w:style w:type="paragraph" w:styleId="1">
    <w:name w:val="heading 1"/>
    <w:basedOn w:val="a"/>
    <w:next w:val="a"/>
    <w:link w:val="10"/>
    <w:uiPriority w:val="99"/>
    <w:qFormat/>
    <w:rsid w:val="0008380E"/>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9"/>
    <w:qFormat/>
    <w:rsid w:val="0008380E"/>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9"/>
    <w:qFormat/>
    <w:rsid w:val="00EC7B09"/>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08380E"/>
    <w:rPr>
      <w:rFonts w:ascii="Cambria" w:hAnsi="Cambria" w:cs="Times New Roman"/>
      <w:b/>
      <w:bCs/>
      <w:color w:val="4F81BD"/>
      <w:sz w:val="26"/>
      <w:szCs w:val="26"/>
      <w:lang w:val="x-none" w:eastAsia="ru-RU"/>
    </w:rPr>
  </w:style>
  <w:style w:type="character" w:customStyle="1" w:styleId="30">
    <w:name w:val="Заголовок 3 Знак"/>
    <w:basedOn w:val="a0"/>
    <w:link w:val="3"/>
    <w:uiPriority w:val="99"/>
    <w:locked/>
    <w:rsid w:val="00EC7B09"/>
    <w:rPr>
      <w:rFonts w:ascii="Cambria" w:hAnsi="Cambria" w:cs="Times New Roman"/>
      <w:b/>
      <w:bCs/>
      <w:color w:val="4F81BD"/>
      <w:sz w:val="24"/>
      <w:szCs w:val="24"/>
      <w:lang w:val="x-none" w:eastAsia="ru-RU"/>
    </w:rPr>
  </w:style>
  <w:style w:type="paragraph" w:styleId="a3">
    <w:name w:val="Balloon Text"/>
    <w:basedOn w:val="a"/>
    <w:link w:val="a4"/>
    <w:uiPriority w:val="99"/>
    <w:semiHidden/>
    <w:rsid w:val="00BE7DB1"/>
    <w:rPr>
      <w:rFonts w:ascii="Tahoma" w:hAnsi="Tahoma" w:cs="Tahoma"/>
      <w:sz w:val="16"/>
      <w:szCs w:val="16"/>
    </w:rPr>
  </w:style>
  <w:style w:type="character" w:customStyle="1" w:styleId="10">
    <w:name w:val="Заголовок 1 Знак"/>
    <w:basedOn w:val="a0"/>
    <w:link w:val="1"/>
    <w:uiPriority w:val="99"/>
    <w:locked/>
    <w:rsid w:val="0008380E"/>
    <w:rPr>
      <w:rFonts w:ascii="Cambria" w:hAnsi="Cambria" w:cs="Times New Roman"/>
      <w:b/>
      <w:bCs/>
      <w:color w:val="365F91"/>
      <w:sz w:val="28"/>
      <w:szCs w:val="28"/>
      <w:lang w:val="x-none" w:eastAsia="ru-RU"/>
    </w:rPr>
  </w:style>
  <w:style w:type="paragraph" w:customStyle="1" w:styleId="Default">
    <w:name w:val="Default"/>
    <w:basedOn w:val="a"/>
    <w:uiPriority w:val="99"/>
    <w:rsid w:val="00BE7DB1"/>
    <w:pPr>
      <w:autoSpaceDE w:val="0"/>
      <w:autoSpaceDN w:val="0"/>
    </w:pPr>
    <w:rPr>
      <w:color w:val="000000"/>
      <w:lang w:eastAsia="en-US"/>
    </w:rPr>
  </w:style>
  <w:style w:type="character" w:customStyle="1" w:styleId="a4">
    <w:name w:val="Текст выноски Знак"/>
    <w:basedOn w:val="a0"/>
    <w:link w:val="a3"/>
    <w:uiPriority w:val="99"/>
    <w:semiHidden/>
    <w:locked/>
    <w:rsid w:val="00BE7DB1"/>
    <w:rPr>
      <w:rFonts w:ascii="Tahoma" w:hAnsi="Tahoma" w:cs="Tahoma"/>
      <w:sz w:val="16"/>
      <w:szCs w:val="16"/>
      <w:lang w:val="x-none" w:eastAsia="ru-RU"/>
    </w:rPr>
  </w:style>
  <w:style w:type="character" w:styleId="a5">
    <w:name w:val="Hyperlink"/>
    <w:basedOn w:val="a0"/>
    <w:uiPriority w:val="99"/>
    <w:rsid w:val="00BE7DB1"/>
    <w:rPr>
      <w:rFonts w:cs="Times New Roman"/>
      <w:color w:val="0000FF"/>
      <w:u w:val="single"/>
    </w:rPr>
  </w:style>
  <w:style w:type="paragraph" w:styleId="a6">
    <w:name w:val="List Paragraph"/>
    <w:basedOn w:val="a"/>
    <w:uiPriority w:val="34"/>
    <w:qFormat/>
    <w:rsid w:val="00BE7DB1"/>
    <w:pPr>
      <w:ind w:left="720"/>
    </w:pPr>
  </w:style>
  <w:style w:type="character" w:styleId="a7">
    <w:name w:val="Placeholder Text"/>
    <w:basedOn w:val="a0"/>
    <w:uiPriority w:val="99"/>
    <w:semiHidden/>
    <w:rsid w:val="00BE7DB1"/>
    <w:rPr>
      <w:rFonts w:cs="Times New Roman"/>
      <w:color w:val="808080"/>
    </w:rPr>
  </w:style>
  <w:style w:type="table" w:styleId="a8">
    <w:name w:val="Table Grid"/>
    <w:basedOn w:val="a1"/>
    <w:uiPriority w:val="59"/>
    <w:rsid w:val="00BE7DB1"/>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a"/>
    <w:uiPriority w:val="99"/>
    <w:rsid w:val="00870BE4"/>
    <w:pPr>
      <w:spacing w:before="40" w:after="40"/>
    </w:pPr>
    <w:rPr>
      <w:rFonts w:ascii="Arial" w:hAnsi="Arial" w:cs="Arial"/>
      <w:sz w:val="20"/>
      <w:szCs w:val="20"/>
      <w:lang w:val="en-GB" w:eastAsia="en-US"/>
    </w:rPr>
  </w:style>
  <w:style w:type="paragraph" w:styleId="a9">
    <w:name w:val="footnote text"/>
    <w:basedOn w:val="a"/>
    <w:link w:val="11"/>
    <w:uiPriority w:val="99"/>
    <w:semiHidden/>
    <w:rsid w:val="0008380E"/>
    <w:rPr>
      <w:sz w:val="20"/>
      <w:szCs w:val="20"/>
    </w:rPr>
  </w:style>
  <w:style w:type="paragraph" w:styleId="aa">
    <w:name w:val="TOC Heading"/>
    <w:basedOn w:val="1"/>
    <w:next w:val="a"/>
    <w:uiPriority w:val="99"/>
    <w:qFormat/>
    <w:rsid w:val="00650448"/>
    <w:pPr>
      <w:spacing w:line="276" w:lineRule="auto"/>
      <w:outlineLvl w:val="9"/>
    </w:pPr>
    <w:rPr>
      <w:lang w:val="en-US" w:eastAsia="ja-JP"/>
    </w:rPr>
  </w:style>
  <w:style w:type="character" w:styleId="ab">
    <w:name w:val="footnote reference"/>
    <w:basedOn w:val="a0"/>
    <w:uiPriority w:val="99"/>
    <w:semiHidden/>
    <w:rsid w:val="0008380E"/>
    <w:rPr>
      <w:rFonts w:cs="Times New Roman"/>
      <w:vertAlign w:val="superscript"/>
    </w:rPr>
  </w:style>
  <w:style w:type="character" w:customStyle="1" w:styleId="11">
    <w:name w:val="Текст сноски Знак1"/>
    <w:basedOn w:val="a0"/>
    <w:link w:val="a9"/>
    <w:uiPriority w:val="99"/>
    <w:semiHidden/>
    <w:locked/>
    <w:rsid w:val="0008380E"/>
    <w:rPr>
      <w:rFonts w:ascii="Times New Roman" w:hAnsi="Times New Roman" w:cs="Times New Roman"/>
      <w:sz w:val="20"/>
      <w:szCs w:val="20"/>
      <w:lang w:val="x-none" w:eastAsia="ru-RU"/>
    </w:rPr>
  </w:style>
  <w:style w:type="paragraph" w:styleId="12">
    <w:name w:val="toc 1"/>
    <w:basedOn w:val="a"/>
    <w:next w:val="a"/>
    <w:autoRedefine/>
    <w:uiPriority w:val="39"/>
    <w:rsid w:val="0075559E"/>
    <w:pPr>
      <w:tabs>
        <w:tab w:val="left" w:pos="426"/>
        <w:tab w:val="right" w:leader="dot" w:pos="9345"/>
      </w:tabs>
      <w:spacing w:after="100"/>
      <w:ind w:left="426" w:hanging="426"/>
    </w:pPr>
  </w:style>
  <w:style w:type="paragraph" w:styleId="21">
    <w:name w:val="toc 2"/>
    <w:basedOn w:val="a"/>
    <w:next w:val="a"/>
    <w:autoRedefine/>
    <w:uiPriority w:val="39"/>
    <w:rsid w:val="00B346DF"/>
    <w:pPr>
      <w:tabs>
        <w:tab w:val="left" w:pos="709"/>
        <w:tab w:val="right" w:leader="dot" w:pos="9345"/>
      </w:tabs>
      <w:spacing w:after="100"/>
      <w:ind w:left="709" w:hanging="709"/>
    </w:pPr>
  </w:style>
  <w:style w:type="paragraph" w:customStyle="1" w:styleId="HeadingNumber4">
    <w:name w:val="Heading Number 4"/>
    <w:basedOn w:val="a"/>
    <w:next w:val="a"/>
    <w:uiPriority w:val="99"/>
    <w:rsid w:val="00C7795A"/>
    <w:pPr>
      <w:keepNext/>
      <w:tabs>
        <w:tab w:val="left" w:pos="907"/>
      </w:tabs>
      <w:spacing w:before="60" w:after="60"/>
      <w:outlineLvl w:val="3"/>
    </w:pPr>
    <w:rPr>
      <w:rFonts w:ascii="Arial" w:hAnsi="Arial" w:cs="Arial"/>
      <w:sz w:val="20"/>
      <w:szCs w:val="20"/>
      <w:lang w:val="en-GB" w:eastAsia="en-US"/>
    </w:rPr>
  </w:style>
  <w:style w:type="paragraph" w:styleId="ac">
    <w:name w:val="caption"/>
    <w:basedOn w:val="a"/>
    <w:next w:val="a"/>
    <w:uiPriority w:val="99"/>
    <w:qFormat/>
    <w:rsid w:val="00C7795A"/>
    <w:pPr>
      <w:spacing w:after="200"/>
    </w:pPr>
    <w:rPr>
      <w:b/>
      <w:bCs/>
      <w:color w:val="4F81BD"/>
      <w:sz w:val="18"/>
      <w:szCs w:val="18"/>
    </w:rPr>
  </w:style>
  <w:style w:type="paragraph" w:styleId="ad">
    <w:name w:val="Revision"/>
    <w:hidden/>
    <w:uiPriority w:val="99"/>
    <w:semiHidden/>
    <w:rsid w:val="00BC778C"/>
    <w:rPr>
      <w:rFonts w:ascii="Times New Roman" w:hAnsi="Times New Roman" w:cs="Times New Roman"/>
      <w:sz w:val="24"/>
      <w:szCs w:val="24"/>
    </w:rPr>
  </w:style>
  <w:style w:type="character" w:customStyle="1" w:styleId="ae">
    <w:name w:val="Название Знак"/>
    <w:link w:val="af"/>
    <w:uiPriority w:val="99"/>
    <w:locked/>
    <w:rsid w:val="00157926"/>
    <w:rPr>
      <w:rFonts w:ascii="Arial" w:hAnsi="Arial"/>
      <w:b/>
      <w:caps/>
      <w:spacing w:val="5"/>
      <w:kern w:val="28"/>
      <w:sz w:val="52"/>
    </w:rPr>
  </w:style>
  <w:style w:type="paragraph" w:styleId="af">
    <w:name w:val="Title"/>
    <w:basedOn w:val="a"/>
    <w:next w:val="a"/>
    <w:link w:val="ae"/>
    <w:uiPriority w:val="99"/>
    <w:qFormat/>
    <w:rsid w:val="00157926"/>
    <w:pPr>
      <w:spacing w:after="300"/>
      <w:ind w:firstLine="709"/>
      <w:contextualSpacing/>
      <w:jc w:val="center"/>
    </w:pPr>
    <w:rPr>
      <w:rFonts w:ascii="Arial" w:hAnsi="Arial"/>
      <w:b/>
      <w:caps/>
      <w:spacing w:val="5"/>
      <w:kern w:val="28"/>
      <w:sz w:val="28"/>
      <w:szCs w:val="52"/>
    </w:rPr>
  </w:style>
  <w:style w:type="character" w:customStyle="1" w:styleId="TitleChar">
    <w:name w:val="Title Char"/>
    <w:basedOn w:val="a0"/>
    <w:uiPriority w:val="10"/>
    <w:rPr>
      <w:rFonts w:asciiTheme="majorHAnsi" w:eastAsiaTheme="majorEastAsia" w:hAnsiTheme="majorHAnsi" w:cstheme="majorBidi"/>
      <w:b/>
      <w:bCs/>
      <w:kern w:val="28"/>
      <w:sz w:val="32"/>
      <w:szCs w:val="32"/>
    </w:rPr>
  </w:style>
  <w:style w:type="character" w:customStyle="1" w:styleId="13">
    <w:name w:val="Название Знак1"/>
    <w:basedOn w:val="a0"/>
    <w:uiPriority w:val="10"/>
    <w:rPr>
      <w:rFonts w:asciiTheme="majorHAnsi" w:eastAsiaTheme="majorEastAsia" w:hAnsiTheme="majorHAnsi" w:cs="Times New Roman"/>
      <w:b/>
      <w:bCs/>
      <w:kern w:val="28"/>
      <w:sz w:val="32"/>
      <w:szCs w:val="32"/>
    </w:rPr>
  </w:style>
  <w:style w:type="character" w:customStyle="1" w:styleId="TitleChar1">
    <w:name w:val="Title Char1"/>
    <w:basedOn w:val="a0"/>
    <w:uiPriority w:val="99"/>
    <w:rsid w:val="00157926"/>
    <w:rPr>
      <w:rFonts w:ascii="Cambria" w:hAnsi="Cambria" w:cs="Times New Roman"/>
      <w:color w:val="17365D"/>
      <w:spacing w:val="5"/>
      <w:kern w:val="28"/>
      <w:sz w:val="52"/>
      <w:szCs w:val="52"/>
      <w:lang w:val="x-none" w:eastAsia="ru-RU"/>
    </w:rPr>
  </w:style>
  <w:style w:type="character" w:styleId="af0">
    <w:name w:val="page number"/>
    <w:basedOn w:val="a0"/>
    <w:uiPriority w:val="99"/>
    <w:rsid w:val="006D48E2"/>
    <w:rPr>
      <w:rFonts w:ascii="Times New Roman" w:hAnsi="Times New Roman" w:cs="Times New Roman"/>
      <w:sz w:val="20"/>
    </w:rPr>
  </w:style>
  <w:style w:type="character" w:customStyle="1" w:styleId="af1">
    <w:name w:val="Текст сноски Знак"/>
    <w:basedOn w:val="a0"/>
    <w:uiPriority w:val="99"/>
    <w:locked/>
    <w:rsid w:val="006D48E2"/>
    <w:rPr>
      <w:rFonts w:cs="Times New Roman"/>
      <w:sz w:val="20"/>
      <w:lang w:val="en-GB" w:eastAsia="en-US"/>
    </w:rPr>
  </w:style>
  <w:style w:type="paragraph" w:customStyle="1" w:styleId="TOCHeading1">
    <w:name w:val="TOC Heading1"/>
    <w:basedOn w:val="a"/>
    <w:uiPriority w:val="99"/>
    <w:rsid w:val="006D48E2"/>
    <w:pPr>
      <w:spacing w:before="300" w:line="360" w:lineRule="exact"/>
    </w:pPr>
    <w:rPr>
      <w:rFonts w:ascii="Arial Black" w:eastAsia="MS Mincho" w:hAnsi="Arial Black"/>
      <w:sz w:val="28"/>
      <w:szCs w:val="20"/>
      <w:lang w:val="en-GB" w:eastAsia="en-US"/>
    </w:rPr>
  </w:style>
  <w:style w:type="paragraph" w:styleId="af2">
    <w:name w:val="footer"/>
    <w:basedOn w:val="a"/>
    <w:link w:val="af3"/>
    <w:uiPriority w:val="99"/>
    <w:rsid w:val="006D48E2"/>
    <w:pPr>
      <w:tabs>
        <w:tab w:val="center" w:pos="4320"/>
        <w:tab w:val="right" w:pos="8640"/>
      </w:tabs>
    </w:pPr>
    <w:rPr>
      <w:rFonts w:eastAsia="MS Mincho"/>
      <w:szCs w:val="20"/>
      <w:lang w:val="en-GB" w:eastAsia="en-US"/>
    </w:rPr>
  </w:style>
  <w:style w:type="character" w:customStyle="1" w:styleId="FooterChar">
    <w:name w:val="Footer Char"/>
    <w:basedOn w:val="a0"/>
    <w:uiPriority w:val="99"/>
    <w:semiHidden/>
    <w:rPr>
      <w:rFonts w:ascii="Times New Roman" w:hAnsi="Times New Roman" w:cs="Times New Roman"/>
      <w:sz w:val="24"/>
      <w:szCs w:val="24"/>
    </w:rPr>
  </w:style>
  <w:style w:type="character" w:customStyle="1" w:styleId="af3">
    <w:name w:val="Нижний колонтитул Знак"/>
    <w:basedOn w:val="a0"/>
    <w:link w:val="af2"/>
    <w:uiPriority w:val="99"/>
    <w:semiHidden/>
    <w:locked/>
    <w:rsid w:val="006D48E2"/>
    <w:rPr>
      <w:rFonts w:eastAsia="MS Mincho" w:cs="Times New Roman"/>
      <w:sz w:val="24"/>
      <w:lang w:val="en-GB" w:eastAsia="en-US" w:bidi="ar-SA"/>
    </w:rPr>
  </w:style>
  <w:style w:type="paragraph" w:customStyle="1" w:styleId="Caaieiaieoaaeeoueaa">
    <w:name w:val="Caaieiaie oaaeeou eaa."/>
    <w:basedOn w:val="a"/>
    <w:uiPriority w:val="99"/>
    <w:rsid w:val="006D48E2"/>
    <w:pPr>
      <w:widowControl w:val="0"/>
      <w:spacing w:before="20" w:after="20"/>
    </w:pPr>
    <w:rPr>
      <w:rFonts w:eastAsia="MS Minch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98176">
      <w:marLeft w:val="0"/>
      <w:marRight w:val="0"/>
      <w:marTop w:val="0"/>
      <w:marBottom w:val="0"/>
      <w:divBdr>
        <w:top w:val="none" w:sz="0" w:space="0" w:color="auto"/>
        <w:left w:val="none" w:sz="0" w:space="0" w:color="auto"/>
        <w:bottom w:val="none" w:sz="0" w:space="0" w:color="auto"/>
        <w:right w:val="none" w:sz="0" w:space="0" w:color="auto"/>
      </w:divBdr>
    </w:div>
    <w:div w:id="628098177">
      <w:marLeft w:val="0"/>
      <w:marRight w:val="0"/>
      <w:marTop w:val="0"/>
      <w:marBottom w:val="0"/>
      <w:divBdr>
        <w:top w:val="none" w:sz="0" w:space="0" w:color="auto"/>
        <w:left w:val="none" w:sz="0" w:space="0" w:color="auto"/>
        <w:bottom w:val="none" w:sz="0" w:space="0" w:color="auto"/>
        <w:right w:val="none" w:sz="0" w:space="0" w:color="auto"/>
      </w:divBdr>
    </w:div>
    <w:div w:id="628098178">
      <w:marLeft w:val="0"/>
      <w:marRight w:val="0"/>
      <w:marTop w:val="0"/>
      <w:marBottom w:val="0"/>
      <w:divBdr>
        <w:top w:val="none" w:sz="0" w:space="0" w:color="auto"/>
        <w:left w:val="none" w:sz="0" w:space="0" w:color="auto"/>
        <w:bottom w:val="none" w:sz="0" w:space="0" w:color="auto"/>
        <w:right w:val="none" w:sz="0" w:space="0" w:color="auto"/>
      </w:divBdr>
    </w:div>
    <w:div w:id="628098179">
      <w:marLeft w:val="0"/>
      <w:marRight w:val="0"/>
      <w:marTop w:val="0"/>
      <w:marBottom w:val="0"/>
      <w:divBdr>
        <w:top w:val="none" w:sz="0" w:space="0" w:color="auto"/>
        <w:left w:val="none" w:sz="0" w:space="0" w:color="auto"/>
        <w:bottom w:val="none" w:sz="0" w:space="0" w:color="auto"/>
        <w:right w:val="none" w:sz="0" w:space="0" w:color="auto"/>
      </w:divBdr>
    </w:div>
    <w:div w:id="628098180">
      <w:marLeft w:val="0"/>
      <w:marRight w:val="0"/>
      <w:marTop w:val="0"/>
      <w:marBottom w:val="0"/>
      <w:divBdr>
        <w:top w:val="none" w:sz="0" w:space="0" w:color="auto"/>
        <w:left w:val="none" w:sz="0" w:space="0" w:color="auto"/>
        <w:bottom w:val="none" w:sz="0" w:space="0" w:color="auto"/>
        <w:right w:val="none" w:sz="0" w:space="0" w:color="auto"/>
      </w:divBdr>
    </w:div>
    <w:div w:id="628098181">
      <w:marLeft w:val="0"/>
      <w:marRight w:val="0"/>
      <w:marTop w:val="0"/>
      <w:marBottom w:val="0"/>
      <w:divBdr>
        <w:top w:val="none" w:sz="0" w:space="0" w:color="auto"/>
        <w:left w:val="none" w:sz="0" w:space="0" w:color="auto"/>
        <w:bottom w:val="none" w:sz="0" w:space="0" w:color="auto"/>
        <w:right w:val="none" w:sz="0" w:space="0" w:color="auto"/>
      </w:divBdr>
    </w:div>
    <w:div w:id="62809818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6887E-4EA5-44D2-9580-9A0A0D35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10</Pages>
  <Words>1798</Words>
  <Characters>10253</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ОТКРЫТОЕ АКЦИОНЕРНОЕ ОБЩЕСТВО</vt:lpstr>
      <vt:lpstr>ОТКРЫТОЕ АКЦИОНЕРНОЕ ОБЩЕСТВО</vt:lpstr>
    </vt:vector>
  </TitlesOfParts>
  <Company>Troika Dialog</Company>
  <LinksUpToDate>false</LinksUpToDate>
  <CharactersWithSpaces>12027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ОТКРЫТОЕ АКЦИОНЕРНОЕ ОБЩЕСТВО</dc:title>
  <dc:creator>user</dc:creator>
  <cp:lastModifiedBy>Трофимов Алексей Николаевич</cp:lastModifiedBy>
  <cp:revision>3</cp:revision>
  <cp:lastPrinted>2011-12-02T10:53:00Z</cp:lastPrinted>
  <dcterms:created xsi:type="dcterms:W3CDTF">2012-11-14T10:20:00Z</dcterms:created>
  <dcterms:modified xsi:type="dcterms:W3CDTF">2012-11-16T08:31:00Z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