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47612" w14:textId="37F1044A" w:rsidR="00EA39E3" w:rsidRPr="008B19C0" w:rsidRDefault="002322ED" w:rsidP="00EA39E3">
      <w:pPr>
        <w:pStyle w:val="Heading2"/>
        <w:jc w:val="center"/>
        <w:rPr>
          <w:color w:val="auto"/>
          <w:sz w:val="24"/>
          <w:szCs w:val="24"/>
        </w:rPr>
      </w:pPr>
      <w:bookmarkStart w:id="0" w:name="_Toc470105882"/>
      <w:proofErr w:type="spellStart"/>
      <w:r>
        <w:rPr>
          <w:color w:val="auto"/>
          <w:sz w:val="24"/>
          <w:szCs w:val="24"/>
          <w:lang w:val="en-US"/>
        </w:rPr>
        <w:t>wh</w:t>
      </w:r>
      <w:bookmarkStart w:id="1" w:name="_GoBack"/>
      <w:bookmarkEnd w:id="1"/>
      <w:proofErr w:type="spellEnd"/>
      <w:r w:rsidR="00EA39E3" w:rsidRPr="008D5876">
        <w:rPr>
          <w:color w:val="auto"/>
          <w:sz w:val="24"/>
          <w:szCs w:val="24"/>
        </w:rPr>
        <w:t>Профиль расчета CVA для продукта</w:t>
      </w:r>
      <w:bookmarkEnd w:id="0"/>
      <w:r w:rsidR="00EA39E3" w:rsidRPr="00A37160" w:rsidDel="008B19C0">
        <w:rPr>
          <w:color w:val="auto"/>
          <w:sz w:val="24"/>
          <w:szCs w:val="24"/>
        </w:rPr>
        <w:t xml:space="preserve"> </w:t>
      </w:r>
      <w:r w:rsidR="003A25ED">
        <w:rPr>
          <w:color w:val="auto"/>
          <w:sz w:val="24"/>
          <w:szCs w:val="24"/>
        </w:rPr>
        <w:t>«РЕПО»</w:t>
      </w:r>
    </w:p>
    <w:p w14:paraId="3E925F37" w14:textId="77777777" w:rsidR="00EA39E3" w:rsidRPr="00A37160" w:rsidRDefault="00EA39E3" w:rsidP="00EA39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EA39E3" w:rsidRPr="00A37160" w14:paraId="23B70E54" w14:textId="77777777" w:rsidTr="00AD64FB">
        <w:tc>
          <w:tcPr>
            <w:tcW w:w="9571" w:type="dxa"/>
            <w:shd w:val="clear" w:color="auto" w:fill="A6A6A6" w:themeFill="background1" w:themeFillShade="A6"/>
          </w:tcPr>
          <w:p w14:paraId="105B902F" w14:textId="77777777" w:rsidR="00EA39E3" w:rsidRPr="00A37160" w:rsidRDefault="00EA39E3" w:rsidP="000C3056">
            <w:pPr>
              <w:spacing w:before="60" w:after="60"/>
              <w:rPr>
                <w:b/>
              </w:rPr>
            </w:pPr>
            <w:r w:rsidRPr="00A37160">
              <w:rPr>
                <w:b/>
              </w:rPr>
              <w:t xml:space="preserve">Краткое описание </w:t>
            </w:r>
            <w:r>
              <w:rPr>
                <w:b/>
              </w:rPr>
              <w:t>продукта</w:t>
            </w:r>
          </w:p>
        </w:tc>
      </w:tr>
      <w:tr w:rsidR="00EA39E3" w:rsidRPr="00A37160" w14:paraId="57ACD4E8" w14:textId="77777777" w:rsidTr="00AD64FB">
        <w:tc>
          <w:tcPr>
            <w:tcW w:w="9571" w:type="dxa"/>
            <w:vAlign w:val="center"/>
          </w:tcPr>
          <w:p w14:paraId="40AD6948" w14:textId="77777777" w:rsidR="00EA39E3" w:rsidRPr="00A37160" w:rsidRDefault="00EA39E3" w:rsidP="000C3056">
            <w:pPr>
              <w:spacing w:before="120" w:after="120"/>
            </w:pPr>
            <w:r>
              <w:t>Сделки прямого и обратного РЕПО</w:t>
            </w:r>
          </w:p>
        </w:tc>
      </w:tr>
      <w:tr w:rsidR="00EA39E3" w:rsidRPr="00A37160" w14:paraId="2BDF64B5" w14:textId="77777777" w:rsidTr="00AD64FB">
        <w:tc>
          <w:tcPr>
            <w:tcW w:w="9571" w:type="dxa"/>
            <w:shd w:val="clear" w:color="auto" w:fill="A6A6A6" w:themeFill="background1" w:themeFillShade="A6"/>
            <w:vAlign w:val="center"/>
          </w:tcPr>
          <w:p w14:paraId="1C70BBC0" w14:textId="77777777" w:rsidR="00EA39E3" w:rsidRPr="00A37160" w:rsidRDefault="00EA39E3" w:rsidP="000C3056">
            <w:pPr>
              <w:spacing w:before="60" w:after="60"/>
            </w:pPr>
            <w:r w:rsidRPr="00A37160">
              <w:rPr>
                <w:b/>
              </w:rPr>
              <w:t xml:space="preserve">Описание </w:t>
            </w:r>
            <w:r>
              <w:rPr>
                <w:b/>
              </w:rPr>
              <w:t xml:space="preserve">расчета </w:t>
            </w:r>
            <w:r>
              <w:rPr>
                <w:b/>
                <w:lang w:val="en-US"/>
              </w:rPr>
              <w:t>EPE</w:t>
            </w:r>
            <w:r w:rsidRPr="00084359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ENE</w:t>
            </w:r>
            <w:r w:rsidRPr="00084359">
              <w:rPr>
                <w:b/>
              </w:rPr>
              <w:t xml:space="preserve">  </w:t>
            </w:r>
            <w:r>
              <w:rPr>
                <w:b/>
              </w:rPr>
              <w:t>для продукта</w:t>
            </w:r>
            <w:r w:rsidRPr="00A37160">
              <w:rPr>
                <w:b/>
              </w:rPr>
              <w:t xml:space="preserve"> </w:t>
            </w:r>
          </w:p>
        </w:tc>
      </w:tr>
      <w:tr w:rsidR="00EA39E3" w:rsidRPr="00A37160" w14:paraId="39B1271C" w14:textId="77777777" w:rsidTr="00AD64FB">
        <w:trPr>
          <w:trHeight w:val="1032"/>
        </w:trPr>
        <w:tc>
          <w:tcPr>
            <w:tcW w:w="9571" w:type="dxa"/>
            <w:vAlign w:val="center"/>
          </w:tcPr>
          <w:p w14:paraId="342730D2" w14:textId="2F1A024E" w:rsidR="00DF2336" w:rsidRDefault="00EE2451" w:rsidP="00DF2336">
            <w:pPr>
              <w:spacing w:before="120" w:after="120"/>
            </w:pPr>
            <w:r>
              <w:t xml:space="preserve">Для вычисления </w:t>
            </w:r>
            <w:r>
              <w:rPr>
                <w:lang w:val="en-US"/>
              </w:rPr>
              <w:t>EPE</w:t>
            </w:r>
            <w:r w:rsidRPr="00EE2451">
              <w:t xml:space="preserve">, </w:t>
            </w:r>
            <w:r>
              <w:rPr>
                <w:lang w:val="en-US"/>
              </w:rPr>
              <w:t>ENE</w:t>
            </w:r>
            <w:r w:rsidRPr="00EE2451">
              <w:t xml:space="preserve"> </w:t>
            </w:r>
            <w:r>
              <w:t>с</w:t>
            </w:r>
            <w:r w:rsidR="00DF2336">
              <w:t>тоимость сделки разбивается на две составляющие</w:t>
            </w:r>
            <w:r w:rsidR="00E86706" w:rsidRPr="0014494F">
              <w:t xml:space="preserve"> (</w:t>
            </w:r>
            <w:r w:rsidR="00DF2336">
              <w:t xml:space="preserve">в случае дефолта </w:t>
            </w:r>
            <w:r w:rsidR="00530275">
              <w:t xml:space="preserve">по сделке РЕПО </w:t>
            </w:r>
            <w:r w:rsidR="00DF2336">
              <w:t>Банк может взыскивать только номинал и накопленные проценты</w:t>
            </w:r>
            <w:r w:rsidR="00E86706" w:rsidRPr="0014494F">
              <w:t>)</w:t>
            </w:r>
            <w:r w:rsidR="00DF2336">
              <w:t>:</w:t>
            </w:r>
          </w:p>
          <w:p w14:paraId="5E88C38D" w14:textId="77777777" w:rsidR="00DF2336" w:rsidRDefault="00DF2336" w:rsidP="00DF2336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Номинал и накопленные проценты</w:t>
            </w:r>
          </w:p>
          <w:p w14:paraId="3FC2DB34" w14:textId="77777777" w:rsidR="00DF2336" w:rsidRDefault="001E1E37" w:rsidP="00DF2336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00DF23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1B85429" wp14:editId="178163DE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219710</wp:posOffset>
                      </wp:positionV>
                      <wp:extent cx="5467350" cy="813435"/>
                      <wp:effectExtent l="0" t="0" r="0" b="0"/>
                      <wp:wrapNone/>
                      <wp:docPr id="4" name="Text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67350" cy="8134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0506522" w14:textId="77777777" w:rsidR="00DF2336" w:rsidRPr="00DF2336" w:rsidRDefault="00DF2336" w:rsidP="00DF233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MV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=N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∙df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τ,T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+AI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∙df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τ,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+</m:t>
                                      </m:r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k=1;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brk m:alnAt="1"/>
                                            </m:rP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&gt;τ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K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FI(τ;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)∙df(τ;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B854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" o:spid="_x0000_s1026" type="#_x0000_t202" style="position:absolute;left:0;text-align:left;margin-left:7.55pt;margin-top:17.3pt;width:430.5pt;height:64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" filled="f" stroked="f">
                      <v:textbox style="mso-fit-shape-to-text:t">
                        <w:txbxContent>
                          <w:p w14:paraId="30506522" w14:textId="77777777" w:rsidR="00DF2336" w:rsidRPr="00DF2336" w:rsidRDefault="00DF2336" w:rsidP="00DF23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MV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=N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∙df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τ,T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+AI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∙df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τ,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k=1;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brk m:alnAt="1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&gt;τ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FI(τ;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)∙df(τ;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336">
              <w:t>Будущие проценты</w:t>
            </w:r>
          </w:p>
          <w:p w14:paraId="316031B5" w14:textId="77777777" w:rsidR="00DF2336" w:rsidRDefault="00DF2336" w:rsidP="00DF2336">
            <w:pPr>
              <w:spacing w:before="120" w:after="120"/>
            </w:pPr>
          </w:p>
          <w:p w14:paraId="525FC219" w14:textId="77777777" w:rsidR="00DF2336" w:rsidRDefault="00DF2336" w:rsidP="000C3056">
            <w:pPr>
              <w:spacing w:before="120" w:after="120"/>
            </w:pPr>
          </w:p>
          <w:p w14:paraId="3EA60EA7" w14:textId="77777777" w:rsidR="00DF2336" w:rsidRDefault="00DF2336" w:rsidP="000C3056">
            <w:pPr>
              <w:spacing w:before="120" w:after="120"/>
            </w:pPr>
            <w:r w:rsidRPr="00DF23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9E0ED41" wp14:editId="24FAAA89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64135</wp:posOffset>
                      </wp:positionV>
                      <wp:extent cx="6159500" cy="533400"/>
                      <wp:effectExtent l="0" t="0" r="0" b="0"/>
                      <wp:wrapNone/>
                      <wp:docPr id="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9500" cy="533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1618EA" w14:textId="77777777" w:rsidR="00DF2336" w:rsidRPr="00DF2336" w:rsidRDefault="00DF2336" w:rsidP="00DF233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MV@default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col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,N+AI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τ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+RR∙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N+AI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τ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min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col</m:t>
                                              </m:r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,N+AI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lang w:val="en-US"/>
                                                    </w:rPr>
                                                    <m:t>τ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  <w:p w14:paraId="13C6AE04" w14:textId="77777777" w:rsidR="00DF2336" w:rsidRPr="00DF2336" w:rsidRDefault="00DF2336" w:rsidP="00DF233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RR∙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N+AI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τ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(1-RR)∙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min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col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,N+AI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τ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0ED41" id="Rectangle 1" o:spid="_x0000_s1027" style="position:absolute;margin-left:3.05pt;margin-top:5.05pt;width:48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" filled="f" stroked="f">
                      <v:textbox>
                        <w:txbxContent>
                          <w:p w14:paraId="3D1618EA" w14:textId="77777777" w:rsidR="00DF2336" w:rsidRPr="00DF2336" w:rsidRDefault="00DF2336" w:rsidP="00DF23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MV@default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=min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col</m:t>
                                    </m:r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,N+AI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+RR∙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N+AI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min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col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,N+AI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lang w:val="en-US"/>
                                              </w:rPr>
                                              <m:t>τ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13C6AE04" w14:textId="77777777" w:rsidR="00DF2336" w:rsidRPr="00DF2336" w:rsidRDefault="00DF2336" w:rsidP="00DF23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RR∙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N+AI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(1-RR)∙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col</m:t>
                                    </m:r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,N+AI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8CE0C8" w14:textId="77777777" w:rsidR="00DF2336" w:rsidRDefault="00DF2336" w:rsidP="000C3056">
            <w:pPr>
              <w:spacing w:before="120" w:after="120"/>
            </w:pPr>
          </w:p>
          <w:p w14:paraId="4E981067" w14:textId="77777777" w:rsidR="0040258C" w:rsidRDefault="0040258C" w:rsidP="000C3056">
            <w:pPr>
              <w:spacing w:before="120" w:after="120"/>
            </w:pPr>
            <w:r w:rsidRPr="004025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6D0E08" wp14:editId="55C00E97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34290</wp:posOffset>
                      </wp:positionV>
                      <wp:extent cx="4945380" cy="511175"/>
                      <wp:effectExtent l="0" t="0" r="0" b="0"/>
                      <wp:wrapNone/>
                      <wp:docPr id="14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5380" cy="5111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E73FF6" w14:textId="77777777" w:rsidR="0040258C" w:rsidRPr="0040258C" w:rsidRDefault="0040258C" w:rsidP="0040258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col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=min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lang w:val="en-US"/>
                                                    </w:rPr>
                                                    <m:t>N+AI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theme="minorBidi"/>
                                                          <w:color w:val="000000" w:themeColor="text1"/>
                                                          <w:kern w:val="24"/>
                                                          <w:lang w:val="en-US"/>
                                                        </w:rPr>
                                                        <m:t>τ</m:t>
                                                      </m:r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lang w:val="en-US"/>
                                                    </w:rPr>
                                                    <m:t>-ad_col(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theme="minorBidi"/>
                                                          <w:color w:val="000000" w:themeColor="text1"/>
                                                          <w:kern w:val="24"/>
                                                          <w:lang w:val="en-US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theme="minorBidi"/>
                                                          <w:color w:val="000000" w:themeColor="text1"/>
                                                          <w:kern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lang w:val="en-US"/>
                                                    </w:rPr>
                                                    <m:t>)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LTV MC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;col(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∙(1-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h)+ad_col(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D0E08" id="Rectangle 13" o:spid="_x0000_s1028" style="position:absolute;margin-left:69.1pt;margin-top:2.7pt;width:389.4pt;height: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" filled="f" stroked="f">
                      <v:textbox>
                        <w:txbxContent>
                          <w:p w14:paraId="6EE73FF6" w14:textId="77777777" w:rsidR="0040258C" w:rsidRPr="0040258C" w:rsidRDefault="0040258C" w:rsidP="0040258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col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=min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lang w:val="en-US"/>
                                              </w:rPr>
                                              <m:t>N+AI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lang w:val="en-US"/>
                                                  </w:rPr>
                                                  <m:t>τ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lang w:val="en-US"/>
                                              </w:rPr>
                                              <m:t>-ad_col(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lang w:val="en-US"/>
                                              </w:rPr>
                                              <m:t>)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LTV MC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;col(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∙(1-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h)+ad_col(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BA1EA7" w14:textId="77777777" w:rsidR="00E81079" w:rsidRDefault="00E81079" w:rsidP="000C3056">
            <w:pPr>
              <w:spacing w:before="120" w:after="120"/>
              <w:rPr>
                <w:lang w:val="en-US"/>
              </w:rPr>
            </w:pPr>
          </w:p>
          <w:p w14:paraId="1136C157" w14:textId="77777777" w:rsidR="001E1E37" w:rsidRDefault="001E1E37" w:rsidP="000C3056">
            <w:pPr>
              <w:spacing w:before="120" w:after="120"/>
            </w:pPr>
          </w:p>
          <w:p w14:paraId="7CA3E3D2" w14:textId="77777777" w:rsidR="00DF2336" w:rsidRDefault="001E1E37" w:rsidP="000C3056">
            <w:pPr>
              <w:spacing w:before="120" w:after="120"/>
            </w:pPr>
            <w:r>
              <w:t>г</w:t>
            </w:r>
            <w:r w:rsidR="00530275">
              <w:t>де</w:t>
            </w:r>
          </w:p>
          <w:p w14:paraId="3667D87D" w14:textId="77777777" w:rsidR="00530275" w:rsidRPr="00530275" w:rsidRDefault="00530275" w:rsidP="001E1E37">
            <w:pPr>
              <w:spacing w:before="120" w:after="120"/>
              <w:jc w:val="both"/>
            </w:pPr>
            <m:oMath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</m:oMath>
            <w:r>
              <w:rPr>
                <w:iCs/>
                <w:color w:val="000000" w:themeColor="text1"/>
                <w:kern w:val="24"/>
              </w:rPr>
              <w:t xml:space="preserve"> – стоимость сделки в момент </w:t>
            </w: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</m:oMath>
          </w:p>
          <w:p w14:paraId="48E90E26" w14:textId="77777777" w:rsidR="00DF2336" w:rsidRPr="00530275" w:rsidRDefault="00530275" w:rsidP="001E1E37">
            <w:pPr>
              <w:spacing w:before="120" w:after="120"/>
              <w:jc w:val="both"/>
            </w:pPr>
            <m:oMath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MV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@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default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</m:oMath>
            <w:r>
              <w:rPr>
                <w:iCs/>
                <w:color w:val="000000" w:themeColor="text1"/>
                <w:kern w:val="24"/>
              </w:rPr>
              <w:t xml:space="preserve"> – рыночная стоимость сделки в случае дефолта в момент </w:t>
            </w: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</m:oMath>
          </w:p>
          <w:p w14:paraId="2FD0A05F" w14:textId="77777777" w:rsidR="00DF2336" w:rsidRDefault="00530275" w:rsidP="001E1E37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m:oMath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N</m:t>
              </m:r>
            </m:oMath>
            <w:r>
              <w:rPr>
                <w:iCs/>
                <w:color w:val="000000" w:themeColor="text1"/>
                <w:kern w:val="24"/>
              </w:rPr>
              <w:t xml:space="preserve"> – номинал</w:t>
            </w:r>
          </w:p>
          <w:p w14:paraId="71A52ACF" w14:textId="77777777" w:rsidR="00EA39E3" w:rsidRDefault="00530275" w:rsidP="001E1E37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AI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</m:oMath>
            <w:r>
              <w:rPr>
                <w:iCs/>
                <w:color w:val="000000" w:themeColor="text1"/>
                <w:kern w:val="24"/>
              </w:rPr>
              <w:t xml:space="preserve"> – накопленные проценты в момент </w:t>
            </w: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</m:oMath>
          </w:p>
          <w:p w14:paraId="68684048" w14:textId="77777777" w:rsidR="00530275" w:rsidRDefault="00530275" w:rsidP="001E1E37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FI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</w:rPr>
                <m:t>(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</w:rPr>
                <m:t>;</m:t>
              </m:r>
              <m:sSub>
                <m:sSub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</w:rPr>
                <m:t>)</m:t>
              </m:r>
            </m:oMath>
            <w:r>
              <w:rPr>
                <w:iCs/>
                <w:color w:val="000000" w:themeColor="text1"/>
                <w:kern w:val="24"/>
              </w:rPr>
              <w:t xml:space="preserve"> – будущие проценты с датой выплаты в </w:t>
            </w:r>
            <m:oMath>
              <m:sSub>
                <m:sSub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k</m:t>
                  </m:r>
                </m:sub>
              </m:sSub>
            </m:oMath>
          </w:p>
          <w:p w14:paraId="0276F861" w14:textId="5AE4A58E" w:rsidR="00B0606D" w:rsidRDefault="00B0606D" w:rsidP="001E1E37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RR</m:t>
              </m:r>
            </m:oMath>
            <w:r>
              <w:rPr>
                <w:iCs/>
                <w:color w:val="000000" w:themeColor="text1"/>
                <w:kern w:val="24"/>
              </w:rPr>
              <w:t xml:space="preserve"> – </w:t>
            </w:r>
            <w:r w:rsidR="0086697C">
              <w:rPr>
                <w:iCs/>
                <w:color w:val="000000" w:themeColor="text1"/>
                <w:kern w:val="24"/>
              </w:rPr>
              <w:t>величина</w:t>
            </w:r>
            <w:r>
              <w:rPr>
                <w:iCs/>
                <w:color w:val="000000" w:themeColor="text1"/>
                <w:kern w:val="24"/>
              </w:rPr>
              <w:t xml:space="preserve"> возмещения</w:t>
            </w:r>
          </w:p>
          <w:p w14:paraId="29235C22" w14:textId="77777777" w:rsidR="00530275" w:rsidRDefault="00530275" w:rsidP="001E1E37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m:oMath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col</m:t>
              </m:r>
            </m:oMath>
            <w:r>
              <w:rPr>
                <w:iCs/>
                <w:color w:val="000000" w:themeColor="text1"/>
                <w:kern w:val="24"/>
              </w:rPr>
              <w:t xml:space="preserve"> – стоимость обеспечения</w:t>
            </w:r>
          </w:p>
          <w:p w14:paraId="4C92555A" w14:textId="4CBBB6EF" w:rsidR="00EE2451" w:rsidRPr="00E81079" w:rsidRDefault="00EE2451" w:rsidP="001E1E37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</w:rPr>
                <m:t>h</m:t>
              </m:r>
            </m:oMath>
            <w:r>
              <w:rPr>
                <w:iCs/>
                <w:color w:val="000000" w:themeColor="text1"/>
                <w:kern w:val="24"/>
              </w:rPr>
              <w:t xml:space="preserve"> - коэффициент, снижающий стоимость обеспечения, учитывает ликвидность и </w:t>
            </w:r>
            <w:r w:rsidR="00B0606D">
              <w:rPr>
                <w:iCs/>
                <w:color w:val="000000" w:themeColor="text1"/>
                <w:kern w:val="24"/>
              </w:rPr>
              <w:t>возможное снижение стоимости обеспечения в виде ценных бумаг</w:t>
            </w:r>
            <w:r w:rsidR="00276445">
              <w:rPr>
                <w:iCs/>
                <w:color w:val="000000" w:themeColor="text1"/>
                <w:kern w:val="24"/>
              </w:rPr>
              <w:t>. Коэффициент полагается равным Коэффициенту Кредитного Риска (ККР)</w:t>
            </w:r>
            <w:r w:rsidR="00B66060">
              <w:rPr>
                <w:rStyle w:val="FootnoteReference"/>
                <w:iCs/>
                <w:color w:val="000000" w:themeColor="text1"/>
                <w:kern w:val="24"/>
              </w:rPr>
              <w:footnoteReference w:id="1"/>
            </w:r>
            <w:r w:rsidR="00276445">
              <w:rPr>
                <w:iCs/>
                <w:color w:val="000000" w:themeColor="text1"/>
                <w:kern w:val="24"/>
              </w:rPr>
              <w:t>.</w:t>
            </w:r>
          </w:p>
          <w:p w14:paraId="24E135BD" w14:textId="77777777" w:rsidR="0069613A" w:rsidRPr="0069613A" w:rsidRDefault="0069613A" w:rsidP="001E1E37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LTV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</w:rPr>
                <m:t xml:space="preserve"> 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MC</m:t>
              </m:r>
            </m:oMath>
            <w:r w:rsidRPr="0069613A">
              <w:rPr>
                <w:iCs/>
                <w:color w:val="000000" w:themeColor="text1"/>
                <w:kern w:val="24"/>
              </w:rPr>
              <w:t xml:space="preserve"> – </w:t>
            </w:r>
            <w:r>
              <w:rPr>
                <w:iCs/>
                <w:color w:val="000000" w:themeColor="text1"/>
                <w:kern w:val="24"/>
              </w:rPr>
              <w:t xml:space="preserve">уровень </w:t>
            </w:r>
            <w:r>
              <w:rPr>
                <w:iCs/>
                <w:color w:val="000000" w:themeColor="text1"/>
                <w:kern w:val="24"/>
                <w:lang w:val="en-US"/>
              </w:rPr>
              <w:t>LTV</w:t>
            </w:r>
            <w:r>
              <w:rPr>
                <w:iCs/>
                <w:color w:val="000000" w:themeColor="text1"/>
                <w:kern w:val="24"/>
              </w:rPr>
              <w:t xml:space="preserve">, при котором происходит </w:t>
            </w:r>
            <w:r>
              <w:rPr>
                <w:iCs/>
                <w:color w:val="000000" w:themeColor="text1"/>
                <w:kern w:val="24"/>
                <w:lang w:val="en-US"/>
              </w:rPr>
              <w:t>margin</w:t>
            </w:r>
            <w:r w:rsidRPr="0069613A">
              <w:rPr>
                <w:iCs/>
                <w:color w:val="000000" w:themeColor="text1"/>
                <w:kern w:val="24"/>
              </w:rPr>
              <w:t xml:space="preserve"> </w:t>
            </w:r>
            <w:r>
              <w:rPr>
                <w:iCs/>
                <w:color w:val="000000" w:themeColor="text1"/>
                <w:kern w:val="24"/>
                <w:lang w:val="en-US"/>
              </w:rPr>
              <w:t>call</w:t>
            </w:r>
          </w:p>
          <w:p w14:paraId="6ED7578B" w14:textId="6487FE21" w:rsidR="00E70FC9" w:rsidRPr="00B66060" w:rsidRDefault="00B0606D" w:rsidP="001E1E37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ad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</w:rPr>
                <m:t>_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col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</w:rPr>
                <m:t>(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</w:rPr>
                <m:t>)</m:t>
              </m:r>
            </m:oMath>
            <w:r>
              <w:rPr>
                <w:i/>
                <w:iCs/>
                <w:color w:val="000000" w:themeColor="text1"/>
                <w:kern w:val="24"/>
              </w:rPr>
              <w:t xml:space="preserve"> – </w:t>
            </w:r>
            <w:r>
              <w:rPr>
                <w:iCs/>
                <w:color w:val="000000" w:themeColor="text1"/>
                <w:kern w:val="24"/>
              </w:rPr>
              <w:t xml:space="preserve">дополнительное обеспечение в виде денежных средств, занесенных на дату оценки </w:t>
            </w: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</m:oMath>
          </w:p>
          <w:p w14:paraId="7509435F" w14:textId="77777777" w:rsidR="005541EE" w:rsidRPr="0014494F" w:rsidRDefault="005541EE" w:rsidP="001E1E37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</w:p>
          <w:p w14:paraId="56465F10" w14:textId="77777777" w:rsidR="00AD64FB" w:rsidRDefault="00AD64FB" w:rsidP="001E1E37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w:r>
              <w:rPr>
                <w:iCs/>
                <w:color w:val="000000" w:themeColor="text1"/>
                <w:kern w:val="24"/>
              </w:rPr>
              <w:t>Тогда,</w:t>
            </w:r>
          </w:p>
          <w:p w14:paraId="64B9D47C" w14:textId="77777777" w:rsidR="00E70FC9" w:rsidRPr="001E1E37" w:rsidRDefault="009E4163" w:rsidP="001E1E37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w:r>
              <w:rPr>
                <w:iCs/>
                <w:color w:val="000000" w:themeColor="text1"/>
                <w:kern w:val="24"/>
              </w:rPr>
              <w:t>Для прямого РЕПО</w:t>
            </w:r>
            <w:r>
              <w:rPr>
                <w:iCs/>
                <w:color w:val="000000" w:themeColor="text1"/>
                <w:kern w:val="24"/>
                <w:lang w:val="en-US"/>
              </w:rPr>
              <w:t>:</w:t>
            </w:r>
          </w:p>
          <w:p w14:paraId="4819738F" w14:textId="77777777" w:rsidR="00AD64FB" w:rsidRPr="00E70FC9" w:rsidRDefault="00AD64FB" w:rsidP="001E1E37">
            <w:pPr>
              <w:pStyle w:val="ListParagraph"/>
              <w:spacing w:before="120" w:after="120"/>
              <w:ind w:left="0"/>
              <w:jc w:val="both"/>
              <w:rPr>
                <w:iCs/>
                <w:color w:val="000000" w:themeColor="text1"/>
                <w:kern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EPE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  <w:p w14:paraId="13731EFA" w14:textId="301A1E8A" w:rsidR="009E4163" w:rsidRDefault="00AD64FB" w:rsidP="001E1E37">
            <w:pPr>
              <w:autoSpaceDE w:val="0"/>
              <w:autoSpaceDN w:val="0"/>
              <w:spacing w:before="120" w:after="120"/>
              <w:jc w:val="both"/>
            </w:pPr>
            <m:oMath>
              <m:r>
                <w:rPr>
                  <w:rFonts w:ascii="Cambria Math" w:hAnsi="Cambria Math"/>
                  <w:lang w:val="en-US"/>
                </w:rPr>
                <w:lastRenderedPageBreak/>
                <m:t>ENE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n-US"/>
                        </w:rPr>
                        <m:t>MV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</w:rPr>
                        <m:t>-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n-US"/>
                        </w:rPr>
                        <m:t>MV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@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n-US"/>
                        </w:rPr>
                        <m:t>default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  <m:r>
                <w:rPr>
                  <w:rStyle w:val="FootnoteReference"/>
                  <w:rFonts w:ascii="Cambria Math" w:hAnsi="Cambria Math"/>
                  <w:i/>
                </w:rPr>
                <w:footnoteReference w:id="2"/>
              </m:r>
            </m:oMath>
            <w:r>
              <w:t xml:space="preserve"> – отрицательная ожидаемая по</w:t>
            </w:r>
            <w:r w:rsidRPr="00A37160">
              <w:t>дверженность риску</w:t>
            </w:r>
            <w:r w:rsidR="00E70FC9">
              <w:t xml:space="preserve"> в момент </w:t>
            </w: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</m:oMath>
            <w:r w:rsidRPr="00A37160"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 w:rsidR="009E4163">
              <w:t xml:space="preserve">где в качестве </w:t>
            </w:r>
            <m:oMath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RR</m:t>
              </m:r>
            </m:oMath>
            <w:r w:rsidR="009E4163">
              <w:rPr>
                <w:i/>
              </w:rPr>
              <w:t xml:space="preserve"> </w:t>
            </w:r>
            <w:r w:rsidR="009E4163" w:rsidRPr="009E4163">
              <w:t>используется</w:t>
            </w:r>
            <w:r w:rsidR="009E4163">
              <w:rPr>
                <w:i/>
              </w:rPr>
              <w:t xml:space="preserve"> </w:t>
            </w:r>
            <w:r w:rsidR="009E4163" w:rsidRPr="00A37160">
              <w:t xml:space="preserve">величина возмещения recovery </w:t>
            </w:r>
            <w:r w:rsidR="009E4163" w:rsidRPr="00A37160">
              <w:rPr>
                <w:lang w:val="en-US"/>
              </w:rPr>
              <w:t>rate</w:t>
            </w:r>
            <w:r w:rsidR="009E4163" w:rsidRPr="00A37160">
              <w:t xml:space="preserve"> </w:t>
            </w:r>
            <w:r w:rsidR="009E4163">
              <w:t>Банка</w:t>
            </w:r>
            <w:r w:rsidR="005541EE">
              <w:t xml:space="preserve">, и </w:t>
            </w:r>
            <m:oMath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MV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 xml:space="preserve">, 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MV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@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default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</m:oMath>
            <w:r w:rsidR="005541EE" w:rsidRPr="00A37160">
              <w:t xml:space="preserve">– </w:t>
            </w:r>
            <w:r w:rsidR="005541EE">
              <w:t xml:space="preserve">это стоимости </w:t>
            </w:r>
            <w:r w:rsidR="001052C4">
              <w:t xml:space="preserve">сделки </w:t>
            </w:r>
            <w:r w:rsidR="005541EE">
              <w:t>со стороны контрагента</w:t>
            </w:r>
          </w:p>
          <w:p w14:paraId="4278111F" w14:textId="77777777" w:rsidR="009E4163" w:rsidRPr="009E4163" w:rsidRDefault="009E4163" w:rsidP="001E1E3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 w:after="120"/>
              <w:jc w:val="both"/>
            </w:pPr>
            <w:r>
              <w:t>Для обратного РЕПО</w:t>
            </w:r>
            <w:r>
              <w:rPr>
                <w:lang w:val="en-US"/>
              </w:rPr>
              <w:t>:</w:t>
            </w:r>
          </w:p>
          <w:p w14:paraId="1335A3DD" w14:textId="1FEA17D1" w:rsidR="009E4163" w:rsidRPr="00A37160" w:rsidRDefault="009E4163" w:rsidP="001E1E37">
            <w:pPr>
              <w:autoSpaceDE w:val="0"/>
              <w:autoSpaceDN w:val="0"/>
              <w:spacing w:before="120" w:after="120"/>
              <w:jc w:val="both"/>
            </w:pPr>
            <m:oMath>
              <m:r>
                <w:rPr>
                  <w:rFonts w:ascii="Cambria Math" w:hAnsi="Cambria Math"/>
                  <w:lang w:val="en-US"/>
                </w:rPr>
                <m:t>EPE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n-US"/>
                        </w:rPr>
                        <m:t>MV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</w:rPr>
                        <m:t>-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n-US"/>
                        </w:rPr>
                        <m:t>MV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@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n-US"/>
                        </w:rPr>
                        <m:t>default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Pr="00A37160">
              <w:t xml:space="preserve"> – положительная ожидаемая подверженность </w:t>
            </w:r>
            <w:r>
              <w:t>р</w:t>
            </w:r>
            <w:r w:rsidRPr="00A37160">
              <w:t>иску</w:t>
            </w:r>
            <w:r w:rsidR="00E70FC9">
              <w:t xml:space="preserve"> в момент </w:t>
            </w: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</m:oMath>
            <w:r w:rsidRPr="00A37160">
              <w:t>,</w:t>
            </w:r>
            <w:r>
              <w:t xml:space="preserve"> где в качестве </w:t>
            </w:r>
            <m:oMath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RR</m:t>
              </m:r>
            </m:oMath>
            <w:r>
              <w:rPr>
                <w:i/>
              </w:rPr>
              <w:t xml:space="preserve"> </w:t>
            </w:r>
            <w:r w:rsidRPr="009E4163">
              <w:t>используется</w:t>
            </w:r>
            <w:r>
              <w:rPr>
                <w:i/>
              </w:rPr>
              <w:t xml:space="preserve"> </w:t>
            </w:r>
            <w:r w:rsidRPr="00A37160">
              <w:t xml:space="preserve">величина возмещения recovery </w:t>
            </w:r>
            <w:r w:rsidRPr="00A37160">
              <w:rPr>
                <w:lang w:val="en-US"/>
              </w:rPr>
              <w:t>rate</w:t>
            </w:r>
            <w:r w:rsidR="005541EE">
              <w:t xml:space="preserve"> контрагента, и </w:t>
            </w:r>
            <m:oMath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MV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 xml:space="preserve">, 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MV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@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default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</m:oMath>
            <w:r w:rsidR="005541EE" w:rsidRPr="00A37160">
              <w:t xml:space="preserve">– </w:t>
            </w:r>
            <w:r w:rsidR="005541EE">
              <w:t xml:space="preserve">это стоимости </w:t>
            </w:r>
            <w:r w:rsidR="001052C4">
              <w:t xml:space="preserve">сделки </w:t>
            </w:r>
            <w:r w:rsidR="005541EE">
              <w:t>со стороны Банка</w:t>
            </w:r>
          </w:p>
          <w:p w14:paraId="0BDC0159" w14:textId="440E917B" w:rsidR="009E4163" w:rsidRPr="005541EE" w:rsidRDefault="009E4163" w:rsidP="001E1E37">
            <w:pPr>
              <w:autoSpaceDE w:val="0"/>
              <w:autoSpaceDN w:val="0"/>
              <w:spacing w:before="120" w:after="120"/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ENE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  <w:p w14:paraId="7DF001A8" w14:textId="77777777" w:rsidR="005541EE" w:rsidRPr="001E1E37" w:rsidRDefault="005541EE" w:rsidP="001E1E37">
            <w:pPr>
              <w:autoSpaceDE w:val="0"/>
              <w:autoSpaceDN w:val="0"/>
              <w:spacing w:before="120" w:after="120"/>
              <w:jc w:val="both"/>
            </w:pPr>
          </w:p>
          <w:p w14:paraId="122C5F51" w14:textId="77777777" w:rsidR="00F140B5" w:rsidRDefault="001E1E37" w:rsidP="001E1E37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w:r>
              <w:rPr>
                <w:iCs/>
                <w:color w:val="000000" w:themeColor="text1"/>
                <w:kern w:val="24"/>
              </w:rPr>
              <w:t>Таким образом для</w:t>
            </w:r>
            <w:r w:rsidR="00F140B5">
              <w:rPr>
                <w:iCs/>
                <w:color w:val="000000" w:themeColor="text1"/>
                <w:kern w:val="24"/>
              </w:rPr>
              <w:t xml:space="preserve"> РЕПО </w:t>
            </w:r>
            <w:r w:rsidR="00E70FC9">
              <w:rPr>
                <w:iCs/>
                <w:color w:val="000000" w:themeColor="text1"/>
                <w:kern w:val="24"/>
              </w:rPr>
              <w:t xml:space="preserve">сделок </w:t>
            </w:r>
            <w:r w:rsidR="00F140B5">
              <w:rPr>
                <w:iCs/>
                <w:color w:val="000000" w:themeColor="text1"/>
                <w:kern w:val="24"/>
              </w:rPr>
              <w:t>показатели</w:t>
            </w:r>
            <w:r w:rsidR="00276445">
              <w:rPr>
                <w:iCs/>
                <w:color w:val="000000" w:themeColor="text1"/>
                <w:kern w:val="24"/>
              </w:rPr>
              <w:t xml:space="preserve"> </w:t>
            </w:r>
            <w:r w:rsidR="00F140B5">
              <w:rPr>
                <w:iCs/>
                <w:color w:val="000000" w:themeColor="text1"/>
                <w:kern w:val="24"/>
                <w:lang w:val="en-US"/>
              </w:rPr>
              <w:t>Expected</w:t>
            </w:r>
            <w:r w:rsidR="00F140B5" w:rsidRPr="00F140B5">
              <w:rPr>
                <w:iCs/>
                <w:color w:val="000000" w:themeColor="text1"/>
                <w:kern w:val="24"/>
              </w:rPr>
              <w:t xml:space="preserve"> </w:t>
            </w:r>
            <w:r w:rsidR="00F140B5">
              <w:rPr>
                <w:iCs/>
                <w:color w:val="000000" w:themeColor="text1"/>
                <w:kern w:val="24"/>
                <w:lang w:val="en-US"/>
              </w:rPr>
              <w:t>Positive</w:t>
            </w:r>
            <w:r w:rsidR="00F140B5" w:rsidRPr="00F140B5">
              <w:rPr>
                <w:iCs/>
                <w:color w:val="000000" w:themeColor="text1"/>
                <w:kern w:val="24"/>
              </w:rPr>
              <w:t xml:space="preserve"> </w:t>
            </w:r>
            <w:r w:rsidR="00F140B5">
              <w:rPr>
                <w:iCs/>
                <w:color w:val="000000" w:themeColor="text1"/>
                <w:kern w:val="24"/>
                <w:lang w:val="en-US"/>
              </w:rPr>
              <w:t>Exposure</w:t>
            </w:r>
            <w:r w:rsidR="00F140B5" w:rsidRPr="00F140B5">
              <w:rPr>
                <w:iCs/>
                <w:color w:val="000000" w:themeColor="text1"/>
                <w:kern w:val="24"/>
              </w:rPr>
              <w:t xml:space="preserve"> (</w:t>
            </w:r>
            <w:r w:rsidR="00276445">
              <w:rPr>
                <w:iCs/>
                <w:color w:val="000000" w:themeColor="text1"/>
                <w:kern w:val="24"/>
                <w:lang w:val="en-US"/>
              </w:rPr>
              <w:t>EPE</w:t>
            </w:r>
            <w:r w:rsidR="00F140B5" w:rsidRPr="00F140B5">
              <w:rPr>
                <w:iCs/>
                <w:color w:val="000000" w:themeColor="text1"/>
                <w:kern w:val="24"/>
              </w:rPr>
              <w:t xml:space="preserve">) </w:t>
            </w:r>
            <w:r w:rsidR="00F140B5">
              <w:rPr>
                <w:iCs/>
                <w:color w:val="000000" w:themeColor="text1"/>
                <w:kern w:val="24"/>
              </w:rPr>
              <w:t xml:space="preserve">и </w:t>
            </w:r>
            <w:r w:rsidR="00F140B5">
              <w:rPr>
                <w:iCs/>
                <w:color w:val="000000" w:themeColor="text1"/>
                <w:kern w:val="24"/>
                <w:lang w:val="en-US"/>
              </w:rPr>
              <w:t>Expected</w:t>
            </w:r>
            <w:r w:rsidR="00F140B5" w:rsidRPr="00F140B5">
              <w:rPr>
                <w:iCs/>
                <w:color w:val="000000" w:themeColor="text1"/>
                <w:kern w:val="24"/>
              </w:rPr>
              <w:t xml:space="preserve"> </w:t>
            </w:r>
            <w:r w:rsidR="00F140B5">
              <w:rPr>
                <w:iCs/>
                <w:color w:val="000000" w:themeColor="text1"/>
                <w:kern w:val="24"/>
                <w:lang w:val="en-US"/>
              </w:rPr>
              <w:t>Negative</w:t>
            </w:r>
            <w:r w:rsidR="00F140B5" w:rsidRPr="00F140B5">
              <w:rPr>
                <w:iCs/>
                <w:color w:val="000000" w:themeColor="text1"/>
                <w:kern w:val="24"/>
              </w:rPr>
              <w:t xml:space="preserve"> </w:t>
            </w:r>
            <w:r w:rsidR="00F140B5">
              <w:rPr>
                <w:iCs/>
                <w:color w:val="000000" w:themeColor="text1"/>
                <w:kern w:val="24"/>
                <w:lang w:val="en-US"/>
              </w:rPr>
              <w:t>Exposure</w:t>
            </w:r>
            <w:r w:rsidR="00276445">
              <w:rPr>
                <w:iCs/>
                <w:color w:val="000000" w:themeColor="text1"/>
                <w:kern w:val="24"/>
              </w:rPr>
              <w:t xml:space="preserve"> </w:t>
            </w:r>
            <w:r w:rsidR="00F140B5" w:rsidRPr="00F140B5">
              <w:rPr>
                <w:iCs/>
                <w:color w:val="000000" w:themeColor="text1"/>
                <w:kern w:val="24"/>
              </w:rPr>
              <w:t>(</w:t>
            </w:r>
            <w:r w:rsidR="00276445">
              <w:rPr>
                <w:iCs/>
                <w:color w:val="000000" w:themeColor="text1"/>
                <w:kern w:val="24"/>
                <w:lang w:val="en-US"/>
              </w:rPr>
              <w:t>ENE</w:t>
            </w:r>
            <w:r w:rsidR="00F140B5" w:rsidRPr="00F140B5">
              <w:rPr>
                <w:iCs/>
                <w:color w:val="000000" w:themeColor="text1"/>
                <w:kern w:val="24"/>
              </w:rPr>
              <w:t>)</w:t>
            </w:r>
            <w:r w:rsidR="00F140B5">
              <w:rPr>
                <w:iCs/>
                <w:color w:val="000000" w:themeColor="text1"/>
                <w:kern w:val="24"/>
              </w:rPr>
              <w:t xml:space="preserve"> уже</w:t>
            </w:r>
            <w:r w:rsidR="00276445" w:rsidRPr="00276445">
              <w:rPr>
                <w:iCs/>
                <w:color w:val="000000" w:themeColor="text1"/>
                <w:kern w:val="24"/>
              </w:rPr>
              <w:t xml:space="preserve"> </w:t>
            </w:r>
            <w:r w:rsidR="00276445">
              <w:rPr>
                <w:iCs/>
                <w:color w:val="000000" w:themeColor="text1"/>
                <w:kern w:val="24"/>
              </w:rPr>
              <w:t xml:space="preserve">учитывают </w:t>
            </w:r>
            <w:r w:rsidR="00276445">
              <w:rPr>
                <w:iCs/>
                <w:color w:val="000000" w:themeColor="text1"/>
                <w:kern w:val="24"/>
                <w:lang w:val="en-US"/>
              </w:rPr>
              <w:t>RR</w:t>
            </w:r>
            <w:r w:rsidR="00F140B5">
              <w:rPr>
                <w:iCs/>
                <w:color w:val="000000" w:themeColor="text1"/>
                <w:kern w:val="24"/>
              </w:rPr>
              <w:t>.</w:t>
            </w:r>
            <w:r w:rsidR="001A0F1E">
              <w:rPr>
                <w:iCs/>
                <w:color w:val="000000" w:themeColor="text1"/>
                <w:kern w:val="24"/>
              </w:rPr>
              <w:t xml:space="preserve"> </w:t>
            </w:r>
            <w:r w:rsidR="00F140B5">
              <w:rPr>
                <w:iCs/>
                <w:color w:val="000000" w:themeColor="text1"/>
                <w:kern w:val="24"/>
              </w:rPr>
              <w:t xml:space="preserve">В связи с этим </w:t>
            </w:r>
            <w:r w:rsidR="00F140B5">
              <w:rPr>
                <w:iCs/>
                <w:color w:val="000000" w:themeColor="text1"/>
                <w:kern w:val="24"/>
                <w:lang w:val="en-US"/>
              </w:rPr>
              <w:t>CVA</w:t>
            </w:r>
            <w:r w:rsidR="00F140B5" w:rsidRPr="00F140B5">
              <w:rPr>
                <w:iCs/>
                <w:color w:val="000000" w:themeColor="text1"/>
                <w:kern w:val="24"/>
              </w:rPr>
              <w:t xml:space="preserve"> </w:t>
            </w:r>
            <w:r w:rsidR="00F140B5">
              <w:rPr>
                <w:iCs/>
                <w:color w:val="000000" w:themeColor="text1"/>
                <w:kern w:val="24"/>
              </w:rPr>
              <w:t xml:space="preserve">и </w:t>
            </w:r>
            <w:r w:rsidR="00F140B5">
              <w:rPr>
                <w:iCs/>
                <w:color w:val="000000" w:themeColor="text1"/>
                <w:kern w:val="24"/>
                <w:lang w:val="en-US"/>
              </w:rPr>
              <w:t>DVA</w:t>
            </w:r>
            <w:r w:rsidR="00F140B5" w:rsidRPr="00F140B5">
              <w:rPr>
                <w:iCs/>
                <w:color w:val="000000" w:themeColor="text1"/>
                <w:kern w:val="24"/>
              </w:rPr>
              <w:t xml:space="preserve"> </w:t>
            </w:r>
            <w:r w:rsidR="009E4163">
              <w:rPr>
                <w:iCs/>
                <w:color w:val="000000" w:themeColor="text1"/>
                <w:kern w:val="24"/>
              </w:rPr>
              <w:t xml:space="preserve">для РЕПО </w:t>
            </w:r>
            <w:r w:rsidR="00F140B5">
              <w:rPr>
                <w:iCs/>
                <w:color w:val="000000" w:themeColor="text1"/>
                <w:kern w:val="24"/>
              </w:rPr>
              <w:t>буд</w:t>
            </w:r>
            <w:r w:rsidR="009E4163">
              <w:rPr>
                <w:iCs/>
                <w:color w:val="000000" w:themeColor="text1"/>
                <w:kern w:val="24"/>
              </w:rPr>
              <w:t>у</w:t>
            </w:r>
            <w:r w:rsidR="00F140B5">
              <w:rPr>
                <w:iCs/>
                <w:color w:val="000000" w:themeColor="text1"/>
                <w:kern w:val="24"/>
              </w:rPr>
              <w:t>т рассчитываться по следующим формула</w:t>
            </w:r>
            <w:r w:rsidR="00F140B5" w:rsidRPr="00F140B5">
              <w:rPr>
                <w:iCs/>
                <w:color w:val="000000" w:themeColor="text1"/>
                <w:kern w:val="24"/>
              </w:rPr>
              <w:t>м: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72"/>
              <w:gridCol w:w="708"/>
            </w:tblGrid>
            <w:tr w:rsidR="00F140B5" w:rsidRPr="00A37160" w14:paraId="082AA15F" w14:textId="77777777" w:rsidTr="00AD64FB">
              <w:trPr>
                <w:trHeight w:val="170"/>
              </w:trPr>
              <w:tc>
                <w:tcPr>
                  <w:tcW w:w="8472" w:type="dxa"/>
                  <w:tcBorders>
                    <w:bottom w:val="single" w:sz="4" w:space="0" w:color="FFFFFF" w:themeColor="background1"/>
                  </w:tcBorders>
                </w:tcPr>
                <w:p w14:paraId="4B5171CE" w14:textId="77777777" w:rsidR="00F140B5" w:rsidRPr="00A37160" w:rsidRDefault="00F140B5" w:rsidP="001E1E37">
                  <w:pPr>
                    <w:ind w:left="3402" w:firstLine="3402"/>
                    <w:jc w:val="both"/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CVA=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epe(t)p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708" w:type="dxa"/>
                  <w:tcBorders>
                    <w:bottom w:val="single" w:sz="4" w:space="0" w:color="FFFFFF" w:themeColor="background1"/>
                  </w:tcBorders>
                  <w:vAlign w:val="center"/>
                </w:tcPr>
                <w:p w14:paraId="0E87BB57" w14:textId="77777777" w:rsidR="00F140B5" w:rsidRPr="00A37160" w:rsidRDefault="00F140B5" w:rsidP="001E1E37">
                  <w:pPr>
                    <w:jc w:val="both"/>
                    <w:rPr>
                      <w:rFonts w:eastAsiaTheme="minorEastAsia"/>
                    </w:rPr>
                  </w:pPr>
                </w:p>
              </w:tc>
            </w:tr>
            <w:tr w:rsidR="00F140B5" w:rsidRPr="00A37160" w14:paraId="4F213304" w14:textId="77777777" w:rsidTr="00AD64FB">
              <w:trPr>
                <w:trHeight w:val="170"/>
              </w:trPr>
              <w:tc>
                <w:tcPr>
                  <w:tcW w:w="8472" w:type="dxa"/>
                  <w:tcBorders>
                    <w:bottom w:val="single" w:sz="4" w:space="0" w:color="FFFFFF" w:themeColor="background1"/>
                  </w:tcBorders>
                </w:tcPr>
                <w:p w14:paraId="667D65CB" w14:textId="77777777" w:rsidR="00F140B5" w:rsidRPr="00A37160" w:rsidRDefault="00F140B5" w:rsidP="001E1E37">
                  <w:pPr>
                    <w:jc w:val="both"/>
                  </w:pPr>
                </w:p>
              </w:tc>
              <w:tc>
                <w:tcPr>
                  <w:tcW w:w="708" w:type="dxa"/>
                  <w:tcBorders>
                    <w:bottom w:val="single" w:sz="4" w:space="0" w:color="FFFFFF" w:themeColor="background1"/>
                  </w:tcBorders>
                  <w:vAlign w:val="center"/>
                </w:tcPr>
                <w:p w14:paraId="73B703FF" w14:textId="77777777" w:rsidR="00F140B5" w:rsidRPr="00A37160" w:rsidRDefault="00F140B5" w:rsidP="001E1E37">
                  <w:pPr>
                    <w:jc w:val="both"/>
                    <w:rPr>
                      <w:rFonts w:eastAsiaTheme="minorEastAsia"/>
                    </w:rPr>
                  </w:pPr>
                </w:p>
              </w:tc>
            </w:tr>
            <w:tr w:rsidR="00F140B5" w:rsidRPr="00A37160" w14:paraId="7466FA19" w14:textId="77777777" w:rsidTr="00AD64FB">
              <w:trPr>
                <w:trHeight w:val="170"/>
              </w:trPr>
              <w:tc>
                <w:tcPr>
                  <w:tcW w:w="847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7AEF127" w14:textId="77777777" w:rsidR="00F140B5" w:rsidRPr="00A37160" w:rsidRDefault="00F140B5" w:rsidP="001E1E37">
                  <w:pPr>
                    <w:ind w:left="3402" w:firstLine="3402"/>
                    <w:jc w:val="both"/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DVA=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ene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70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D6630B3" w14:textId="77777777" w:rsidR="00F140B5" w:rsidRPr="00A37160" w:rsidRDefault="00F140B5" w:rsidP="001E1E37">
                  <w:pPr>
                    <w:jc w:val="both"/>
                    <w:rPr>
                      <w:rFonts w:eastAsiaTheme="minorEastAsia"/>
                    </w:rPr>
                  </w:pPr>
                </w:p>
              </w:tc>
            </w:tr>
          </w:tbl>
          <w:p w14:paraId="2D957E54" w14:textId="77777777" w:rsidR="00F140B5" w:rsidRPr="00A37160" w:rsidRDefault="00F140B5" w:rsidP="001E1E37">
            <w:pPr>
              <w:spacing w:after="120"/>
              <w:jc w:val="both"/>
            </w:pPr>
            <w:r w:rsidRPr="00A37160">
              <w:t>где</w:t>
            </w:r>
          </w:p>
          <w:p w14:paraId="5B1C300F" w14:textId="77777777" w:rsidR="00F140B5" w:rsidRPr="00A37160" w:rsidRDefault="00F140B5" w:rsidP="001E1E37">
            <w:pPr>
              <w:autoSpaceDE w:val="0"/>
              <w:autoSpaceDN w:val="0"/>
              <w:spacing w:before="120" w:after="120"/>
              <w:jc w:val="both"/>
            </w:pPr>
            <m:oMath>
              <m:r>
                <w:rPr>
                  <w:rFonts w:ascii="Cambria Math" w:hAnsi="Cambria Math"/>
                  <w:lang w:val="en-US"/>
                </w:rPr>
                <m:t>epe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oMath>
            <w:r w:rsidRPr="00A37160">
              <w:t xml:space="preserve"> – дисконтированное к текущему (нулевому) моменту времени значение </w:t>
            </w:r>
            <m:oMath>
              <m:r>
                <w:rPr>
                  <w:rFonts w:ascii="Cambria Math" w:hAnsi="Cambria Math"/>
                  <w:lang w:val="en-US"/>
                </w:rPr>
                <m:t>EPE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oMath>
            <w:r w:rsidRPr="00A37160">
              <w:t>,</w:t>
            </w:r>
          </w:p>
          <w:p w14:paraId="636C9D98" w14:textId="77777777" w:rsidR="00F140B5" w:rsidRPr="00F140B5" w:rsidRDefault="00F140B5" w:rsidP="001E1E37">
            <w:pPr>
              <w:autoSpaceDE w:val="0"/>
              <w:autoSpaceDN w:val="0"/>
              <w:spacing w:before="120" w:after="120"/>
              <w:jc w:val="both"/>
            </w:pPr>
            <m:oMath>
              <m:r>
                <w:rPr>
                  <w:rFonts w:ascii="Cambria Math" w:hAnsi="Cambria Math"/>
                  <w:lang w:val="en-US"/>
                </w:rPr>
                <m:t>ene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oMath>
            <w:r w:rsidRPr="00A37160">
              <w:t xml:space="preserve"> – дисконтированное к текущему (нулевому) моменту времени значение </w:t>
            </w:r>
            <m:oMath>
              <m:r>
                <w:rPr>
                  <w:rFonts w:ascii="Cambria Math" w:hAnsi="Cambria Math"/>
                  <w:lang w:val="en-US"/>
                </w:rPr>
                <m:t>ENE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oMath>
            <w:r w:rsidRPr="00A37160">
              <w:t>.</w:t>
            </w:r>
          </w:p>
          <w:p w14:paraId="58E6AA82" w14:textId="77777777" w:rsidR="00F140B5" w:rsidRPr="00A37160" w:rsidRDefault="00F140B5" w:rsidP="001E1E37">
            <w:pPr>
              <w:spacing w:after="120"/>
              <w:jc w:val="both"/>
            </w:pPr>
            <w:r w:rsidRPr="00A37160">
              <w:rPr>
                <w:i/>
                <w:lang w:val="en-US"/>
              </w:rPr>
              <w:t>p</w:t>
            </w:r>
            <w:r w:rsidRPr="00A37160">
              <w:rPr>
                <w:i/>
              </w:rPr>
              <w:t>(</w:t>
            </w:r>
            <w:r w:rsidRPr="00A37160">
              <w:rPr>
                <w:i/>
                <w:lang w:val="en-US"/>
              </w:rPr>
              <w:t>t</w:t>
            </w:r>
            <w:r w:rsidRPr="00A37160">
              <w:rPr>
                <w:i/>
              </w:rPr>
              <w:t xml:space="preserve">) – </w:t>
            </w:r>
            <w:r w:rsidRPr="00A37160">
              <w:t>функция плотности распределения вероятности дефолта контрагента,</w:t>
            </w:r>
          </w:p>
          <w:p w14:paraId="24281259" w14:textId="77777777" w:rsidR="00F140B5" w:rsidRPr="00A37160" w:rsidRDefault="000428C6" w:rsidP="001E1E37">
            <w:pPr>
              <w:spacing w:after="120"/>
              <w:jc w:val="both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oMath>
            <w:r w:rsidR="00F140B5" w:rsidRPr="00A37160">
              <w:rPr>
                <w:i/>
              </w:rPr>
              <w:t>(</w:t>
            </w:r>
            <w:r w:rsidR="00F140B5" w:rsidRPr="00A37160">
              <w:rPr>
                <w:i/>
                <w:lang w:val="en-US"/>
              </w:rPr>
              <w:t>t</w:t>
            </w:r>
            <w:r w:rsidR="00F140B5" w:rsidRPr="00A37160">
              <w:rPr>
                <w:i/>
              </w:rPr>
              <w:t xml:space="preserve">) – </w:t>
            </w:r>
            <w:r w:rsidR="00F140B5" w:rsidRPr="00A37160">
              <w:t>функция плотности распределения  вероятности  дефолта Банка,</w:t>
            </w:r>
          </w:p>
          <w:p w14:paraId="3054A0FF" w14:textId="77777777" w:rsidR="00530275" w:rsidRPr="009E4163" w:rsidRDefault="00F140B5" w:rsidP="001E1E37">
            <w:pPr>
              <w:spacing w:after="120"/>
              <w:jc w:val="both"/>
              <w:rPr>
                <w:rFonts w:ascii="Cambria Math" w:hAnsi="Cambria Math"/>
              </w:rPr>
            </w:pPr>
            <w:r w:rsidRPr="00A37160">
              <w:rPr>
                <w:rFonts w:ascii="Cambria Math" w:hAnsi="Cambria Math"/>
                <w:i/>
                <w:lang w:val="en-US"/>
              </w:rPr>
              <w:t>T</w:t>
            </w:r>
            <w:r w:rsidRPr="00A37160">
              <w:rPr>
                <w:rFonts w:ascii="Cambria Math" w:hAnsi="Cambria Math"/>
                <w:i/>
              </w:rPr>
              <w:t xml:space="preserve"> – </w:t>
            </w:r>
            <w:r w:rsidRPr="00A37160">
              <w:t>время окончания контракта (maturity)</w:t>
            </w:r>
            <w:r w:rsidR="009E4163">
              <w:rPr>
                <w:rStyle w:val="FootnoteReference"/>
              </w:rPr>
              <w:footnoteReference w:id="3"/>
            </w:r>
            <w:r w:rsidRPr="00A37160">
              <w:t>.</w:t>
            </w:r>
          </w:p>
        </w:tc>
      </w:tr>
      <w:tr w:rsidR="00EA39E3" w:rsidRPr="00A37160" w14:paraId="2761FA55" w14:textId="77777777" w:rsidTr="00AD64FB">
        <w:tc>
          <w:tcPr>
            <w:tcW w:w="9571" w:type="dxa"/>
            <w:shd w:val="clear" w:color="auto" w:fill="A6A6A6" w:themeFill="background1" w:themeFillShade="A6"/>
            <w:vAlign w:val="center"/>
          </w:tcPr>
          <w:p w14:paraId="5C363A28" w14:textId="77777777" w:rsidR="00EA39E3" w:rsidRPr="008B19C0" w:rsidRDefault="00EA39E3" w:rsidP="000C3056">
            <w:r w:rsidRPr="00A37160">
              <w:rPr>
                <w:b/>
              </w:rPr>
              <w:lastRenderedPageBreak/>
              <w:t xml:space="preserve">Описание валидирующих тестов для </w:t>
            </w:r>
            <w:r w:rsidRPr="00A37160" w:rsidDel="00BF534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EPE</w:t>
            </w:r>
            <w:r w:rsidRPr="00084359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ENE</w:t>
            </w:r>
            <w:r w:rsidRPr="00084359">
              <w:rPr>
                <w:b/>
              </w:rPr>
              <w:t xml:space="preserve">  </w:t>
            </w:r>
          </w:p>
        </w:tc>
      </w:tr>
    </w:tbl>
    <w:p w14:paraId="74CD54A2" w14:textId="77777777" w:rsidR="00EA39E3" w:rsidRDefault="00FD7997" w:rsidP="00EA39E3">
      <w:pPr>
        <w:spacing w:before="120" w:after="120"/>
      </w:pPr>
      <w:r>
        <w:t>Не применимо</w:t>
      </w:r>
    </w:p>
    <w:p w14:paraId="0434CF2E" w14:textId="77777777" w:rsidR="00FD7997" w:rsidRPr="00FD7997" w:rsidRDefault="00FD7997" w:rsidP="00EA39E3">
      <w:pPr>
        <w:spacing w:before="120" w:after="1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39E3" w:rsidRPr="00A37160" w14:paraId="13C9D099" w14:textId="77777777" w:rsidTr="000C3056">
        <w:tc>
          <w:tcPr>
            <w:tcW w:w="9571" w:type="dxa"/>
            <w:shd w:val="clear" w:color="auto" w:fill="A6A6A6" w:themeFill="background1" w:themeFillShade="A6"/>
            <w:vAlign w:val="center"/>
          </w:tcPr>
          <w:p w14:paraId="78FCC2CB" w14:textId="77777777" w:rsidR="00EA39E3" w:rsidRPr="008D5876" w:rsidRDefault="00EA39E3" w:rsidP="000C3056">
            <w:pPr>
              <w:rPr>
                <w:b/>
              </w:rPr>
            </w:pPr>
            <w:r w:rsidRPr="008D5876">
              <w:rPr>
                <w:b/>
              </w:rPr>
              <w:t xml:space="preserve">Ссылка на Профиль моделирования риск факторов для </w:t>
            </w:r>
            <w:r w:rsidRPr="008D5876">
              <w:rPr>
                <w:b/>
                <w:lang w:val="en-US"/>
              </w:rPr>
              <w:t>CVA</w:t>
            </w:r>
            <w:r>
              <w:rPr>
                <w:b/>
              </w:rPr>
              <w:t>,</w:t>
            </w:r>
            <w:r w:rsidRPr="008D5876">
              <w:rPr>
                <w:b/>
              </w:rPr>
              <w:t xml:space="preserve"> который используется для продукта</w:t>
            </w:r>
          </w:p>
        </w:tc>
      </w:tr>
      <w:tr w:rsidR="00EA39E3" w:rsidRPr="00A37160" w14:paraId="15D8C716" w14:textId="77777777" w:rsidTr="000C3056">
        <w:trPr>
          <w:trHeight w:val="1032"/>
        </w:trPr>
        <w:tc>
          <w:tcPr>
            <w:tcW w:w="9571" w:type="dxa"/>
            <w:vAlign w:val="center"/>
          </w:tcPr>
          <w:p w14:paraId="405431F5" w14:textId="77777777" w:rsidR="00FD7997" w:rsidRPr="00FD7997" w:rsidRDefault="00FD7997" w:rsidP="00FD7997">
            <w:pPr>
              <w:spacing w:before="120" w:after="120"/>
            </w:pPr>
            <w:r w:rsidRPr="00B02AC3">
              <w:t xml:space="preserve">Профиль моделирования цен </w:t>
            </w:r>
            <w:r>
              <w:t>процентных ставок</w:t>
            </w:r>
            <w:r w:rsidRPr="00B02AC3">
              <w:t xml:space="preserve"> с помощью модели </w:t>
            </w:r>
            <w:r>
              <w:rPr>
                <w:lang w:val="en-US"/>
              </w:rPr>
              <w:t>Hull</w:t>
            </w:r>
            <w:r w:rsidRPr="00FD7997">
              <w:t>-</w:t>
            </w:r>
            <w:r>
              <w:rPr>
                <w:lang w:val="en-US"/>
              </w:rPr>
              <w:t>White</w:t>
            </w:r>
            <w:r w:rsidRPr="00B02AC3">
              <w:t xml:space="preserve"> </w:t>
            </w:r>
          </w:p>
          <w:p w14:paraId="790D5C91" w14:textId="77777777" w:rsidR="00EA39E3" w:rsidRDefault="00EA39E3" w:rsidP="000C3056">
            <w:pPr>
              <w:spacing w:before="120" w:after="120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9"/>
            </w:tblGrid>
            <w:tr w:rsidR="00EA39E3" w:rsidRPr="00A37160" w14:paraId="65BA5D3E" w14:textId="77777777" w:rsidTr="000C3056">
              <w:tc>
                <w:tcPr>
                  <w:tcW w:w="9571" w:type="dxa"/>
                  <w:shd w:val="clear" w:color="auto" w:fill="A6A6A6" w:themeFill="background1" w:themeFillShade="A6"/>
                  <w:vAlign w:val="center"/>
                </w:tcPr>
                <w:p w14:paraId="10A51B58" w14:textId="77777777" w:rsidR="00EA39E3" w:rsidRDefault="00EA39E3" w:rsidP="000C3056">
                  <w:pPr>
                    <w:rPr>
                      <w:b/>
                    </w:rPr>
                  </w:pPr>
                  <w:r w:rsidRPr="00A37160">
                    <w:rPr>
                      <w:b/>
                    </w:rPr>
                    <w:t xml:space="preserve">Ответственный за согласование </w:t>
                  </w:r>
                </w:p>
                <w:p w14:paraId="2916AB67" w14:textId="77777777" w:rsidR="00EA39E3" w:rsidRPr="008B19C0" w:rsidRDefault="00EA39E3" w:rsidP="000C3056"/>
              </w:tc>
            </w:tr>
          </w:tbl>
          <w:p w14:paraId="3997F0A9" w14:textId="77777777" w:rsidR="00EA39E3" w:rsidRPr="00FD7997" w:rsidRDefault="00FD7997" w:rsidP="000C3056">
            <w:pPr>
              <w:spacing w:before="120" w:after="120"/>
            </w:pPr>
            <w:r>
              <w:t xml:space="preserve">Бохонова Наталья </w:t>
            </w:r>
            <w:r w:rsidR="00DA74B6">
              <w:t>Юрьевна, руководитель проектов</w:t>
            </w:r>
          </w:p>
          <w:p w14:paraId="14F854C5" w14:textId="77777777" w:rsidR="00EA39E3" w:rsidRPr="00A37160" w:rsidRDefault="00EA39E3" w:rsidP="000C3056">
            <w:pPr>
              <w:spacing w:before="120" w:after="120"/>
            </w:pPr>
          </w:p>
        </w:tc>
      </w:tr>
    </w:tbl>
    <w:p w14:paraId="385A4F57" w14:textId="77777777" w:rsidR="00EA39E3" w:rsidRDefault="00EA39E3" w:rsidP="00EA39E3"/>
    <w:p w14:paraId="7BA286DB" w14:textId="77777777" w:rsidR="00264986" w:rsidRDefault="000428C6"/>
    <w:sectPr w:rsidR="00264986" w:rsidSect="00AD6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FBCE3" w14:textId="77777777" w:rsidR="00B30A8B" w:rsidRDefault="00B30A8B" w:rsidP="00F140B5">
      <w:r>
        <w:separator/>
      </w:r>
    </w:p>
  </w:endnote>
  <w:endnote w:type="continuationSeparator" w:id="0">
    <w:p w14:paraId="59FAF8D4" w14:textId="77777777" w:rsidR="00B30A8B" w:rsidRDefault="00B30A8B" w:rsidP="00F14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96EFF" w14:textId="77777777" w:rsidR="00B30A8B" w:rsidRDefault="00B30A8B" w:rsidP="00F140B5">
      <w:r>
        <w:separator/>
      </w:r>
    </w:p>
  </w:footnote>
  <w:footnote w:type="continuationSeparator" w:id="0">
    <w:p w14:paraId="41C524A5" w14:textId="77777777" w:rsidR="00B30A8B" w:rsidRDefault="00B30A8B" w:rsidP="00F140B5">
      <w:r>
        <w:continuationSeparator/>
      </w:r>
    </w:p>
  </w:footnote>
  <w:footnote w:id="1">
    <w:p w14:paraId="5865D267" w14:textId="4B56B00A" w:rsidR="00B66060" w:rsidRDefault="00B66060">
      <w:pPr>
        <w:pStyle w:val="FootnoteText"/>
      </w:pPr>
      <w:r>
        <w:rPr>
          <w:rStyle w:val="FootnoteReference"/>
        </w:rPr>
        <w:footnoteRef/>
      </w:r>
      <w:r>
        <w:t xml:space="preserve"> Показатель ККР описан в ВНД «С</w:t>
      </w:r>
      <w:r w:rsidRPr="00B66060">
        <w:t>борник методик моделирования метрик рыночного и контрагентского кредитного рисков» № 4435 от 07.11.2017 (Часть 12. М</w:t>
      </w:r>
      <w:r>
        <w:t>етодика расчета показателя PFE)</w:t>
      </w:r>
      <w:r w:rsidRPr="00B66060">
        <w:t>.</w:t>
      </w:r>
    </w:p>
  </w:footnote>
  <w:footnote w:id="2">
    <w:p w14:paraId="078E4106" w14:textId="77777777" w:rsidR="001E1E37" w:rsidRDefault="001E1E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Q</m:t>
            </m:r>
          </m:sup>
        </m:sSup>
      </m:oMath>
      <w:r>
        <w:t xml:space="preserve"> – математическое ожидание в риск-нейтральной мере.</w:t>
      </w:r>
    </w:p>
  </w:footnote>
  <w:footnote w:id="3">
    <w:p w14:paraId="7761457D" w14:textId="77777777" w:rsidR="009E4163" w:rsidRDefault="009E4163">
      <w:pPr>
        <w:pStyle w:val="FootnoteText"/>
      </w:pPr>
      <w:r>
        <w:rPr>
          <w:rStyle w:val="FootnoteReference"/>
        </w:rPr>
        <w:footnoteRef/>
      </w:r>
      <w:r>
        <w:t xml:space="preserve"> Для портфеля сделок </w:t>
      </w:r>
      <w:r>
        <w:rPr>
          <w:lang w:val="en-US"/>
        </w:rPr>
        <w:t>T</w:t>
      </w:r>
      <w:r w:rsidRPr="00F17576">
        <w:t xml:space="preserve"> </w:t>
      </w:r>
      <w:r>
        <w:t>– это максимальный срок экспирации среди всех инструментов портфеля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5146"/>
    <w:multiLevelType w:val="hybridMultilevel"/>
    <w:tmpl w:val="56AA3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A2AD8"/>
    <w:multiLevelType w:val="hybridMultilevel"/>
    <w:tmpl w:val="00AAFC2A"/>
    <w:lvl w:ilvl="0" w:tplc="C7882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E3"/>
    <w:rsid w:val="000428C6"/>
    <w:rsid w:val="000B6367"/>
    <w:rsid w:val="001052C4"/>
    <w:rsid w:val="0011225D"/>
    <w:rsid w:val="0014494F"/>
    <w:rsid w:val="001A0F1E"/>
    <w:rsid w:val="001E1E37"/>
    <w:rsid w:val="002322ED"/>
    <w:rsid w:val="002532A0"/>
    <w:rsid w:val="00276445"/>
    <w:rsid w:val="003A25ED"/>
    <w:rsid w:val="0040258C"/>
    <w:rsid w:val="00530275"/>
    <w:rsid w:val="00552C70"/>
    <w:rsid w:val="005541EE"/>
    <w:rsid w:val="0062263C"/>
    <w:rsid w:val="0069613A"/>
    <w:rsid w:val="007423E8"/>
    <w:rsid w:val="00766090"/>
    <w:rsid w:val="00767740"/>
    <w:rsid w:val="0084465A"/>
    <w:rsid w:val="0086697C"/>
    <w:rsid w:val="00874DCD"/>
    <w:rsid w:val="008D2725"/>
    <w:rsid w:val="009E4163"/>
    <w:rsid w:val="00A13F14"/>
    <w:rsid w:val="00AD64FB"/>
    <w:rsid w:val="00AF66CA"/>
    <w:rsid w:val="00B0606D"/>
    <w:rsid w:val="00B30A8B"/>
    <w:rsid w:val="00B4213B"/>
    <w:rsid w:val="00B66060"/>
    <w:rsid w:val="00C4003A"/>
    <w:rsid w:val="00DA74B6"/>
    <w:rsid w:val="00DF2336"/>
    <w:rsid w:val="00E70FC9"/>
    <w:rsid w:val="00E81079"/>
    <w:rsid w:val="00E86706"/>
    <w:rsid w:val="00EA39E3"/>
    <w:rsid w:val="00EE2451"/>
    <w:rsid w:val="00EE4DD6"/>
    <w:rsid w:val="00F140B5"/>
    <w:rsid w:val="00FD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F473F"/>
  <w15:docId w15:val="{D39A58F9-674B-43B1-B6C8-CB13E57B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39E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A39E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table" w:styleId="TableGrid">
    <w:name w:val="Table Grid"/>
    <w:basedOn w:val="TableNormal"/>
    <w:uiPriority w:val="59"/>
    <w:rsid w:val="00EA39E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33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36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0606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060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0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0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0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06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B421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rsid w:val="00F140B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140B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rsid w:val="00F140B5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90B9D-88D1-4772-8446-075B4929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Protasov Andrey</cp:lastModifiedBy>
  <cp:revision>3</cp:revision>
  <cp:lastPrinted>2019-07-19T09:52:00Z</cp:lastPrinted>
  <dcterms:created xsi:type="dcterms:W3CDTF">2020-10-28T14:20:00Z</dcterms:created>
  <dcterms:modified xsi:type="dcterms:W3CDTF">2021-03-09T15:56:00Z</dcterms:modified>
</cp:coreProperties>
</file>