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C29" w:rsidRPr="001A1C2C" w:rsidRDefault="00B50C29" w:rsidP="00B50C29">
      <w:pPr>
        <w:pStyle w:val="Heading2"/>
        <w:jc w:val="center"/>
      </w:pPr>
      <w:bookmarkStart w:id="0" w:name="_Toc470105882"/>
      <w:bookmarkStart w:id="1" w:name="_Toc53588102"/>
      <w:r w:rsidRPr="001A1C2C">
        <w:rPr>
          <w:sz w:val="24"/>
          <w:szCs w:val="24"/>
        </w:rPr>
        <w:t>Профиль расчета CVA для продукта</w:t>
      </w:r>
      <w:bookmarkEnd w:id="0"/>
      <w:r w:rsidRPr="001A1C2C" w:rsidDel="008B19C0">
        <w:rPr>
          <w:sz w:val="24"/>
          <w:szCs w:val="24"/>
        </w:rPr>
        <w:t xml:space="preserve"> </w:t>
      </w:r>
      <w:r w:rsidRPr="001A1C2C">
        <w:rPr>
          <w:sz w:val="24"/>
          <w:szCs w:val="24"/>
        </w:rPr>
        <w:t>МБК</w:t>
      </w:r>
      <w:bookmarkEnd w:id="1"/>
    </w:p>
    <w:p w:rsidR="00B50C29" w:rsidRPr="00A37160" w:rsidRDefault="00B50C29" w:rsidP="00B50C2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50C29" w:rsidRPr="00A37160" w:rsidTr="001845FB">
        <w:tc>
          <w:tcPr>
            <w:tcW w:w="9571" w:type="dxa"/>
            <w:shd w:val="clear" w:color="auto" w:fill="A6A6A6" w:themeFill="background1" w:themeFillShade="A6"/>
          </w:tcPr>
          <w:p w:rsidR="00B50C29" w:rsidRPr="00A37160" w:rsidRDefault="00B50C29" w:rsidP="001845FB">
            <w:pPr>
              <w:spacing w:before="60" w:after="60"/>
              <w:rPr>
                <w:b/>
              </w:rPr>
            </w:pPr>
            <w:r w:rsidRPr="00A37160">
              <w:rPr>
                <w:b/>
              </w:rPr>
              <w:t xml:space="preserve">Краткое описание </w:t>
            </w:r>
            <w:r>
              <w:rPr>
                <w:b/>
              </w:rPr>
              <w:t>продукта</w:t>
            </w:r>
          </w:p>
        </w:tc>
      </w:tr>
      <w:tr w:rsidR="00B50C29" w:rsidRPr="00A37160" w:rsidTr="001845FB">
        <w:tc>
          <w:tcPr>
            <w:tcW w:w="9571" w:type="dxa"/>
            <w:vAlign w:val="center"/>
          </w:tcPr>
          <w:p w:rsidR="00B50C29" w:rsidRPr="00EA39E3" w:rsidRDefault="00B50C29" w:rsidP="001845FB">
            <w:pPr>
              <w:spacing w:before="120" w:after="120"/>
            </w:pPr>
            <w:r>
              <w:t>Сделки межбанковского кредитования</w:t>
            </w:r>
          </w:p>
          <w:p w:rsidR="00B50C29" w:rsidRPr="00A37160" w:rsidRDefault="00B50C29" w:rsidP="001845FB">
            <w:pPr>
              <w:spacing w:before="120" w:after="120"/>
            </w:pPr>
          </w:p>
        </w:tc>
      </w:tr>
      <w:tr w:rsidR="00B50C29" w:rsidRPr="00A37160" w:rsidTr="001845FB">
        <w:tc>
          <w:tcPr>
            <w:tcW w:w="9571" w:type="dxa"/>
            <w:shd w:val="clear" w:color="auto" w:fill="A6A6A6" w:themeFill="background1" w:themeFillShade="A6"/>
            <w:vAlign w:val="center"/>
          </w:tcPr>
          <w:p w:rsidR="00B50C29" w:rsidRPr="00A37160" w:rsidRDefault="00B50C29" w:rsidP="001845FB">
            <w:pPr>
              <w:spacing w:before="60" w:after="60"/>
            </w:pPr>
            <w:r w:rsidRPr="00A37160">
              <w:rPr>
                <w:b/>
              </w:rPr>
              <w:t xml:space="preserve">Описание </w:t>
            </w:r>
            <w:r>
              <w:rPr>
                <w:b/>
              </w:rPr>
              <w:t xml:space="preserve">расчета </w:t>
            </w:r>
            <w:r>
              <w:rPr>
                <w:b/>
                <w:lang w:val="en-US"/>
              </w:rPr>
              <w:t>EPE</w:t>
            </w:r>
            <w:r w:rsidRPr="00084359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ENE</w:t>
            </w:r>
            <w:r w:rsidRPr="00084359">
              <w:rPr>
                <w:b/>
              </w:rPr>
              <w:t xml:space="preserve">  </w:t>
            </w:r>
            <w:r>
              <w:rPr>
                <w:b/>
              </w:rPr>
              <w:t>для продукта</w:t>
            </w:r>
            <w:r w:rsidRPr="00A37160">
              <w:rPr>
                <w:b/>
              </w:rPr>
              <w:t xml:space="preserve"> </w:t>
            </w:r>
          </w:p>
        </w:tc>
      </w:tr>
      <w:tr w:rsidR="00B50C29" w:rsidRPr="00A37160" w:rsidTr="001845FB">
        <w:trPr>
          <w:trHeight w:val="1032"/>
        </w:trPr>
        <w:tc>
          <w:tcPr>
            <w:tcW w:w="9571" w:type="dxa"/>
            <w:vAlign w:val="center"/>
          </w:tcPr>
          <w:p w:rsidR="00B50C29" w:rsidRDefault="00B50C29" w:rsidP="001845FB">
            <w:pPr>
              <w:spacing w:before="120" w:after="120"/>
            </w:pPr>
            <w:r>
              <w:t xml:space="preserve">Для вычисления </w:t>
            </w:r>
            <w:r>
              <w:rPr>
                <w:lang w:val="en-US"/>
              </w:rPr>
              <w:t>EPE</w:t>
            </w:r>
            <w:r w:rsidRPr="00EE2451">
              <w:t xml:space="preserve">, </w:t>
            </w:r>
            <w:r>
              <w:rPr>
                <w:lang w:val="en-US"/>
              </w:rPr>
              <w:t>ENE</w:t>
            </w:r>
            <w:r w:rsidRPr="00EE2451">
              <w:t xml:space="preserve"> </w:t>
            </w:r>
            <w:r>
              <w:t>стоимость сделки разбивается на две составляющие (в случае дефолта по сделке МБК Банк может взыскивать только номинал и накопленные проценты):</w:t>
            </w:r>
          </w:p>
          <w:p w:rsidR="00B50C29" w:rsidRDefault="00B50C29" w:rsidP="00B50C29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</w:pPr>
            <w:r>
              <w:t>Номинал и накопленные проценты</w:t>
            </w:r>
          </w:p>
          <w:p w:rsidR="00B50C29" w:rsidRDefault="00B50C29" w:rsidP="00B50C29">
            <w:pPr>
              <w:pStyle w:val="ListParagraph"/>
              <w:numPr>
                <w:ilvl w:val="0"/>
                <w:numId w:val="1"/>
              </w:numPr>
              <w:spacing w:before="120" w:after="120"/>
              <w:contextualSpacing/>
            </w:pPr>
            <w:r w:rsidRPr="00DF23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F40AE8" wp14:editId="18534538">
                      <wp:simplePos x="0" y="0"/>
                      <wp:positionH relativeFrom="column">
                        <wp:posOffset>95885</wp:posOffset>
                      </wp:positionH>
                      <wp:positionV relativeFrom="paragraph">
                        <wp:posOffset>219710</wp:posOffset>
                      </wp:positionV>
                      <wp:extent cx="5467350" cy="813435"/>
                      <wp:effectExtent l="0" t="0" r="0" b="0"/>
                      <wp:wrapNone/>
                      <wp:docPr id="4" name="Text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467350" cy="813435"/>
                              </a:xfrm>
                              <a:prstGeom prst="rect">
                                <a:avLst/>
                              </a:prstGeom>
                              <a:noFill/>
                            </wps:spPr>
                            <wps:txbx>
                              <w:txbxContent>
                                <w:p w:rsidR="00B50C29" w:rsidRPr="00DF2336" w:rsidRDefault="00B50C29" w:rsidP="00B50C2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MV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=N</m:t>
                                      </m:r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∙df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τ,T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+AI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∙df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τ,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</m:e>
                                      </m:d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+</m:t>
                                      </m:r>
                                      <m:nary>
                                        <m:naryPr>
                                          <m:chr m:val="∑"/>
                                          <m:ctrlPr>
                                            <w:rPr>
                                              <w:rFonts w:ascii="Cambria Math" w:eastAsia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naryPr>
                                        <m:sub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k=1;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1</m:t>
                                              </m:r>
                                            </m:sub>
                                          </m:sSub>
                                          <m:r>
                                            <m:rPr>
                                              <m:brk m:alnAt="1"/>
                                            </m:rP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&gt;τ</m:t>
                                          </m:r>
                                        </m:sub>
                                        <m:sup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K</m:t>
                                          </m:r>
                                        </m:sup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FI(τ;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)∙df(τ;</m:t>
                                          </m:r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eastAsia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t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eastAsia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k</m:t>
                                              </m:r>
                                            </m:sub>
                                          </m:sSub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)</m:t>
                                          </m:r>
                                        </m:e>
                                      </m:nary>
                                    </m:oMath>
                                  </m:oMathPara>
                                </w:p>
                              </w:txbxContent>
                            </wps:txbx>
                            <wps:bodyPr wrap="square" rtlCol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7F40AE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Box 3" o:spid="_x0000_s1026" type="#_x0000_t202" style="position:absolute;left:0;text-align:left;margin-left:7.55pt;margin-top:17.3pt;width:430.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" filled="f" stroked="f">
                      <v:textbox style="mso-fit-shape-to-text:t">
                        <w:txbxContent>
                          <w:p w:rsidR="00B50C29" w:rsidRPr="00DF2336" w:rsidRDefault="00B50C29" w:rsidP="00B50C2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MV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=N</m:t>
                                </m:r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∙df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τ,T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+AI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∙df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τ,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</m:e>
                                </m:d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+</m:t>
                                </m:r>
                                <m:nary>
                                  <m:naryPr>
                                    <m:chr m:val="∑"/>
                                    <m:ctrlPr>
                                      <w:rPr>
                                        <w:rFonts w:ascii="Cambria Math" w:eastAsia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k=1;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1</m:t>
                                        </m:r>
                                      </m:sub>
                                    </m:sSub>
                                    <m:r>
                                      <m:rPr>
                                        <m:brk m:alnAt="1"/>
                                      </m:rP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&gt;τ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K</m:t>
                                    </m:r>
                                  </m:sup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FI(τ;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)∙df(τ;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k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)</m:t>
                                    </m:r>
                                  </m:e>
                                </m:nary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Будущие проценты</w:t>
            </w:r>
          </w:p>
          <w:p w:rsidR="00B50C29" w:rsidRDefault="00B50C29" w:rsidP="001845FB">
            <w:pPr>
              <w:spacing w:before="120" w:after="120"/>
            </w:pPr>
          </w:p>
          <w:p w:rsidR="00B50C29" w:rsidRDefault="00B50C29" w:rsidP="001845FB">
            <w:pPr>
              <w:spacing w:before="120" w:after="120"/>
            </w:pPr>
          </w:p>
          <w:p w:rsidR="00B50C29" w:rsidRDefault="00B50C29" w:rsidP="001845FB">
            <w:pPr>
              <w:spacing w:before="120" w:after="120"/>
            </w:pPr>
            <w:r w:rsidRPr="00DF233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932E24" wp14:editId="225DE8C8">
                      <wp:simplePos x="0" y="0"/>
                      <wp:positionH relativeFrom="column">
                        <wp:posOffset>528955</wp:posOffset>
                      </wp:positionH>
                      <wp:positionV relativeFrom="paragraph">
                        <wp:posOffset>45720</wp:posOffset>
                      </wp:positionV>
                      <wp:extent cx="4991100" cy="349250"/>
                      <wp:effectExtent l="0" t="0" r="0" b="0"/>
                      <wp:wrapNone/>
                      <wp:docPr id="2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91100" cy="349250"/>
                              </a:xfrm>
                              <a:prstGeom prst="rect">
                                <a:avLst/>
                              </a:prstGeom>
                            </wps:spPr>
                            <wps:txbx>
                              <w:txbxContent>
                                <w:p w:rsidR="00B50C29" w:rsidRPr="00DF2336" w:rsidRDefault="00B50C29" w:rsidP="00B50C2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  <m:oMathPara>
                                    <m:oMathParaPr>
                                      <m:jc m:val="centerGroup"/>
                                    </m:oMathParaPr>
                                    <m:oMath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MV@default</m:t>
                                      </m:r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τ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 w:cstheme="minorBidi"/>
                                          <w:color w:val="000000" w:themeColor="text1"/>
                                          <w:kern w:val="24"/>
                                          <w:lang w:val="en-US"/>
                                        </w:rPr>
                                        <m:t>=RR∙</m:t>
                                      </m:r>
                                      <m:d>
                                        <m:dPr>
                                          <m:begChr m:val="["/>
                                          <m:endChr m:val="]"/>
                                          <m:ctrlPr>
                                            <w:rPr>
                                              <w:rFonts w:ascii="Cambria Math" w:hAnsi="Cambria Math" w:cstheme="minorBidi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 w:cstheme="minorBidi"/>
                                              <w:color w:val="000000" w:themeColor="text1"/>
                                              <w:kern w:val="24"/>
                                              <w:lang w:val="en-US"/>
                                            </w:rPr>
                                            <m:t>N+AI</m:t>
                                          </m:r>
                                          <m:d>
                                            <m:dPr>
                                              <m:ctrlPr>
                                                <w:rPr>
                                                  <w:rFonts w:ascii="Cambria Math" w:hAnsi="Cambria Math" w:cstheme="minorBidi"/>
                                                  <w:i/>
                                                  <w:iCs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</m:ctrlPr>
                                            </m:dPr>
                                            <m:e>
                                              <m:r>
                                                <w:rPr>
                                                  <w:rFonts w:ascii="Cambria Math" w:hAnsi="Cambria Math" w:cstheme="minorBidi"/>
                                                  <w:color w:val="000000" w:themeColor="text1"/>
                                                  <w:kern w:val="24"/>
                                                  <w:lang w:val="en-US"/>
                                                </w:rPr>
                                                <m:t>τ</m:t>
                                              </m:r>
                                            </m:e>
                                          </m:d>
                                        </m:e>
                                      </m:d>
                                    </m:oMath>
                                  </m:oMathPara>
                                </w:p>
                                <w:p w:rsidR="00B50C29" w:rsidRPr="00DF2336" w:rsidRDefault="00B50C29" w:rsidP="00B50C29">
                                  <w:pPr>
                                    <w:pStyle w:val="NormalWeb"/>
                                    <w:spacing w:before="0" w:beforeAutospacing="0" w:after="0" w:afterAutospacing="0"/>
                                  </w:pPr>
                                </w:p>
                              </w:txbxContent>
                            </wps:txbx>
                            <wps:bodyPr wrap="square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D932E24" id="Rectangle 1" o:spid="_x0000_s1027" style="position:absolute;margin-left:41.65pt;margin-top:3.6pt;width:393pt;height:27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" filled="f" stroked="f">
                      <v:textbox>
                        <w:txbxContent>
                          <w:p w:rsidR="00B50C29" w:rsidRPr="00DF2336" w:rsidRDefault="00B50C29" w:rsidP="00B50C29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MV@default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eastAsia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τ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 w:cstheme="minorBidi"/>
                                    <w:color w:val="000000" w:themeColor="text1"/>
                                    <w:kern w:val="24"/>
                                    <w:lang w:val="en-US"/>
                                  </w:rPr>
                                  <m:t>=RR∙</m:t>
                                </m:r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 w:cstheme="minorBidi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 w:cstheme="minorBidi"/>
                                        <w:color w:val="000000" w:themeColor="text1"/>
                                        <w:kern w:val="24"/>
                                        <w:lang w:val="en-US"/>
                                      </w:rPr>
                                      <m:t>N+AI</m:t>
                                    </m:r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theme="minorBidi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theme="minorBidi"/>
                                            <w:color w:val="000000" w:themeColor="text1"/>
                                            <w:kern w:val="24"/>
                                            <w:lang w:val="en-US"/>
                                          </w:rPr>
                                          <m:t>τ</m:t>
                                        </m:r>
                                      </m:e>
                                    </m:d>
                                  </m:e>
                                </m:d>
                              </m:oMath>
                            </m:oMathPara>
                          </w:p>
                          <w:p w:rsidR="00B50C29" w:rsidRPr="00DF2336" w:rsidRDefault="00B50C29" w:rsidP="00B50C29">
                            <w:pPr>
                              <w:pStyle w:val="NormalWeb"/>
                              <w:spacing w:before="0" w:beforeAutospacing="0" w:after="0" w:afterAutospacing="0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B50C29" w:rsidRDefault="00B50C29" w:rsidP="001845FB">
            <w:pPr>
              <w:spacing w:before="120" w:after="120"/>
            </w:pPr>
          </w:p>
          <w:p w:rsidR="00B50C29" w:rsidRDefault="00B50C29" w:rsidP="001845FB">
            <w:pPr>
              <w:spacing w:before="120" w:after="120"/>
            </w:pPr>
            <w:r>
              <w:t>Где</w:t>
            </w:r>
          </w:p>
          <w:p w:rsidR="00B50C29" w:rsidRPr="00530275" w:rsidRDefault="00B50C29" w:rsidP="001845FB">
            <w:pPr>
              <w:spacing w:before="120" w:after="120"/>
            </w:pP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</m:oMath>
            <w:r>
              <w:rPr>
                <w:iCs/>
                <w:color w:val="000000" w:themeColor="text1"/>
                <w:kern w:val="24"/>
              </w:rPr>
              <w:t xml:space="preserve"> – стоимость сделки в момент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</w:p>
          <w:p w:rsidR="00B50C29" w:rsidRPr="00530275" w:rsidRDefault="00B50C29" w:rsidP="001845FB">
            <w:pPr>
              <w:spacing w:before="120" w:after="120"/>
            </w:pP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@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default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</m:oMath>
            <w:r>
              <w:rPr>
                <w:iCs/>
                <w:color w:val="000000" w:themeColor="text1"/>
                <w:kern w:val="24"/>
              </w:rPr>
              <w:t xml:space="preserve"> – рыночная стоимость сделки в случае дефолта в момент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</w:p>
          <w:p w:rsidR="00B50C29" w:rsidRDefault="00B50C29" w:rsidP="001845FB">
            <w:pPr>
              <w:spacing w:before="120" w:after="120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N</m:t>
              </m:r>
            </m:oMath>
            <w:r>
              <w:rPr>
                <w:iCs/>
                <w:color w:val="000000" w:themeColor="text1"/>
                <w:kern w:val="24"/>
              </w:rPr>
              <w:t xml:space="preserve"> – номинал</w:t>
            </w:r>
          </w:p>
          <w:p w:rsidR="00B50C29" w:rsidRDefault="00B50C29" w:rsidP="001845FB">
            <w:pPr>
              <w:spacing w:before="120" w:after="120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AI</m:t>
              </m:r>
              <m:d>
                <m:d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</m:oMath>
            <w:r>
              <w:rPr>
                <w:iCs/>
                <w:color w:val="000000" w:themeColor="text1"/>
                <w:kern w:val="24"/>
              </w:rPr>
              <w:t xml:space="preserve"> – накопленные проценты в момент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</w:p>
          <w:p w:rsidR="00B50C29" w:rsidRDefault="00B50C29" w:rsidP="001845FB">
            <w:pPr>
              <w:spacing w:before="120" w:after="120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FI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>(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>;</m:t>
              </m:r>
              <m:sSub>
                <m:sSub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</w:rPr>
                <m:t>)</m:t>
              </m:r>
            </m:oMath>
            <w:r>
              <w:rPr>
                <w:iCs/>
                <w:color w:val="000000" w:themeColor="text1"/>
                <w:kern w:val="24"/>
              </w:rPr>
              <w:t xml:space="preserve"> – будущие проценты с датой выплаты в </w:t>
            </w:r>
            <m:oMath>
              <m:sSub>
                <m:sSubPr>
                  <m:ctrlPr>
                    <w:rPr>
                      <w:rFonts w:ascii="Cambria Math" w:eastAsia="Cambria Math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k</m:t>
                  </m:r>
                </m:sub>
              </m:sSub>
            </m:oMath>
          </w:p>
          <w:p w:rsidR="00B50C29" w:rsidRDefault="00B50C29" w:rsidP="001845FB">
            <w:pPr>
              <w:spacing w:before="120" w:after="120"/>
              <w:rPr>
                <w:iCs/>
                <w:color w:val="000000" w:themeColor="text1"/>
                <w:kern w:val="24"/>
              </w:rPr>
            </w:pPr>
            <m:oMath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RR</m:t>
              </m:r>
            </m:oMath>
            <w:r>
              <w:rPr>
                <w:iCs/>
                <w:color w:val="000000" w:themeColor="text1"/>
                <w:kern w:val="24"/>
              </w:rPr>
              <w:t xml:space="preserve"> – величина возмещения</w:t>
            </w:r>
          </w:p>
          <w:p w:rsidR="00B50C29" w:rsidRPr="00276445" w:rsidRDefault="00B50C29" w:rsidP="001845FB">
            <w:pPr>
              <w:spacing w:before="120" w:after="120"/>
              <w:rPr>
                <w:iCs/>
                <w:color w:val="000000" w:themeColor="text1"/>
                <w:kern w:val="24"/>
              </w:rPr>
            </w:pPr>
          </w:p>
          <w:p w:rsidR="00B50C29" w:rsidRDefault="00B50C29" w:rsidP="001845FB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w:r>
              <w:rPr>
                <w:iCs/>
                <w:color w:val="000000" w:themeColor="text1"/>
                <w:kern w:val="24"/>
              </w:rPr>
              <w:t>Тогда,</w:t>
            </w:r>
          </w:p>
          <w:p w:rsidR="00B50C29" w:rsidRPr="001E1E37" w:rsidRDefault="00B50C29" w:rsidP="00B50C29">
            <w:pPr>
              <w:pStyle w:val="ListParagraph"/>
              <w:numPr>
                <w:ilvl w:val="0"/>
                <w:numId w:val="2"/>
              </w:numPr>
              <w:spacing w:before="120" w:after="120"/>
              <w:contextualSpacing/>
              <w:jc w:val="both"/>
              <w:rPr>
                <w:iCs/>
                <w:color w:val="000000" w:themeColor="text1"/>
                <w:kern w:val="24"/>
              </w:rPr>
            </w:pPr>
            <w:r>
              <w:rPr>
                <w:iCs/>
                <w:color w:val="000000" w:themeColor="text1"/>
                <w:kern w:val="24"/>
              </w:rPr>
              <w:t>Для полученного депозита</w:t>
            </w:r>
            <w:r>
              <w:rPr>
                <w:iCs/>
                <w:color w:val="000000" w:themeColor="text1"/>
                <w:kern w:val="24"/>
                <w:lang w:val="en-US"/>
              </w:rPr>
              <w:t>:</w:t>
            </w:r>
          </w:p>
          <w:p w:rsidR="00B50C29" w:rsidRPr="00E70FC9" w:rsidRDefault="00B50C29" w:rsidP="001845FB">
            <w:pPr>
              <w:pStyle w:val="ListParagraph"/>
              <w:spacing w:before="120" w:after="120"/>
              <w:ind w:left="0"/>
              <w:jc w:val="both"/>
              <w:rPr>
                <w:iCs/>
                <w:color w:val="000000" w:themeColor="text1"/>
                <w:kern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EPE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</m:t>
                </m:r>
              </m:oMath>
            </m:oMathPara>
          </w:p>
          <w:p w:rsidR="00B50C29" w:rsidRDefault="00B50C29" w:rsidP="001845FB">
            <w:pPr>
              <w:autoSpaceDE w:val="0"/>
              <w:autoSpaceDN w:val="0"/>
              <w:spacing w:before="120" w:after="120"/>
              <w:jc w:val="both"/>
            </w:pPr>
            <m:oMath>
              <m:r>
                <w:rPr>
                  <w:rFonts w:ascii="Cambria Math" w:hAnsi="Cambria Math"/>
                  <w:lang w:val="en-US"/>
                </w:rPr>
                <m:t>ENE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MV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-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MV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@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default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  <m:r>
                <w:rPr>
                  <w:rStyle w:val="FootnoteReference"/>
                  <w:rFonts w:ascii="Cambria Math" w:hAnsi="Cambria Math"/>
                  <w:i/>
                </w:rPr>
                <w:footnoteReference w:id="1"/>
              </m:r>
            </m:oMath>
            <w:r>
              <w:t xml:space="preserve"> – отрицательная ожидаемая по</w:t>
            </w:r>
            <w:r w:rsidRPr="00A37160">
              <w:t>дверженность риску</w:t>
            </w:r>
            <w:r>
              <w:t xml:space="preserve"> в момент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  <w:r w:rsidRPr="00A37160">
              <w:t>,</w:t>
            </w:r>
            <m:oMath>
              <m:r>
                <w:rPr>
                  <w:rFonts w:ascii="Cambria Math" w:hAnsi="Cambria Math"/>
                </w:rPr>
                <m:t xml:space="preserve"> </m:t>
              </m:r>
            </m:oMath>
            <w:r>
              <w:t xml:space="preserve">где в качестве </w:t>
            </w:r>
            <m:oMath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RR</m:t>
              </m:r>
            </m:oMath>
            <w:r>
              <w:rPr>
                <w:i/>
              </w:rPr>
              <w:t xml:space="preserve"> </w:t>
            </w:r>
            <w:r w:rsidRPr="009E4163">
              <w:t>используется</w:t>
            </w:r>
            <w:r>
              <w:rPr>
                <w:i/>
              </w:rPr>
              <w:t xml:space="preserve"> </w:t>
            </w:r>
            <w:r w:rsidRPr="00A37160">
              <w:t xml:space="preserve">величина возмещения </w:t>
            </w:r>
            <w:proofErr w:type="spellStart"/>
            <w:r w:rsidRPr="00A37160">
              <w:t>recovery</w:t>
            </w:r>
            <w:proofErr w:type="spellEnd"/>
            <w:r w:rsidRPr="00A37160">
              <w:t xml:space="preserve"> </w:t>
            </w:r>
            <w:r w:rsidRPr="00A37160">
              <w:rPr>
                <w:lang w:val="en-US"/>
              </w:rPr>
              <w:t>rate</w:t>
            </w:r>
            <w:r w:rsidRPr="00A37160">
              <w:t xml:space="preserve"> </w:t>
            </w:r>
            <w:r>
              <w:t xml:space="preserve">Банка, и </w:t>
            </w: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 xml:space="preserve">, 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@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default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</m:oMath>
            <w:r w:rsidRPr="00A37160">
              <w:t xml:space="preserve">– </w:t>
            </w:r>
            <w:r>
              <w:t>это стоимости сделки со стороны контрагента</w:t>
            </w:r>
          </w:p>
          <w:p w:rsidR="00B50C29" w:rsidRPr="009E4163" w:rsidRDefault="00B50C29" w:rsidP="00B50C29">
            <w:pPr>
              <w:pStyle w:val="ListParagraph"/>
              <w:numPr>
                <w:ilvl w:val="0"/>
                <w:numId w:val="2"/>
              </w:numPr>
              <w:autoSpaceDE w:val="0"/>
              <w:autoSpaceDN w:val="0"/>
              <w:spacing w:before="120" w:after="120"/>
              <w:contextualSpacing/>
              <w:jc w:val="both"/>
            </w:pPr>
            <w:r>
              <w:t>Для выданного кредита</w:t>
            </w:r>
            <w:r>
              <w:rPr>
                <w:lang w:val="en-US"/>
              </w:rPr>
              <w:t>:</w:t>
            </w:r>
          </w:p>
          <w:p w:rsidR="00B50C29" w:rsidRPr="009D397D" w:rsidRDefault="00B50C29" w:rsidP="001845FB">
            <w:pPr>
              <w:autoSpaceDE w:val="0"/>
              <w:autoSpaceDN w:val="0"/>
              <w:spacing w:before="120" w:after="120"/>
              <w:jc w:val="both"/>
            </w:pPr>
            <m:oMath>
              <m:r>
                <w:rPr>
                  <w:rFonts w:ascii="Cambria Math" w:hAnsi="Cambria Math"/>
                  <w:lang w:val="en-US"/>
                </w:rPr>
                <m:t>EPE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  <m:r>
                <w:rPr>
                  <w:rFonts w:ascii="Cambria Math" w:hAnsi="Cambria Math"/>
                </w:rPr>
                <m:t>=</m:t>
              </m:r>
              <m:func>
                <m:funcPr>
                  <m:ctrlPr>
                    <w:rPr>
                      <w:rFonts w:ascii="Cambria Math" w:hAnsi="Cambria Math"/>
                      <w:lang w:val="en-US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Q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(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max</m:t>
                  </m:r>
                </m:fName>
                <m:e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MV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eastAsiaTheme="minorEastAsia" w:hAnsi="Cambria Math" w:cstheme="minorBidi"/>
                          <w:color w:val="000000" w:themeColor="text1"/>
                          <w:kern w:val="24"/>
                        </w:rPr>
                        <m:t>-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MV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</w:rPr>
                        <m:t>@</m:t>
                      </m:r>
                      <m:r>
                        <w:rPr>
                          <w:rFonts w:ascii="Cambria Math" w:hAnsi="Cambria Math" w:cstheme="minorBidi"/>
                          <w:color w:val="000000" w:themeColor="text1"/>
                          <w:kern w:val="24"/>
                          <w:lang w:val="en-US"/>
                        </w:rPr>
                        <m:t>default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 w:cstheme="minorBidi"/>
                              <w:i/>
                              <w:iCs/>
                              <w:color w:val="000000" w:themeColor="text1"/>
                              <w:kern w:val="24"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theme="minorBidi"/>
                              <w:color w:val="000000" w:themeColor="text1"/>
                              <w:kern w:val="24"/>
                              <w:lang w:val="en-US"/>
                            </w:rPr>
                            <m:t>τ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,0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)</m:t>
              </m:r>
            </m:oMath>
            <w:r w:rsidRPr="00A37160">
              <w:t xml:space="preserve"> – положительная ожидаемая подверженность </w:t>
            </w:r>
            <w:r>
              <w:t>р</w:t>
            </w:r>
            <w:r w:rsidRPr="00A37160">
              <w:t>иску</w:t>
            </w:r>
            <w:r>
              <w:t xml:space="preserve"> в момент </w:t>
            </w:r>
            <m:oMath>
              <m:r>
                <w:rPr>
                  <w:rFonts w:ascii="Cambria Math" w:eastAsia="Cambria Math" w:hAnsi="Cambria Math" w:cstheme="minorBidi"/>
                  <w:color w:val="000000" w:themeColor="text1"/>
                  <w:kern w:val="24"/>
                  <w:lang w:val="en-US"/>
                </w:rPr>
                <m:t>τ</m:t>
              </m:r>
            </m:oMath>
            <w:r w:rsidRPr="00A37160">
              <w:t>,</w:t>
            </w:r>
            <w:r>
              <w:t xml:space="preserve"> где в качестве </w:t>
            </w:r>
            <m:oMath>
              <m:r>
                <w:rPr>
                  <w:rFonts w:ascii="Cambria Math" w:hAnsi="Cambria Math"/>
                  <w:color w:val="000000" w:themeColor="text1"/>
                  <w:kern w:val="24"/>
                  <w:lang w:val="en-US"/>
                </w:rPr>
                <m:t>RR</m:t>
              </m:r>
            </m:oMath>
            <w:r>
              <w:rPr>
                <w:i/>
              </w:rPr>
              <w:t xml:space="preserve"> </w:t>
            </w:r>
            <w:r w:rsidRPr="009E4163">
              <w:t>используется</w:t>
            </w:r>
            <w:r>
              <w:rPr>
                <w:i/>
              </w:rPr>
              <w:t xml:space="preserve"> </w:t>
            </w:r>
            <w:r w:rsidRPr="00A37160">
              <w:t xml:space="preserve">величина возмещения </w:t>
            </w:r>
            <w:proofErr w:type="spellStart"/>
            <w:r w:rsidRPr="00A37160">
              <w:t>recovery</w:t>
            </w:r>
            <w:proofErr w:type="spellEnd"/>
            <w:r w:rsidRPr="00A37160">
              <w:t xml:space="preserve"> </w:t>
            </w:r>
            <w:r w:rsidRPr="00A37160">
              <w:rPr>
                <w:lang w:val="en-US"/>
              </w:rPr>
              <w:t>rate</w:t>
            </w:r>
            <w:r>
              <w:t xml:space="preserve"> контрагента, и </w:t>
            </w:r>
            <m:oMath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 xml:space="preserve">, 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MV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</w:rPr>
                <m:t>@</m:t>
              </m:r>
              <m:r>
                <w:rPr>
                  <w:rFonts w:ascii="Cambria Math" w:hAnsi="Cambria Math" w:cstheme="minorBidi"/>
                  <w:color w:val="000000" w:themeColor="text1"/>
                  <w:kern w:val="24"/>
                  <w:lang w:val="en-US"/>
                </w:rPr>
                <m:t>default</m:t>
              </m:r>
              <m:d>
                <m:dPr>
                  <m:ctrlPr>
                    <w:rPr>
                      <w:rFonts w:ascii="Cambria Math" w:eastAsiaTheme="minorEastAsia" w:hAnsi="Cambria Math" w:cstheme="minorBidi"/>
                      <w:i/>
                      <w:iCs/>
                      <w:color w:val="000000" w:themeColor="text1"/>
                      <w:kern w:val="24"/>
                      <w:lang w:val="en-US"/>
                    </w:rPr>
                  </m:ctrlPr>
                </m:dPr>
                <m:e>
                  <m:r>
                    <w:rPr>
                      <w:rFonts w:ascii="Cambria Math" w:eastAsia="Cambria Math" w:hAnsi="Cambria Math" w:cstheme="minorBidi"/>
                      <w:color w:val="000000" w:themeColor="text1"/>
                      <w:kern w:val="24"/>
                      <w:lang w:val="en-US"/>
                    </w:rPr>
                    <m:t>τ</m:t>
                  </m:r>
                </m:e>
              </m:d>
            </m:oMath>
            <w:r w:rsidRPr="00A37160">
              <w:t xml:space="preserve">– </w:t>
            </w:r>
            <w:r>
              <w:t>это стоимости сделки со стороны Банка</w:t>
            </w:r>
          </w:p>
          <w:p w:rsidR="00B50C29" w:rsidRPr="001E1E37" w:rsidRDefault="00B50C29" w:rsidP="001845FB">
            <w:pPr>
              <w:autoSpaceDE w:val="0"/>
              <w:autoSpaceDN w:val="0"/>
              <w:spacing w:before="120" w:after="120"/>
              <w:jc w:val="both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ENE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Bidi"/>
                        <w:color w:val="000000" w:themeColor="text1"/>
                        <w:kern w:val="24"/>
                        <w:lang w:val="en-US"/>
                      </w:rPr>
                      <m:t>τ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oMath>
            </m:oMathPara>
          </w:p>
          <w:p w:rsidR="00B50C29" w:rsidRDefault="00B50C29" w:rsidP="001845FB">
            <w:pPr>
              <w:spacing w:before="120" w:after="120"/>
              <w:jc w:val="both"/>
              <w:rPr>
                <w:iCs/>
                <w:color w:val="000000" w:themeColor="text1"/>
                <w:kern w:val="24"/>
              </w:rPr>
            </w:pPr>
            <w:r>
              <w:rPr>
                <w:iCs/>
                <w:color w:val="000000" w:themeColor="text1"/>
                <w:kern w:val="24"/>
              </w:rPr>
              <w:lastRenderedPageBreak/>
              <w:t xml:space="preserve">Таким образом для МБК сделок показатели </w:t>
            </w:r>
            <w:r>
              <w:rPr>
                <w:iCs/>
                <w:color w:val="000000" w:themeColor="text1"/>
                <w:kern w:val="24"/>
                <w:lang w:val="en-US"/>
              </w:rPr>
              <w:t>Expected</w:t>
            </w:r>
            <w:r w:rsidRPr="00F140B5">
              <w:rPr>
                <w:iCs/>
                <w:color w:val="000000" w:themeColor="text1"/>
                <w:kern w:val="24"/>
              </w:rPr>
              <w:t xml:space="preserve"> </w:t>
            </w:r>
            <w:r>
              <w:rPr>
                <w:iCs/>
                <w:color w:val="000000" w:themeColor="text1"/>
                <w:kern w:val="24"/>
                <w:lang w:val="en-US"/>
              </w:rPr>
              <w:t>Positive</w:t>
            </w:r>
            <w:r w:rsidRPr="00F140B5">
              <w:rPr>
                <w:iCs/>
                <w:color w:val="000000" w:themeColor="text1"/>
                <w:kern w:val="24"/>
              </w:rPr>
              <w:t xml:space="preserve"> </w:t>
            </w:r>
            <w:r>
              <w:rPr>
                <w:iCs/>
                <w:color w:val="000000" w:themeColor="text1"/>
                <w:kern w:val="24"/>
                <w:lang w:val="en-US"/>
              </w:rPr>
              <w:t>Exposure</w:t>
            </w:r>
            <w:r w:rsidRPr="00F140B5">
              <w:rPr>
                <w:iCs/>
                <w:color w:val="000000" w:themeColor="text1"/>
                <w:kern w:val="24"/>
              </w:rPr>
              <w:t xml:space="preserve"> (</w:t>
            </w:r>
            <w:r>
              <w:rPr>
                <w:iCs/>
                <w:color w:val="000000" w:themeColor="text1"/>
                <w:kern w:val="24"/>
                <w:lang w:val="en-US"/>
              </w:rPr>
              <w:t>EPE</w:t>
            </w:r>
            <w:r w:rsidRPr="00F140B5">
              <w:rPr>
                <w:iCs/>
                <w:color w:val="000000" w:themeColor="text1"/>
                <w:kern w:val="24"/>
              </w:rPr>
              <w:t xml:space="preserve">) </w:t>
            </w:r>
            <w:r>
              <w:rPr>
                <w:iCs/>
                <w:color w:val="000000" w:themeColor="text1"/>
                <w:kern w:val="24"/>
              </w:rPr>
              <w:t xml:space="preserve">и </w:t>
            </w:r>
            <w:r>
              <w:rPr>
                <w:iCs/>
                <w:color w:val="000000" w:themeColor="text1"/>
                <w:kern w:val="24"/>
                <w:lang w:val="en-US"/>
              </w:rPr>
              <w:t>Expected</w:t>
            </w:r>
            <w:r w:rsidRPr="00F140B5">
              <w:rPr>
                <w:iCs/>
                <w:color w:val="000000" w:themeColor="text1"/>
                <w:kern w:val="24"/>
              </w:rPr>
              <w:t xml:space="preserve"> </w:t>
            </w:r>
            <w:r>
              <w:rPr>
                <w:iCs/>
                <w:color w:val="000000" w:themeColor="text1"/>
                <w:kern w:val="24"/>
                <w:lang w:val="en-US"/>
              </w:rPr>
              <w:t>Negative</w:t>
            </w:r>
            <w:r w:rsidRPr="00F140B5">
              <w:rPr>
                <w:iCs/>
                <w:color w:val="000000" w:themeColor="text1"/>
                <w:kern w:val="24"/>
              </w:rPr>
              <w:t xml:space="preserve"> </w:t>
            </w:r>
            <w:r>
              <w:rPr>
                <w:iCs/>
                <w:color w:val="000000" w:themeColor="text1"/>
                <w:kern w:val="24"/>
                <w:lang w:val="en-US"/>
              </w:rPr>
              <w:t>Exposure</w:t>
            </w:r>
            <w:r>
              <w:rPr>
                <w:iCs/>
                <w:color w:val="000000" w:themeColor="text1"/>
                <w:kern w:val="24"/>
              </w:rPr>
              <w:t xml:space="preserve"> </w:t>
            </w:r>
            <w:r w:rsidRPr="00F140B5">
              <w:rPr>
                <w:iCs/>
                <w:color w:val="000000" w:themeColor="text1"/>
                <w:kern w:val="24"/>
              </w:rPr>
              <w:t>(</w:t>
            </w:r>
            <w:r>
              <w:rPr>
                <w:iCs/>
                <w:color w:val="000000" w:themeColor="text1"/>
                <w:kern w:val="24"/>
                <w:lang w:val="en-US"/>
              </w:rPr>
              <w:t>ENE</w:t>
            </w:r>
            <w:r w:rsidRPr="00F140B5">
              <w:rPr>
                <w:iCs/>
                <w:color w:val="000000" w:themeColor="text1"/>
                <w:kern w:val="24"/>
              </w:rPr>
              <w:t>)</w:t>
            </w:r>
            <w:r>
              <w:rPr>
                <w:iCs/>
                <w:color w:val="000000" w:themeColor="text1"/>
                <w:kern w:val="24"/>
              </w:rPr>
              <w:t xml:space="preserve"> уже</w:t>
            </w:r>
            <w:r w:rsidRPr="00276445">
              <w:rPr>
                <w:iCs/>
                <w:color w:val="000000" w:themeColor="text1"/>
                <w:kern w:val="24"/>
              </w:rPr>
              <w:t xml:space="preserve"> </w:t>
            </w:r>
            <w:r>
              <w:rPr>
                <w:iCs/>
                <w:color w:val="000000" w:themeColor="text1"/>
                <w:kern w:val="24"/>
              </w:rPr>
              <w:t xml:space="preserve">учитывают </w:t>
            </w:r>
            <w:r>
              <w:rPr>
                <w:iCs/>
                <w:color w:val="000000" w:themeColor="text1"/>
                <w:kern w:val="24"/>
                <w:lang w:val="en-US"/>
              </w:rPr>
              <w:t>RR</w:t>
            </w:r>
            <w:r>
              <w:rPr>
                <w:iCs/>
                <w:color w:val="000000" w:themeColor="text1"/>
                <w:kern w:val="24"/>
              </w:rPr>
              <w:t xml:space="preserve">. В связи с этим </w:t>
            </w:r>
            <w:r>
              <w:rPr>
                <w:iCs/>
                <w:color w:val="000000" w:themeColor="text1"/>
                <w:kern w:val="24"/>
                <w:lang w:val="en-US"/>
              </w:rPr>
              <w:t>CVA</w:t>
            </w:r>
            <w:r w:rsidRPr="00F140B5">
              <w:rPr>
                <w:iCs/>
                <w:color w:val="000000" w:themeColor="text1"/>
                <w:kern w:val="24"/>
              </w:rPr>
              <w:t xml:space="preserve"> </w:t>
            </w:r>
            <w:r>
              <w:rPr>
                <w:iCs/>
                <w:color w:val="000000" w:themeColor="text1"/>
                <w:kern w:val="24"/>
              </w:rPr>
              <w:t xml:space="preserve">и </w:t>
            </w:r>
            <w:r>
              <w:rPr>
                <w:iCs/>
                <w:color w:val="000000" w:themeColor="text1"/>
                <w:kern w:val="24"/>
                <w:lang w:val="en-US"/>
              </w:rPr>
              <w:t>DVA</w:t>
            </w:r>
            <w:r w:rsidRPr="00F140B5">
              <w:rPr>
                <w:iCs/>
                <w:color w:val="000000" w:themeColor="text1"/>
                <w:kern w:val="24"/>
              </w:rPr>
              <w:t xml:space="preserve"> </w:t>
            </w:r>
            <w:r>
              <w:rPr>
                <w:iCs/>
                <w:color w:val="000000" w:themeColor="text1"/>
                <w:kern w:val="24"/>
              </w:rPr>
              <w:t>для МБК будут рассчитываться по следующим формула</w:t>
            </w:r>
            <w:r w:rsidRPr="00F140B5">
              <w:rPr>
                <w:iCs/>
                <w:color w:val="000000" w:themeColor="text1"/>
                <w:kern w:val="24"/>
              </w:rPr>
              <w:t>м:</w:t>
            </w:r>
          </w:p>
          <w:tbl>
            <w:tblPr>
              <w:tblW w:w="0" w:type="auto"/>
              <w:tblLook w:val="04A0" w:firstRow="1" w:lastRow="0" w:firstColumn="1" w:lastColumn="0" w:noHBand="0" w:noVBand="1"/>
            </w:tblPr>
            <w:tblGrid>
              <w:gridCol w:w="8434"/>
              <w:gridCol w:w="705"/>
            </w:tblGrid>
            <w:tr w:rsidR="00B50C29" w:rsidRPr="00A37160" w:rsidTr="001845FB">
              <w:trPr>
                <w:trHeight w:val="170"/>
              </w:trPr>
              <w:tc>
                <w:tcPr>
                  <w:tcW w:w="8472" w:type="dxa"/>
                  <w:tcBorders>
                    <w:bottom w:val="single" w:sz="4" w:space="0" w:color="FFFFFF" w:themeColor="background1"/>
                  </w:tcBorders>
                </w:tcPr>
                <w:p w:rsidR="00B50C29" w:rsidRPr="00A37160" w:rsidRDefault="00B50C29" w:rsidP="001845FB">
                  <w:pPr>
                    <w:ind w:left="3402" w:firstLine="3402"/>
                    <w:jc w:val="both"/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CVA=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epe(t)p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708" w:type="dxa"/>
                  <w:tcBorders>
                    <w:bottom w:val="single" w:sz="4" w:space="0" w:color="FFFFFF" w:themeColor="background1"/>
                  </w:tcBorders>
                  <w:vAlign w:val="center"/>
                </w:tcPr>
                <w:p w:rsidR="00B50C29" w:rsidRPr="00A37160" w:rsidRDefault="00B50C29" w:rsidP="001845FB">
                  <w:pPr>
                    <w:jc w:val="both"/>
                    <w:rPr>
                      <w:rFonts w:eastAsiaTheme="minorEastAsia"/>
                    </w:rPr>
                  </w:pPr>
                </w:p>
              </w:tc>
            </w:tr>
            <w:tr w:rsidR="00B50C29" w:rsidRPr="00A37160" w:rsidTr="001845FB">
              <w:trPr>
                <w:trHeight w:val="170"/>
              </w:trPr>
              <w:tc>
                <w:tcPr>
                  <w:tcW w:w="8472" w:type="dxa"/>
                  <w:tcBorders>
                    <w:bottom w:val="single" w:sz="4" w:space="0" w:color="FFFFFF" w:themeColor="background1"/>
                  </w:tcBorders>
                </w:tcPr>
                <w:p w:rsidR="00B50C29" w:rsidRPr="00A37160" w:rsidRDefault="00B50C29" w:rsidP="001845FB">
                  <w:pPr>
                    <w:jc w:val="both"/>
                  </w:pPr>
                </w:p>
              </w:tc>
              <w:tc>
                <w:tcPr>
                  <w:tcW w:w="708" w:type="dxa"/>
                  <w:tcBorders>
                    <w:bottom w:val="single" w:sz="4" w:space="0" w:color="FFFFFF" w:themeColor="background1"/>
                  </w:tcBorders>
                  <w:vAlign w:val="center"/>
                </w:tcPr>
                <w:p w:rsidR="00B50C29" w:rsidRPr="00A37160" w:rsidRDefault="00B50C29" w:rsidP="001845FB">
                  <w:pPr>
                    <w:jc w:val="both"/>
                    <w:rPr>
                      <w:rFonts w:eastAsiaTheme="minorEastAsia"/>
                    </w:rPr>
                  </w:pPr>
                </w:p>
              </w:tc>
            </w:tr>
            <w:tr w:rsidR="00B50C29" w:rsidRPr="00A37160" w:rsidTr="001845FB">
              <w:trPr>
                <w:trHeight w:val="170"/>
              </w:trPr>
              <w:tc>
                <w:tcPr>
                  <w:tcW w:w="8472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B50C29" w:rsidRPr="00A37160" w:rsidRDefault="00B50C29" w:rsidP="001845FB">
                  <w:pPr>
                    <w:ind w:left="3402" w:firstLine="3402"/>
                    <w:jc w:val="both"/>
                    <w:rPr>
                      <w:rFonts w:eastAsiaTheme="minorEastAsia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w:rPr>
                          <w:rFonts w:ascii="Cambria Math" w:hAnsi="Cambria Math"/>
                          <w:lang w:val="en-US"/>
                        </w:rPr>
                        <m:t>DVA=</m:t>
                      </m:r>
                      <m:nary>
                        <m:naryPr>
                          <m:limLoc m:val="undOvr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ene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b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dt</m:t>
                          </m:r>
                        </m:e>
                      </m:nary>
                    </m:oMath>
                  </m:oMathPara>
                </w:p>
              </w:tc>
              <w:tc>
                <w:tcPr>
                  <w:tcW w:w="708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:rsidR="00B50C29" w:rsidRPr="00A37160" w:rsidRDefault="00B50C29" w:rsidP="001845FB">
                  <w:pPr>
                    <w:jc w:val="both"/>
                    <w:rPr>
                      <w:rFonts w:eastAsiaTheme="minorEastAsia"/>
                    </w:rPr>
                  </w:pPr>
                </w:p>
              </w:tc>
            </w:tr>
          </w:tbl>
          <w:p w:rsidR="00B50C29" w:rsidRPr="00A37160" w:rsidRDefault="00B50C29" w:rsidP="001845FB">
            <w:pPr>
              <w:spacing w:after="120"/>
              <w:jc w:val="both"/>
            </w:pPr>
            <w:r w:rsidRPr="00A37160">
              <w:t>где</w:t>
            </w:r>
          </w:p>
          <w:p w:rsidR="00B50C29" w:rsidRPr="00A37160" w:rsidRDefault="00B50C29" w:rsidP="001845FB">
            <w:pPr>
              <w:autoSpaceDE w:val="0"/>
              <w:autoSpaceDN w:val="0"/>
              <w:spacing w:before="120" w:after="120"/>
              <w:jc w:val="both"/>
            </w:pPr>
            <m:oMath>
              <m:r>
                <w:rPr>
                  <w:rFonts w:ascii="Cambria Math" w:hAnsi="Cambria Math"/>
                  <w:lang w:val="en-US"/>
                </w:rPr>
                <m:t>epe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Pr="00A37160">
              <w:t xml:space="preserve"> – дисконтированное к текущему (нулевому) моменту времени значение </w:t>
            </w:r>
            <m:oMath>
              <m:r>
                <w:rPr>
                  <w:rFonts w:ascii="Cambria Math" w:hAnsi="Cambria Math"/>
                  <w:lang w:val="en-US"/>
                </w:rPr>
                <m:t>EPE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Pr="00A37160">
              <w:t>,</w:t>
            </w:r>
          </w:p>
          <w:p w:rsidR="00B50C29" w:rsidRPr="00F140B5" w:rsidRDefault="00B50C29" w:rsidP="001845FB">
            <w:pPr>
              <w:autoSpaceDE w:val="0"/>
              <w:autoSpaceDN w:val="0"/>
              <w:spacing w:before="120" w:after="120"/>
              <w:jc w:val="both"/>
            </w:pPr>
            <m:oMath>
              <m:r>
                <w:rPr>
                  <w:rFonts w:ascii="Cambria Math" w:hAnsi="Cambria Math"/>
                  <w:lang w:val="en-US"/>
                </w:rPr>
                <m:t>ene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Pr="00A37160">
              <w:t xml:space="preserve"> – дисконтированное к текущему (нулевому) моменту времени значение </w:t>
            </w:r>
            <m:oMath>
              <m:r>
                <w:rPr>
                  <w:rFonts w:ascii="Cambria Math" w:hAnsi="Cambria Math"/>
                  <w:lang w:val="en-US"/>
                </w:rPr>
                <m:t>ENE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</m:d>
            </m:oMath>
            <w:r w:rsidRPr="00A37160">
              <w:t>.</w:t>
            </w:r>
          </w:p>
          <w:p w:rsidR="00B50C29" w:rsidRPr="00A37160" w:rsidRDefault="00B50C29" w:rsidP="001845FB">
            <w:pPr>
              <w:spacing w:after="120"/>
              <w:jc w:val="both"/>
            </w:pPr>
            <w:r w:rsidRPr="00A37160">
              <w:rPr>
                <w:i/>
                <w:lang w:val="en-US"/>
              </w:rPr>
              <w:t>p</w:t>
            </w:r>
            <w:r w:rsidRPr="00A37160">
              <w:rPr>
                <w:i/>
              </w:rPr>
              <w:t>(</w:t>
            </w:r>
            <w:r w:rsidRPr="00A37160">
              <w:rPr>
                <w:i/>
                <w:lang w:val="en-US"/>
              </w:rPr>
              <w:t>t</w:t>
            </w:r>
            <w:r w:rsidRPr="00A37160">
              <w:rPr>
                <w:i/>
              </w:rPr>
              <w:t xml:space="preserve">) – </w:t>
            </w:r>
            <w:r w:rsidRPr="00A37160">
              <w:t>функция плотности распределения вероятности дефолта контрагента,</w:t>
            </w:r>
          </w:p>
          <w:p w:rsidR="00B50C29" w:rsidRPr="00A37160" w:rsidRDefault="00D66504" w:rsidP="001845FB">
            <w:pPr>
              <w:spacing w:after="120"/>
              <w:jc w:val="both"/>
              <w:rPr>
                <w:i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sub>
              </m:sSub>
            </m:oMath>
            <w:r w:rsidR="00B50C29" w:rsidRPr="00A37160">
              <w:rPr>
                <w:i/>
              </w:rPr>
              <w:t>(</w:t>
            </w:r>
            <w:r w:rsidR="00B50C29" w:rsidRPr="00A37160">
              <w:rPr>
                <w:i/>
                <w:lang w:val="en-US"/>
              </w:rPr>
              <w:t>t</w:t>
            </w:r>
            <w:r w:rsidR="00B50C29" w:rsidRPr="00A37160">
              <w:rPr>
                <w:i/>
              </w:rPr>
              <w:t xml:space="preserve">) – </w:t>
            </w:r>
            <w:r w:rsidR="00B50C29" w:rsidRPr="00A37160">
              <w:t xml:space="preserve">функция плотности распределения вероятности </w:t>
            </w:r>
            <w:bookmarkStart w:id="2" w:name="_GoBack"/>
            <w:bookmarkEnd w:id="2"/>
            <w:r w:rsidR="00B50C29" w:rsidRPr="00A37160">
              <w:t>дефолта Банка,</w:t>
            </w:r>
          </w:p>
          <w:p w:rsidR="00B50C29" w:rsidRPr="00530275" w:rsidRDefault="00B50C29" w:rsidP="001845FB">
            <w:pPr>
              <w:spacing w:before="120" w:after="120"/>
            </w:pPr>
            <w:r w:rsidRPr="00A37160">
              <w:rPr>
                <w:rFonts w:ascii="Cambria Math" w:hAnsi="Cambria Math"/>
                <w:i/>
                <w:lang w:val="en-US"/>
              </w:rPr>
              <w:t>T</w:t>
            </w:r>
            <w:r w:rsidRPr="00A37160">
              <w:rPr>
                <w:rFonts w:ascii="Cambria Math" w:hAnsi="Cambria Math"/>
                <w:i/>
              </w:rPr>
              <w:t xml:space="preserve"> – </w:t>
            </w:r>
            <w:r w:rsidRPr="00A37160">
              <w:t>время окончания контракта (</w:t>
            </w:r>
            <w:proofErr w:type="spellStart"/>
            <w:r w:rsidRPr="00A37160">
              <w:t>maturity</w:t>
            </w:r>
            <w:proofErr w:type="spellEnd"/>
            <w:r w:rsidRPr="00A37160">
              <w:t>)</w:t>
            </w:r>
            <w:r>
              <w:rPr>
                <w:rStyle w:val="FootnoteReference"/>
              </w:rPr>
              <w:footnoteReference w:id="2"/>
            </w:r>
            <w:r w:rsidRPr="00A37160">
              <w:t>.</w:t>
            </w:r>
          </w:p>
        </w:tc>
      </w:tr>
      <w:tr w:rsidR="00B50C29" w:rsidRPr="00A37160" w:rsidTr="001845FB">
        <w:tc>
          <w:tcPr>
            <w:tcW w:w="9571" w:type="dxa"/>
            <w:shd w:val="clear" w:color="auto" w:fill="A6A6A6" w:themeFill="background1" w:themeFillShade="A6"/>
            <w:vAlign w:val="center"/>
          </w:tcPr>
          <w:p w:rsidR="00B50C29" w:rsidRPr="008B19C0" w:rsidRDefault="00B50C29" w:rsidP="001845FB">
            <w:r w:rsidRPr="00A37160">
              <w:rPr>
                <w:b/>
              </w:rPr>
              <w:lastRenderedPageBreak/>
              <w:t xml:space="preserve">Описание </w:t>
            </w:r>
            <w:r>
              <w:rPr>
                <w:b/>
              </w:rPr>
              <w:t>верифицирующих</w:t>
            </w:r>
            <w:r w:rsidRPr="00A37160">
              <w:rPr>
                <w:b/>
              </w:rPr>
              <w:t xml:space="preserve"> тестов для </w:t>
            </w:r>
            <w:r w:rsidRPr="00A37160" w:rsidDel="00BF5349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EPE</w:t>
            </w:r>
            <w:r w:rsidRPr="00084359">
              <w:rPr>
                <w:b/>
              </w:rPr>
              <w:t xml:space="preserve">, </w:t>
            </w:r>
            <w:r>
              <w:rPr>
                <w:b/>
                <w:lang w:val="en-US"/>
              </w:rPr>
              <w:t>ENE</w:t>
            </w:r>
            <w:r w:rsidRPr="00084359">
              <w:rPr>
                <w:b/>
              </w:rPr>
              <w:t xml:space="preserve">  </w:t>
            </w:r>
          </w:p>
        </w:tc>
      </w:tr>
    </w:tbl>
    <w:p w:rsidR="00B50C29" w:rsidRDefault="00B50C29" w:rsidP="00B50C29">
      <w:pPr>
        <w:spacing w:before="120" w:after="120"/>
      </w:pPr>
      <w:r>
        <w:t>Не применимо</w:t>
      </w:r>
    </w:p>
    <w:p w:rsidR="00B50C29" w:rsidRPr="00FD7997" w:rsidRDefault="00B50C29" w:rsidP="00B50C29">
      <w:pPr>
        <w:spacing w:before="120" w:after="12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5"/>
      </w:tblGrid>
      <w:tr w:rsidR="00B50C29" w:rsidRPr="00A37160" w:rsidTr="001845FB">
        <w:tc>
          <w:tcPr>
            <w:tcW w:w="9571" w:type="dxa"/>
            <w:shd w:val="clear" w:color="auto" w:fill="A6A6A6" w:themeFill="background1" w:themeFillShade="A6"/>
            <w:vAlign w:val="center"/>
          </w:tcPr>
          <w:p w:rsidR="00B50C29" w:rsidRPr="008D5876" w:rsidRDefault="00B50C29" w:rsidP="001845FB">
            <w:pPr>
              <w:rPr>
                <w:b/>
              </w:rPr>
            </w:pPr>
            <w:r w:rsidRPr="008D5876">
              <w:rPr>
                <w:b/>
              </w:rPr>
              <w:t xml:space="preserve">Ссылка на Профиль моделирования риск факторов для </w:t>
            </w:r>
            <w:r w:rsidRPr="008D5876">
              <w:rPr>
                <w:b/>
                <w:lang w:val="en-US"/>
              </w:rPr>
              <w:t>CVA</w:t>
            </w:r>
            <w:r>
              <w:rPr>
                <w:b/>
              </w:rPr>
              <w:t>,</w:t>
            </w:r>
            <w:r w:rsidRPr="008D5876">
              <w:rPr>
                <w:b/>
              </w:rPr>
              <w:t xml:space="preserve"> который используется для продукта</w:t>
            </w:r>
          </w:p>
        </w:tc>
      </w:tr>
      <w:tr w:rsidR="00B50C29" w:rsidRPr="00A37160" w:rsidTr="001845FB">
        <w:trPr>
          <w:trHeight w:val="1032"/>
        </w:trPr>
        <w:tc>
          <w:tcPr>
            <w:tcW w:w="9571" w:type="dxa"/>
            <w:vAlign w:val="center"/>
          </w:tcPr>
          <w:p w:rsidR="00B50C29" w:rsidRPr="00FD7997" w:rsidRDefault="00B50C29" w:rsidP="001845FB">
            <w:pPr>
              <w:spacing w:before="120" w:after="120"/>
            </w:pPr>
            <w:r w:rsidRPr="00B02AC3">
              <w:t xml:space="preserve">Профиль моделирования цен </w:t>
            </w:r>
            <w:r>
              <w:t>процентных ставок</w:t>
            </w:r>
            <w:r w:rsidRPr="00B02AC3">
              <w:t xml:space="preserve"> с помощью модели </w:t>
            </w:r>
            <w:r>
              <w:rPr>
                <w:lang w:val="en-US"/>
              </w:rPr>
              <w:t>Hull</w:t>
            </w:r>
            <w:r w:rsidRPr="00FD7997">
              <w:t>-</w:t>
            </w:r>
            <w:r>
              <w:rPr>
                <w:lang w:val="en-US"/>
              </w:rPr>
              <w:t>White</w:t>
            </w:r>
            <w:r w:rsidRPr="00B02AC3">
              <w:t xml:space="preserve"> </w:t>
            </w:r>
          </w:p>
          <w:p w:rsidR="00B50C29" w:rsidRDefault="00B50C29" w:rsidP="001845FB">
            <w:pPr>
              <w:spacing w:before="120" w:after="120"/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9139"/>
            </w:tblGrid>
            <w:tr w:rsidR="00B50C29" w:rsidRPr="00A37160" w:rsidTr="001845FB">
              <w:tc>
                <w:tcPr>
                  <w:tcW w:w="9571" w:type="dxa"/>
                  <w:shd w:val="clear" w:color="auto" w:fill="A6A6A6" w:themeFill="background1" w:themeFillShade="A6"/>
                  <w:vAlign w:val="center"/>
                </w:tcPr>
                <w:p w:rsidR="00B50C29" w:rsidRDefault="00B50C29" w:rsidP="001845FB">
                  <w:pPr>
                    <w:rPr>
                      <w:b/>
                    </w:rPr>
                  </w:pPr>
                  <w:r w:rsidRPr="00A37160">
                    <w:rPr>
                      <w:b/>
                    </w:rPr>
                    <w:t xml:space="preserve">Ответственный за согласование </w:t>
                  </w:r>
                </w:p>
                <w:p w:rsidR="00B50C29" w:rsidRPr="008B19C0" w:rsidRDefault="00B50C29" w:rsidP="001845FB"/>
              </w:tc>
            </w:tr>
          </w:tbl>
          <w:p w:rsidR="00B50C29" w:rsidRPr="00A37160" w:rsidRDefault="00B50C29" w:rsidP="001845FB">
            <w:pPr>
              <w:spacing w:before="120" w:after="120"/>
            </w:pPr>
            <w:proofErr w:type="spellStart"/>
            <w:r>
              <w:t>Бохонова</w:t>
            </w:r>
            <w:proofErr w:type="spellEnd"/>
            <w:r>
              <w:t xml:space="preserve"> Наталья Юрьевна, руководитель проектов</w:t>
            </w:r>
          </w:p>
        </w:tc>
      </w:tr>
    </w:tbl>
    <w:p w:rsidR="00D95CFA" w:rsidRPr="00930A8B" w:rsidRDefault="00D95CFA"/>
    <w:sectPr w:rsidR="00D95CFA" w:rsidRPr="00930A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C29" w:rsidRDefault="00B50C29" w:rsidP="00B50C29">
      <w:r>
        <w:separator/>
      </w:r>
    </w:p>
  </w:endnote>
  <w:endnote w:type="continuationSeparator" w:id="0">
    <w:p w:rsidR="00B50C29" w:rsidRDefault="00B50C29" w:rsidP="00B50C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C29" w:rsidRDefault="00B50C29" w:rsidP="00B50C29">
      <w:r>
        <w:separator/>
      </w:r>
    </w:p>
  </w:footnote>
  <w:footnote w:type="continuationSeparator" w:id="0">
    <w:p w:rsidR="00B50C29" w:rsidRDefault="00B50C29" w:rsidP="00B50C29">
      <w:r>
        <w:continuationSeparator/>
      </w:r>
    </w:p>
  </w:footnote>
  <w:footnote w:id="1">
    <w:p w:rsidR="00B50C29" w:rsidRDefault="00B50C29" w:rsidP="00B50C29">
      <w:pPr>
        <w:pStyle w:val="FootnoteText"/>
      </w:pPr>
      <w:r>
        <w:rPr>
          <w:rStyle w:val="FootnoteReference"/>
        </w:rPr>
        <w:footnoteRef/>
      </w:r>
      <w:r>
        <w:t xml:space="preserve"> </w:t>
      </w:r>
      <m:oMath>
        <m:sSup>
          <m:sSupPr>
            <m:ctrlPr>
              <w:rPr>
                <w:rFonts w:ascii="Cambria Math" w:hAnsi="Cambria Math"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E</m:t>
            </m:r>
          </m:e>
          <m:sup>
            <m:r>
              <w:rPr>
                <w:rFonts w:ascii="Cambria Math" w:hAnsi="Cambria Math"/>
                <w:lang w:val="en-US"/>
              </w:rPr>
              <m:t>Q</m:t>
            </m:r>
          </m:sup>
        </m:sSup>
      </m:oMath>
      <w:r>
        <w:t xml:space="preserve"> – математическое ожидание в риск-нейтральной мере.</w:t>
      </w:r>
    </w:p>
  </w:footnote>
  <w:footnote w:id="2">
    <w:p w:rsidR="00B50C29" w:rsidRDefault="00B50C29" w:rsidP="00B50C29">
      <w:pPr>
        <w:pStyle w:val="FootnoteText"/>
      </w:pPr>
      <w:r>
        <w:rPr>
          <w:rStyle w:val="FootnoteReference"/>
        </w:rPr>
        <w:footnoteRef/>
      </w:r>
      <w:r>
        <w:t xml:space="preserve"> Для портфеля сделок </w:t>
      </w:r>
      <w:r>
        <w:rPr>
          <w:lang w:val="en-US"/>
        </w:rPr>
        <w:t>T</w:t>
      </w:r>
      <w:r w:rsidRPr="00F17576">
        <w:t xml:space="preserve"> </w:t>
      </w:r>
      <w:r>
        <w:t>– это максимальный срок экспирации среди всех инструментов портфеля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1F5146"/>
    <w:multiLevelType w:val="hybridMultilevel"/>
    <w:tmpl w:val="56AA35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25A2AD8"/>
    <w:multiLevelType w:val="hybridMultilevel"/>
    <w:tmpl w:val="00AAFC2A"/>
    <w:lvl w:ilvl="0" w:tplc="C788216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4E0"/>
    <w:rsid w:val="00930A8B"/>
    <w:rsid w:val="00B50C29"/>
    <w:rsid w:val="00C631C3"/>
    <w:rsid w:val="00D66504"/>
    <w:rsid w:val="00D95CFA"/>
    <w:rsid w:val="00FB6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22CFDCC-17C6-42F1-9514-D944FFB76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0C29"/>
    <w:pPr>
      <w:spacing w:after="0" w:line="240" w:lineRule="auto"/>
    </w:pPr>
    <w:rPr>
      <w:rFonts w:ascii="Times New Roman" w:eastAsia="PMingLiU" w:hAnsi="Times New Roman" w:cs="Times New Roman"/>
      <w:sz w:val="24"/>
      <w:szCs w:val="24"/>
      <w:lang w:eastAsia="ru-RU"/>
    </w:rPr>
  </w:style>
  <w:style w:type="paragraph" w:styleId="Heading2">
    <w:name w:val="heading 2"/>
    <w:basedOn w:val="Normal"/>
    <w:next w:val="Normal"/>
    <w:link w:val="Heading2Char"/>
    <w:uiPriority w:val="99"/>
    <w:unhideWhenUsed/>
    <w:qFormat/>
    <w:rsid w:val="00B50C2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B50C29"/>
    <w:rPr>
      <w:rFonts w:ascii="Cambria" w:eastAsia="PMingLiU" w:hAnsi="Cambria" w:cs="Times New Roman"/>
      <w:b/>
      <w:bCs/>
      <w:i/>
      <w:iCs/>
      <w:sz w:val="28"/>
      <w:szCs w:val="28"/>
      <w:lang w:eastAsia="ru-RU"/>
    </w:rPr>
  </w:style>
  <w:style w:type="table" w:styleId="TableGrid">
    <w:name w:val="Table Grid"/>
    <w:basedOn w:val="TableNormal"/>
    <w:uiPriority w:val="59"/>
    <w:rsid w:val="00B50C29"/>
    <w:pPr>
      <w:spacing w:after="0" w:line="240" w:lineRule="auto"/>
    </w:pPr>
    <w:rPr>
      <w:rFonts w:ascii="Times New Roman" w:eastAsia="PMingLiU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rsid w:val="00B50C29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B50C29"/>
    <w:rPr>
      <w:rFonts w:ascii="Times New Roman" w:eastAsia="PMingLiU" w:hAnsi="Times New Roman" w:cs="Times New Roman"/>
      <w:sz w:val="20"/>
      <w:szCs w:val="20"/>
      <w:lang w:eastAsia="ru-RU"/>
    </w:rPr>
  </w:style>
  <w:style w:type="character" w:styleId="FootnoteReference">
    <w:name w:val="footnote reference"/>
    <w:uiPriority w:val="99"/>
    <w:rsid w:val="00B50C29"/>
    <w:rPr>
      <w:vertAlign w:val="superscript"/>
    </w:rPr>
  </w:style>
  <w:style w:type="paragraph" w:styleId="ListParagraph">
    <w:name w:val="List Paragraph"/>
    <w:basedOn w:val="Normal"/>
    <w:link w:val="ListParagraphChar"/>
    <w:uiPriority w:val="34"/>
    <w:qFormat/>
    <w:rsid w:val="00B50C29"/>
    <w:pPr>
      <w:ind w:left="708"/>
    </w:pPr>
  </w:style>
  <w:style w:type="character" w:customStyle="1" w:styleId="ListParagraphChar">
    <w:name w:val="List Paragraph Char"/>
    <w:link w:val="ListParagraph"/>
    <w:uiPriority w:val="34"/>
    <w:rsid w:val="00B50C29"/>
    <w:rPr>
      <w:rFonts w:ascii="Times New Roman" w:eastAsia="PMingLiU" w:hAnsi="Times New Roman" w:cs="Times New Roman"/>
      <w:sz w:val="24"/>
      <w:szCs w:val="24"/>
      <w:lang w:eastAsia="ru-RU"/>
    </w:rPr>
  </w:style>
  <w:style w:type="paragraph" w:styleId="NormalWeb">
    <w:name w:val="Normal (Web)"/>
    <w:basedOn w:val="Normal"/>
    <w:uiPriority w:val="99"/>
    <w:unhideWhenUsed/>
    <w:rsid w:val="00B50C29"/>
    <w:pPr>
      <w:spacing w:before="100" w:beforeAutospacing="1" w:after="100" w:afterAutospacing="1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333</Words>
  <Characters>1899</Characters>
  <Application>Microsoft Office Word</Application>
  <DocSecurity>0</DocSecurity>
  <Lines>15</Lines>
  <Paragraphs>4</Paragraphs>
  <ScaleCrop>false</ScaleCrop>
  <Company>ПАО Сбербанк России</Company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Protasov Andrey</dc:creator>
  <cp:keywords/>
  <dc:description/>
  <cp:lastModifiedBy>Protasov Andrey</cp:lastModifiedBy>
  <cp:revision>3</cp:revision>
  <dcterms:created xsi:type="dcterms:W3CDTF">2020-12-08T10:54:00Z</dcterms:created>
  <dcterms:modified xsi:type="dcterms:W3CDTF">2020-12-09T11:04:00Z</dcterms:modified>
</cp:coreProperties>
</file>