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1">
        <w:r>
          <w:rPr>
            <w:color w:val="0563C1"/>
            <w:u w:val="single"/>
          </w:rPr>
          <w:t>← Back to Evidence Room Index</w:t>
        </w:r>
      </w:hyperlink>
    </w:p>
    <w:p>
      <w:pPr>
        <w:pStyle w:val="Title"/>
      </w:pPr>
      <w:r>
        <w:t>Exhibit A</w:t>
      </w:r>
    </w:p>
    <w:p>
      <w:r>
        <w:rPr>
          <w:b/>
        </w:rPr>
        <w:t>STATUS: PRIMARY PRESENTATION EVIDENCE — contractual application to Talos remains open.</w:t>
      </w:r>
    </w:p>
    <w:p>
      <w:r>
        <w:rPr>
          <w:b/>
          <w:sz w:val="30"/>
        </w:rPr>
        <w:t>AFT Webinar — 5x Equity Credit and 20% Drawdown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NURP AFT webinar / preserved source frame</w:t>
            </w:r>
          </w:p>
        </w:tc>
      </w:tr>
      <w:tr>
        <w:tc>
          <w:tcPr>
            <w:tcW w:type="dxa" w:w="5083"/>
            <w:shd w:fill="E9EEF4"/>
          </w:tcPr>
          <w:p>
            <w:r>
              <w:t>Date</w:t>
            </w:r>
          </w:p>
        </w:tc>
        <w:tc>
          <w:tcPr>
            <w:tcW w:type="dxa" w:w="5083"/>
          </w:tcPr>
          <w:p>
            <w:r>
              <w:t>July 23, 2025</w:t>
            </w:r>
          </w:p>
        </w:tc>
      </w:tr>
    </w:tbl>
    <w:p>
      <w:pPr>
        <w:pStyle w:val="Heading1"/>
      </w:pPr>
      <w:r>
        <w:t>What the record says</w:t>
      </w:r>
    </w:p>
    <w:p>
      <w:r>
        <w:t>The preserved slide describes AFT as using broker-provided equity credit to allow trading with five times more capital. It also states that maximum drawdown is capped at 20% of initial account size.</w:t>
      </w:r>
    </w:p>
    <w:p>
      <w:pPr>
        <w:pStyle w:val="Heading1"/>
      </w:pPr>
      <w:r>
        <w:t>Source-faithful excerpts</w:t>
      </w:r>
    </w:p>
    <w:p>
      <w:pPr>
        <w:ind w:left="360"/>
      </w:pPr>
      <w:r>
        <w:rPr>
          <w:i/>
        </w:rPr>
        <w:t>“Maximum drawdown is capped at 20% of initial account size (profits can be accumulated to provide more room).”</w:t>
      </w:r>
    </w:p>
    <w:p>
      <w:pPr>
        <w:pStyle w:val="Heading1"/>
      </w:pPr>
      <w:r>
        <w:t>What this supports</w:t>
      </w:r>
    </w:p>
    <w:p>
      <w:r>
        <w:t>The exhibit supports the public statement that NURP presented AFT with a 5x broker equity-credit structure and a stated 20% maximum-drawdown cap.</w:t>
      </w:r>
    </w:p>
    <w:p>
      <w:pPr>
        <w:pStyle w:val="Heading1"/>
      </w:pPr>
      <w:r>
        <w:t>What this does not prove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</w:tcPr>
          <w:p>
            <w:r>
              <w:t>The slide does not by itself establish that later Talos 5X or Talos 20X accounts were contractually governed by the same 20% cap. Talos governing terms remain an open evidence item.</w:t>
            </w:r>
          </w:p>
        </w:tc>
      </w:tr>
    </w:tbl>
    <w:p>
      <w:pPr>
        <w:pStyle w:val="Heading1"/>
      </w:pPr>
      <w:r>
        <w:t>Public-source note</w:t>
      </w:r>
    </w:p>
    <w:p>
      <w:r>
        <w:t>Underlying public source: preserved NURP webinar frame. A separate preserved video excerpt provides surrounding presentation context.</w:t>
      </w:r>
    </w:p>
    <w:p>
      <w:r>
        <w:t>Publication control: preserve the original privately. Public copies should redact account numbers, email addresses, signatures, security information and unrelated personal information without removing context necessary to understand the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Public working exhibit • redactions/qualifications preserved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PUBLIC EVIDENCE ROOM • EXHIBIT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Public_Evidence_Room_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