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hyperlink r:id="rId11">
        <w:r>
          <w:rPr>
            <w:color w:val="0563C1"/>
            <w:u w:val="single"/>
          </w:rPr>
          <w:t>← Back to Evidence Room Index</w:t>
        </w:r>
      </w:hyperlink>
    </w:p>
    <w:p>
      <w:pPr>
        <w:pStyle w:val="Title"/>
      </w:pPr>
      <w:r>
        <w:t>Exhibit B</w:t>
      </w:r>
    </w:p>
    <w:p>
      <w:r>
        <w:rPr>
          <w:b/>
        </w:rPr>
        <w:t>STATUS: PRIMARY TRANSFER EVIDENCE — establishes capital movement, not Talos governing risk terms.</w:t>
      </w:r>
    </w:p>
    <w:p>
      <w:r>
        <w:rPr>
          <w:b/>
          <w:sz w:val="30"/>
        </w:rPr>
        <w:t>September 24, 2025 — Existing AFT Capital Moved into Talos</w:t>
      </w:r>
    </w:p>
    <w:tbl>
      <w:tblPr>
        <w:tblStyle w:val="TableGrid"/>
        <w:tblW w:type="auto" w:w="0"/>
        <w:tblLook w:firstColumn="1" w:firstRow="1" w:lastColumn="0" w:lastRow="0" w:noHBand="0" w:noVBand="1" w:val="04A0"/>
      </w:tblPr>
      <w:tblGrid>
        <w:gridCol w:w="5083"/>
        <w:gridCol w:w="5083"/>
      </w:tblGrid>
      <w:tr>
        <w:tc>
          <w:tcPr>
            <w:tcW w:type="dxa" w:w="5083"/>
            <w:shd w:fill="E9EEF4"/>
          </w:tcPr>
          <w:p>
            <w:r>
              <w:t>Source</w:t>
            </w:r>
          </w:p>
        </w:tc>
        <w:tc>
          <w:tcPr>
            <w:tcW w:type="dxa" w:w="5083"/>
          </w:tcPr>
          <w:p>
            <w:r>
              <w:t>Original GNT internal-transfer email thread</w:t>
            </w:r>
          </w:p>
        </w:tc>
      </w:tr>
      <w:tr>
        <w:tc>
          <w:tcPr>
            <w:tcW w:type="dxa" w:w="5083"/>
            <w:shd w:fill="E9EEF4"/>
          </w:tcPr>
          <w:p>
            <w:r>
              <w:t>Date</w:t>
            </w:r>
          </w:p>
        </w:tc>
        <w:tc>
          <w:tcPr>
            <w:tcW w:type="dxa" w:w="5083"/>
          </w:tcPr>
          <w:p>
            <w:r>
              <w:t>September 24, 2025</w:t>
            </w:r>
          </w:p>
        </w:tc>
      </w:tr>
    </w:tbl>
    <w:p>
      <w:pPr>
        <w:pStyle w:val="Heading1"/>
      </w:pPr>
      <w:r>
        <w:t>What the record says</w:t>
      </w:r>
    </w:p>
    <w:p>
      <w:r>
        <w:t>The customer asked GNT to move funds from three existing/closed All Weather accounts into two new accounts within the NURP AFT program. GNT first said it would complete the request and then confirmed that the internal transfers had been completed.</w:t>
      </w:r>
    </w:p>
    <w:tbl>
      <w:tblPr>
        <w:tblStyle w:val="TableGrid"/>
        <w:tblW w:type="auto" w:w="0"/>
        <w:tblLook w:firstColumn="1" w:firstRow="1" w:lastColumn="0" w:lastRow="0" w:noHBand="0" w:noVBand="1" w:val="04A0"/>
      </w:tblPr>
      <w:tblGrid>
        <w:gridCol w:w="3389"/>
        <w:gridCol w:w="3389"/>
        <w:gridCol w:w="3389"/>
      </w:tblGrid>
      <w:tr>
        <w:tc>
          <w:tcPr>
            <w:tcW w:type="dxa" w:w="3389"/>
            <w:shd w:fill="E9EEF4"/>
          </w:tcPr>
          <w:p>
            <w:r>
              <w:t>Source strategy</w:t>
            </w:r>
          </w:p>
        </w:tc>
        <w:tc>
          <w:tcPr>
            <w:tcW w:type="dxa" w:w="3389"/>
            <w:shd w:fill="E9EEF4"/>
          </w:tcPr>
          <w:p>
            <w:r>
              <w:t>Destination strategy</w:t>
            </w:r>
          </w:p>
        </w:tc>
        <w:tc>
          <w:tcPr>
            <w:tcW w:type="dxa" w:w="3389"/>
            <w:shd w:fill="E9EEF4"/>
          </w:tcPr>
          <w:p>
            <w:r>
              <w:t>Amount</w:t>
            </w:r>
          </w:p>
        </w:tc>
      </w:tr>
      <w:tr>
        <w:tc>
          <w:tcPr>
            <w:tcW w:type="dxa" w:w="3389"/>
          </w:tcPr>
          <w:p>
            <w:r>
              <w:t>All Weather #1</w:t>
            </w:r>
          </w:p>
        </w:tc>
        <w:tc>
          <w:tcPr>
            <w:tcW w:type="dxa" w:w="3389"/>
          </w:tcPr>
          <w:p>
            <w:r>
              <w:t>Talos 5X</w:t>
            </w:r>
          </w:p>
        </w:tc>
        <w:tc>
          <w:tcPr>
            <w:tcW w:type="dxa" w:w="3389"/>
          </w:tcPr>
          <w:p>
            <w:r>
              <w:t>$66,142.65</w:t>
            </w:r>
          </w:p>
        </w:tc>
      </w:tr>
      <w:tr>
        <w:tc>
          <w:tcPr>
            <w:tcW w:type="dxa" w:w="3389"/>
          </w:tcPr>
          <w:p>
            <w:r>
              <w:t>All Weather #3</w:t>
            </w:r>
          </w:p>
        </w:tc>
        <w:tc>
          <w:tcPr>
            <w:tcW w:type="dxa" w:w="3389"/>
          </w:tcPr>
          <w:p>
            <w:r>
              <w:t>Talos 5X</w:t>
            </w:r>
          </w:p>
        </w:tc>
        <w:tc>
          <w:tcPr>
            <w:tcW w:type="dxa" w:w="3389"/>
          </w:tcPr>
          <w:p>
            <w:r>
              <w:t>$51,634.76</w:t>
            </w:r>
          </w:p>
        </w:tc>
      </w:tr>
      <w:tr>
        <w:tc>
          <w:tcPr>
            <w:tcW w:type="dxa" w:w="3389"/>
          </w:tcPr>
          <w:p>
            <w:r>
              <w:t>All Weather #2</w:t>
            </w:r>
          </w:p>
        </w:tc>
        <w:tc>
          <w:tcPr>
            <w:tcW w:type="dxa" w:w="3389"/>
          </w:tcPr>
          <w:p>
            <w:r>
              <w:t>Talos 20X</w:t>
            </w:r>
          </w:p>
        </w:tc>
        <w:tc>
          <w:tcPr>
            <w:tcW w:type="dxa" w:w="3389"/>
          </w:tcPr>
          <w:p>
            <w:r>
              <w:t>$47,095.32</w:t>
            </w:r>
          </w:p>
        </w:tc>
      </w:tr>
    </w:tbl>
    <w:p>
      <w:r>
        <w:t>Talos 5X total transferred: $117,777.41. Talos 20X total transferred: $47,095.32. Combined existing customer capital moved into Talos: $164,872.73.</w:t>
      </w:r>
    </w:p>
    <w:p>
      <w:pPr>
        <w:pStyle w:val="Heading1"/>
      </w:pPr>
      <w:r>
        <w:t>Source-faithful excerpts</w:t>
      </w:r>
    </w:p>
    <w:p>
      <w:pPr>
        <w:ind w:left="360"/>
      </w:pPr>
      <w:r>
        <w:rPr>
          <w:i/>
        </w:rPr>
        <w:t>“I have two new accounts within the Nurp AFT program and would like to transfer funds from three existing/closed accounts into the new accounts.”</w:t>
      </w:r>
    </w:p>
    <w:p>
      <w:pPr>
        <w:ind w:left="360"/>
      </w:pPr>
      <w:r>
        <w:rPr>
          <w:i/>
        </w:rPr>
        <w:t>“Good morning, the internal transfers have been completed.”</w:t>
      </w:r>
    </w:p>
    <w:p>
      <w:pPr>
        <w:pStyle w:val="Heading1"/>
      </w:pPr>
      <w:r>
        <w:t>What this supports</w:t>
      </w:r>
    </w:p>
    <w:p>
      <w:r>
        <w:t>This exhibit directly supports the capital bridge from the earlier All Weather accounts into Talos 5X and Talos 20X. It also supports treating these amounts as internal/recycled customer capital rather than as new outside deposits.</w:t>
      </w:r>
    </w:p>
    <w:p>
      <w:pPr>
        <w:pStyle w:val="Heading1"/>
      </w:pPr>
      <w:r>
        <w:t>What this does not prove</w:t>
      </w:r>
    </w:p>
    <w:tbl>
      <w:tblPr>
        <w:tblW w:type="auto" w:w="0"/>
        <w:tblLook w:firstColumn="1" w:firstRow="1" w:lastColumn="0" w:lastRow="0" w:noHBand="0" w:noVBand="1" w:val="04A0"/>
      </w:tblPr>
      <w:tblGrid>
        <w:gridCol w:w="10166"/>
      </w:tblGrid>
      <w:tr>
        <w:tc>
          <w:tcPr>
            <w:tcW w:type="dxa" w:w="10166"/>
            <w:shd w:fill="FFF7E8"/>
          </w:tcPr>
          <w:p>
            <w:r>
              <w:t>The transfer email does not establish what contractual or technical risk-control terms governed Talos after the transfer. It does not prove that the earlier AFT drawdown provisions carried forward unchanged.</w:t>
            </w:r>
          </w:p>
        </w:tc>
      </w:tr>
    </w:tbl>
    <w:p>
      <w:pPr>
        <w:pStyle w:val="Heading1"/>
      </w:pPr>
      <w:r>
        <w:t>Public-source note</w:t>
      </w:r>
    </w:p>
    <w:p>
      <w:r>
        <w:t>The underlying source is an original GNT email thread. The public copy should redact account numbers, email addresses, telephone number and unrelated contact details while preserving the transfer amounts, source/destination strategy labels and GNT's completion confirmation.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Public working exhibit • source controls and limitations preserved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EVIDENCE ROOM • EXHIBIT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0_Public_Evidence_Room_Index.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