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hyperlink r:id="rId11">
        <w:r>
          <w:rPr>
            <w:color w:val="0563C1"/>
            <w:u w:val="single"/>
          </w:rPr>
          <w:t>← Back to Evidence Room Index</w:t>
        </w:r>
      </w:hyperlink>
    </w:p>
    <w:p>
      <w:pPr>
        <w:pStyle w:val="Title"/>
      </w:pPr>
      <w:r>
        <w:t>Exhibit C</w:t>
      </w:r>
    </w:p>
    <w:p>
      <w:r>
        <w:rPr>
          <w:b/>
        </w:rPr>
        <w:t>STATUS: PRIMARY BROKER EXPLANATION — underlying server/deal records remain pending.</w:t>
      </w:r>
    </w:p>
    <w:p>
      <w:r>
        <w:rPr>
          <w:b/>
          <w:sz w:val="30"/>
        </w:rPr>
        <w:t>GNT's September 17 Stop-Out Explanation</w:t>
      </w:r>
    </w:p>
    <w:tbl>
      <w:tblPr>
        <w:tblStyle w:val="TableGrid"/>
        <w:tblW w:type="auto" w:w="0"/>
        <w:tblLook w:firstColumn="1" w:firstRow="1" w:lastColumn="0" w:lastRow="0" w:noHBand="0" w:noVBand="1" w:val="04A0"/>
      </w:tblPr>
      <w:tblGrid>
        <w:gridCol w:w="5083"/>
        <w:gridCol w:w="5083"/>
      </w:tblGrid>
      <w:tr>
        <w:tc>
          <w:tcPr>
            <w:tcW w:type="dxa" w:w="5083"/>
            <w:shd w:fill="E9EEF4"/>
          </w:tcPr>
          <w:p>
            <w:r>
              <w:t>Source</w:t>
            </w:r>
          </w:p>
        </w:tc>
        <w:tc>
          <w:tcPr>
            <w:tcW w:type="dxa" w:w="5083"/>
          </w:tcPr>
          <w:p>
            <w:r>
              <w:t>GNT Client Services email response</w:t>
            </w:r>
          </w:p>
        </w:tc>
      </w:tr>
      <w:tr>
        <w:tc>
          <w:tcPr>
            <w:tcW w:type="dxa" w:w="5083"/>
            <w:shd w:fill="E9EEF4"/>
          </w:tcPr>
          <w:p>
            <w:r>
              <w:t>Date</w:t>
            </w:r>
          </w:p>
        </w:tc>
        <w:tc>
          <w:tcPr>
            <w:tcW w:type="dxa" w:w="5083"/>
          </w:tcPr>
          <w:p>
            <w:r>
              <w:t>September 17, 2026</w:t>
            </w:r>
          </w:p>
        </w:tc>
      </w:tr>
    </w:tbl>
    <w:p>
      <w:pPr>
        <w:pStyle w:val="Heading1"/>
      </w:pPr>
      <w:r>
        <w:t>What the record says</w:t>
      </w:r>
    </w:p>
    <w:p>
      <w:r>
        <w:t>GNT stated that the account hit the platform's stop-out threshold because of rapid market movement and high negative floating P/L; that open positions were automatically liquidated under platform risk/margin rules; and that the credit facility was removed, bringing effective equity to zero.</w:t>
      </w:r>
    </w:p>
    <w:p>
      <w:pPr>
        <w:pStyle w:val="Heading1"/>
      </w:pPr>
      <w:r>
        <w:t>Source-faithful excerpts</w:t>
      </w:r>
    </w:p>
    <w:p>
      <w:pPr>
        <w:ind w:left="360"/>
      </w:pPr>
      <w:r>
        <w:rPr>
          <w:i/>
        </w:rPr>
        <w:t>“On September 8, due to rapid market movements and a high negative floating P/L, account [redacted] hit the system's stop-out threshold.”</w:t>
      </w:r>
    </w:p>
    <w:p>
      <w:pPr>
        <w:ind w:left="360"/>
      </w:pPr>
      <w:r>
        <w:rPr>
          <w:i/>
        </w:rPr>
        <w:t>“As part of the platform’s automated risk controls and margin management rules, once the required margin levels are breached, all open positions are automatically liquidated to prevent further losses beyond the account's equity.”</w:t>
      </w:r>
    </w:p>
    <w:p>
      <w:pPr>
        <w:ind w:left="360"/>
      </w:pPr>
      <w:r>
        <w:rPr>
          <w:i/>
        </w:rPr>
        <w:t>“Consequently, the credit facility was also removed, bringing the total effective equity to zero.”</w:t>
      </w:r>
    </w:p>
    <w:p>
      <w:pPr>
        <w:pStyle w:val="Heading1"/>
      </w:pPr>
      <w:r>
        <w:t>What this supports</w:t>
      </w:r>
    </w:p>
    <w:p>
      <w:r>
        <w:t>The exhibit supports publication of GNT's own explanation for the Talos 5X terminal event, clearly attributed to GNT.</w:t>
      </w:r>
    </w:p>
    <w:p>
      <w:pPr>
        <w:pStyle w:val="Heading1"/>
      </w:pPr>
      <w:r>
        <w:t>What this does not prove</w:t>
      </w:r>
    </w:p>
    <w:tbl>
      <w:tblPr>
        <w:tblW w:type="auto" w:w="0"/>
        <w:tblLook w:firstColumn="1" w:firstRow="1" w:lastColumn="0" w:lastRow="0" w:noHBand="0" w:noVBand="1" w:val="04A0"/>
      </w:tblPr>
      <w:tblGrid>
        <w:gridCol w:w="10166"/>
      </w:tblGrid>
      <w:tr>
        <w:tc>
          <w:tcPr>
            <w:tcW w:type="dxa" w:w="10166"/>
            <w:shd w:fill="FFF7E8"/>
          </w:tcPr>
          <w:p>
            <w:r>
              <w:t>The email is a broker narrative, not the requested transaction-level/server-level accounting. It does not provide every closing deal, execution price, realized P/L, swap, commission, balance adjustment, credit-removal entry or account-status record needed to independently reconstruct the transition from September 8 to the terminal state.</w:t>
            </w:r>
          </w:p>
        </w:tc>
      </w:tr>
    </w:tbl>
    <w:p>
      <w:pPr>
        <w:pStyle w:val="Heading1"/>
      </w:pPr>
      <w:r>
        <w:t>Public-source note</w:t>
      </w:r>
    </w:p>
    <w:p>
      <w:r>
        <w:t>Underlying source: original GNT Client Services email. The public version should redact the account number and personal email addresses while retaining the full substantive explanation and enough thread context to show what records had been requested.</w:t>
      </w:r>
    </w:p>
    <w:p>
      <w:r>
        <w:t>Publication control: preserve the original privately. Public copies should redact account numbers, email addresses, signatures, security information and unrelated personal information without removing context necessary to understand the record.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working exhibit • redactions/qualifications preserved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EVIDENCE ROOM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Public_Evidence_Room_Index.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