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11">
        <w:r>
          <w:rPr>
            <w:color w:val="0563C1"/>
            <w:u w:val="single"/>
          </w:rPr>
          <w:t>← Back to Evidence Room Index</w:t>
        </w:r>
      </w:hyperlink>
    </w:p>
    <w:p>
      <w:pPr>
        <w:pStyle w:val="Title"/>
      </w:pPr>
      <w:r>
        <w:t>Exhibit D</w:t>
      </w:r>
    </w:p>
    <w:p>
      <w:r>
        <w:rPr>
          <w:b/>
        </w:rPr>
        <w:t>STATUS: PRIMARY NURP DISCLOSURE — portfolio-level execution findings are not a customer-specific damages formula.</w:t>
      </w:r>
    </w:p>
    <w:p>
      <w:r>
        <w:rPr>
          <w:b/>
          <w:sz w:val="30"/>
        </w:rPr>
        <w:t>NURP's GNT Execution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4"/>
          </w:tcPr>
          <w:p>
            <w:r>
              <w:t>Source</w:t>
            </w:r>
          </w:p>
        </w:tc>
        <w:tc>
          <w:tcPr>
            <w:tcW w:type="dxa" w:w="5083"/>
          </w:tcPr>
          <w:p>
            <w:r>
              <w:t>Email from Jeff Sekinger / NURP to customer</w:t>
            </w:r>
          </w:p>
        </w:tc>
      </w:tr>
      <w:tr>
        <w:tc>
          <w:tcPr>
            <w:tcW w:type="dxa" w:w="5083"/>
            <w:shd w:fill="E9EEF4"/>
          </w:tcPr>
          <w:p>
            <w:r>
              <w:t>Date</w:t>
            </w:r>
          </w:p>
        </w:tc>
        <w:tc>
          <w:tcPr>
            <w:tcW w:type="dxa" w:w="5083"/>
          </w:tcPr>
          <w:p>
            <w:r>
              <w:t>August 4, 2026</w:t>
            </w:r>
          </w:p>
        </w:tc>
      </w:tr>
    </w:tbl>
    <w:p>
      <w:pPr>
        <w:pStyle w:val="Heading1"/>
      </w:pPr>
      <w:r>
        <w:t>What the record says</w:t>
      </w:r>
    </w:p>
    <w:p>
      <w:r>
        <w:t>NURP told the customer that its quantitative monitoring found consistently worse fills and execution costs on GNT-hosted accounts than for the same strategies at other brokers under the same market conditions. NURP reported 30% retained master performance and 89% of fills worse than the master.</w:t>
      </w:r>
    </w:p>
    <w:p>
      <w:pPr>
        <w:pStyle w:val="Heading1"/>
      </w:pPr>
      <w:r>
        <w:t>Source-faithful excerpts</w:t>
      </w:r>
    </w:p>
    <w:p>
      <w:pPr>
        <w:ind w:left="360"/>
      </w:pPr>
      <w:r>
        <w:rPr>
          <w:i/>
        </w:rPr>
        <w:t>“Based on that monitoring, we've observed that fills and execution costs on GNT-hosted accounts have been consistently worse than what we observe for the same strategies running on other broker platforms during the same market conditions.”</w:t>
      </w:r>
    </w:p>
    <w:p>
      <w:pPr>
        <w:ind w:left="360"/>
      </w:pPr>
      <w:r>
        <w:rPr>
          <w:i/>
        </w:rPr>
        <w:t>“Over the full history, follower accounts on GNT retained only 30% of the master account's performance, meaning roughly 70% of expected returns were lost to execution costs. 89% of all fills on GNT came in at worse prices than the master.”</w:t>
      </w:r>
    </w:p>
    <w:p>
      <w:pPr>
        <w:ind w:left="360"/>
      </w:pPr>
      <w:r>
        <w:rPr>
          <w:i/>
        </w:rPr>
        <w:t>“This pattern was consistent across all GNT follower accounts analyzed, not isolated to any single account.”</w:t>
      </w:r>
    </w:p>
    <w:p>
      <w:pPr>
        <w:pStyle w:val="Heading1"/>
      </w:pPr>
      <w:r>
        <w:t>What this supports</w:t>
      </w:r>
    </w:p>
    <w:p>
      <w:r>
        <w:t>The exhibit supports attribution of NURP's own quantified GNT execution findings and its statement that the pattern was not isolated to a single account.</w:t>
      </w:r>
    </w:p>
    <w:p>
      <w:pPr>
        <w:pStyle w:val="Heading1"/>
      </w:pPr>
      <w:r>
        <w:t>What this does not prove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</w:tcPr>
          <w:p>
            <w:r>
              <w:t>These portfolio-level findings are not a customer-specific damages formula. They do not establish that 70% of this customer's GNT depletion was caused by execution. Matched master/follower account analysis would be required for that allocation.</w:t>
            </w:r>
          </w:p>
        </w:tc>
      </w:tr>
    </w:tbl>
    <w:p>
      <w:pPr>
        <w:pStyle w:val="Heading1"/>
      </w:pPr>
      <w:r>
        <w:t>Public-source note</w:t>
      </w:r>
    </w:p>
    <w:p>
      <w:r>
        <w:t>Underlying source: original preserved email thread. The public exhibit should show the relevant NURP message with personal addresses and unrelated thread material redacted.</w:t>
      </w:r>
    </w:p>
    <w:p>
      <w:r>
        <w:t>Publication control: preserve the original privately. Public copies should redact account numbers, email addresses, signatures, security information and unrelated personal information without removing context necessary to understand the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Public working exhibit • redactions/qualifications preserved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PUBLIC EVIDENCE ROOM • EXHIBIT 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0_Public_Evidence_Room_Index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