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11">
        <w:r>
          <w:rPr>
            <w:color w:val="0563C1"/>
            <w:u w:val="single"/>
          </w:rPr>
          <w:t>← Back to Evidence Room Index</w:t>
        </w:r>
      </w:hyperlink>
    </w:p>
    <w:p>
      <w:pPr>
        <w:pStyle w:val="Title"/>
      </w:pPr>
      <w:r>
        <w:t>Exhibit E</w:t>
      </w:r>
    </w:p>
    <w:p>
      <w:r>
        <w:rPr>
          <w:b/>
        </w:rPr>
        <w:t>STATUS: SOURCE-DERIVED PUBLIC EXHIBIT — native standalone Daily Confirmation still to be paired.</w:t>
      </w:r>
    </w:p>
    <w:p>
      <w:r>
        <w:rPr>
          <w:b/>
          <w:sz w:val="30"/>
        </w:rPr>
        <w:t>Talos 5X — September 8 Daily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4"/>
          </w:tcPr>
          <w:p>
            <w:r>
              <w:t>Source</w:t>
            </w:r>
          </w:p>
        </w:tc>
        <w:tc>
          <w:tcPr>
            <w:tcW w:type="dxa" w:w="5083"/>
          </w:tcPr>
          <w:p>
            <w:r>
              <w:t>GNT Daily Confirmation / broker record</w:t>
            </w:r>
          </w:p>
        </w:tc>
      </w:tr>
      <w:tr>
        <w:tc>
          <w:tcPr>
            <w:tcW w:type="dxa" w:w="5083"/>
            <w:shd w:fill="E9EEF4"/>
          </w:tcPr>
          <w:p>
            <w:r>
              <w:t>Date</w:t>
            </w:r>
          </w:p>
        </w:tc>
        <w:tc>
          <w:tcPr>
            <w:tcW w:type="dxa" w:w="5083"/>
          </w:tcPr>
          <w:p>
            <w:r>
              <w:t>September 8, 2026</w:t>
            </w:r>
          </w:p>
        </w:tc>
      </w:tr>
    </w:tbl>
    <w:p>
      <w:pPr>
        <w:pStyle w:val="Heading1"/>
      </w:pPr>
      <w:r>
        <w:t>What the record says</w:t>
      </w:r>
    </w:p>
    <w:p>
      <w:r>
        <w:t>The Daily Confirmation records the final verified live-account snapshot before the terminal zero state. Broker credit remains part of displayed equity and margin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4"/>
          </w:tcPr>
          <w:p>
            <w:r>
              <w:t>Record field</w:t>
            </w:r>
          </w:p>
        </w:tc>
        <w:tc>
          <w:tcPr>
            <w:tcW w:type="dxa" w:w="5083"/>
            <w:shd w:fill="E9EEF4"/>
          </w:tcPr>
          <w:p>
            <w:r>
              <w:t>Value</w:t>
            </w:r>
          </w:p>
        </w:tc>
      </w:tr>
      <w:tr>
        <w:tc>
          <w:tcPr>
            <w:tcW w:type="dxa" w:w="5083"/>
          </w:tcPr>
          <w:p>
            <w:r>
              <w:t>Balance</w:t>
            </w:r>
          </w:p>
        </w:tc>
        <w:tc>
          <w:tcPr>
            <w:tcW w:type="dxa" w:w="5083"/>
          </w:tcPr>
          <w:p>
            <w:r>
              <w:t>$100,331.83</w:t>
            </w:r>
          </w:p>
        </w:tc>
      </w:tr>
      <w:tr>
        <w:tc>
          <w:tcPr>
            <w:tcW w:type="dxa" w:w="5083"/>
          </w:tcPr>
          <w:p>
            <w:r>
              <w:t>Credit Facility</w:t>
            </w:r>
          </w:p>
        </w:tc>
        <w:tc>
          <w:tcPr>
            <w:tcW w:type="dxa" w:w="5083"/>
          </w:tcPr>
          <w:p>
            <w:r>
              <w:t>$659,490.92</w:t>
            </w:r>
          </w:p>
        </w:tc>
      </w:tr>
      <w:tr>
        <w:tc>
          <w:tcPr>
            <w:tcW w:type="dxa" w:w="5083"/>
          </w:tcPr>
          <w:p>
            <w:r>
              <w:t>Floating P/L</w:t>
            </w:r>
          </w:p>
        </w:tc>
        <w:tc>
          <w:tcPr>
            <w:tcW w:type="dxa" w:w="5083"/>
          </w:tcPr>
          <w:p>
            <w:r>
              <w:t>–$92,731.54</w:t>
            </w:r>
          </w:p>
        </w:tc>
      </w:tr>
      <w:tr>
        <w:tc>
          <w:tcPr>
            <w:tcW w:type="dxa" w:w="5083"/>
          </w:tcPr>
          <w:p>
            <w:r>
              <w:t>Displayed Equity</w:t>
            </w:r>
          </w:p>
        </w:tc>
        <w:tc>
          <w:tcPr>
            <w:tcW w:type="dxa" w:w="5083"/>
          </w:tcPr>
          <w:p>
            <w:r>
              <w:t>$667,091.21</w:t>
            </w:r>
          </w:p>
        </w:tc>
      </w:tr>
      <w:tr>
        <w:tc>
          <w:tcPr>
            <w:tcW w:type="dxa" w:w="5083"/>
          </w:tcPr>
          <w:p>
            <w:r>
              <w:t>Margin Requirements</w:t>
            </w:r>
          </w:p>
        </w:tc>
        <w:tc>
          <w:tcPr>
            <w:tcW w:type="dxa" w:w="5083"/>
          </w:tcPr>
          <w:p>
            <w:r>
              <w:t>$176,216.42</w:t>
            </w:r>
          </w:p>
        </w:tc>
      </w:tr>
      <w:tr>
        <w:tc>
          <w:tcPr>
            <w:tcW w:type="dxa" w:w="5083"/>
          </w:tcPr>
          <w:p>
            <w:r>
              <w:t>Available / Free Margin</w:t>
            </w:r>
          </w:p>
        </w:tc>
        <w:tc>
          <w:tcPr>
            <w:tcW w:type="dxa" w:w="5083"/>
          </w:tcPr>
          <w:p>
            <w:r>
              <w:t>$490,874.79</w:t>
            </w:r>
          </w:p>
        </w:tc>
      </w:tr>
      <w:tr>
        <w:tc>
          <w:tcPr>
            <w:tcW w:type="dxa" w:w="5083"/>
          </w:tcPr>
          <w:p>
            <w:r>
              <w:t>Reconstructed customer economic equity</w:t>
            </w:r>
          </w:p>
        </w:tc>
        <w:tc>
          <w:tcPr>
            <w:tcW w:type="dxa" w:w="5083"/>
          </w:tcPr>
          <w:p>
            <w:r>
              <w:t>Approx. $7,600.29</w:t>
            </w:r>
          </w:p>
        </w:tc>
      </w:tr>
    </w:tbl>
    <w:p>
      <w:pPr>
        <w:pStyle w:val="Heading1"/>
      </w:pPr>
      <w:r>
        <w:t>What this supports</w:t>
      </w:r>
    </w:p>
    <w:p>
      <w:r>
        <w:t>The exhibit supports the September 8 broker-record values and the separate analytical reconstruction of approximately $7,600.29 of customer economic equity by subtracting broker credit from displayed equity, equivalently Balance plus Floating P/L.</w:t>
      </w:r>
    </w:p>
    <w:p>
      <w:pPr>
        <w:pStyle w:val="Heading1"/>
      </w:pPr>
      <w:r>
        <w:t>What this does not prove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8"/>
          </w:tcPr>
          <w:p>
            <w:r>
              <w:t>The $7,600.29 analytical figure should not be described as immediately withdrawable cash while positions remained open. The record also does not itself explain the subsequent liquidation or the accounting bridge to zero.</w:t>
            </w:r>
          </w:p>
        </w:tc>
      </w:tr>
    </w:tbl>
    <w:p>
      <w:pPr>
        <w:pStyle w:val="Heading1"/>
      </w:pPr>
      <w:r>
        <w:t>Public-source note</w:t>
      </w:r>
    </w:p>
    <w:p>
      <w:r>
        <w:t>Current package uses source-derived figures preserved in the project record. Before public launch, attach the redacted native Daily Confirmation or source-faithful broker export when available as the public document image/file.</w:t>
      </w:r>
    </w:p>
    <w:p>
      <w:r>
        <w:t>Publication control: preserve the original privately. Public copies should redact account numbers, email addresses, signatures, security information and unrelated personal information without removing context necessary to understand the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Public working exhibit • redactions/qualifications preserved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PUBLIC EVIDENCE ROOM • EXHIBIT 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0_Public_Evidence_Room_Index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