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hyperlink r:id="rId11">
        <w:r>
          <w:rPr>
            <w:color w:val="0563C1"/>
            <w:u w:val="single"/>
          </w:rPr>
          <w:t>← Back to Evidence Room Index</w:t>
        </w:r>
      </w:hyperlink>
    </w:p>
    <w:p>
      <w:pPr>
        <w:pStyle w:val="Title"/>
      </w:pPr>
      <w:r>
        <w:t>Exhibit F</w:t>
      </w:r>
    </w:p>
    <w:p>
      <w:r>
        <w:rPr>
          <w:b/>
        </w:rPr>
        <w:t>STATUS: SOURCE-DERIVED PUBLIC EXHIBIT — native standalone Equity Monitor notice still to be paired.</w:t>
      </w:r>
    </w:p>
    <w:p>
      <w:r>
        <w:rPr>
          <w:b/>
          <w:sz w:val="30"/>
        </w:rPr>
        <w:t>September 8, 2026 — NURP Equity Monitor Notice</w:t>
      </w:r>
    </w:p>
    <w:tbl>
      <w:tblPr>
        <w:tblStyle w:val="TableGrid"/>
        <w:tblW w:type="auto" w:w="0"/>
        <w:tblLook w:firstColumn="1" w:firstRow="1" w:lastColumn="0" w:lastRow="0" w:noHBand="0" w:noVBand="1" w:val="04A0"/>
      </w:tblPr>
      <w:tblGrid>
        <w:gridCol w:w="5083"/>
        <w:gridCol w:w="5083"/>
      </w:tblGrid>
      <w:tr>
        <w:tc>
          <w:tcPr>
            <w:tcW w:type="dxa" w:w="5083"/>
            <w:shd w:fill="E9EEF4"/>
          </w:tcPr>
          <w:p>
            <w:r>
              <w:t>Source</w:t>
            </w:r>
          </w:p>
        </w:tc>
        <w:tc>
          <w:tcPr>
            <w:tcW w:type="dxa" w:w="5083"/>
          </w:tcPr>
          <w:p>
            <w:r>
              <w:t>NURP Equity Monitor notice / source-derived project record</w:t>
            </w:r>
          </w:p>
        </w:tc>
      </w:tr>
      <w:tr>
        <w:tc>
          <w:tcPr>
            <w:tcW w:type="dxa" w:w="5083"/>
            <w:shd w:fill="E9EEF4"/>
          </w:tcPr>
          <w:p>
            <w:r>
              <w:t>Date</w:t>
            </w:r>
          </w:p>
        </w:tc>
        <w:tc>
          <w:tcPr>
            <w:tcW w:type="dxa" w:w="5083"/>
          </w:tcPr>
          <w:p>
            <w:r>
              <w:t>September 8, 2026</w:t>
            </w:r>
          </w:p>
        </w:tc>
      </w:tr>
    </w:tbl>
    <w:p>
      <w:pPr>
        <w:pStyle w:val="Heading1"/>
      </w:pPr>
      <w:r>
        <w:t>What the record says</w:t>
      </w:r>
    </w:p>
    <w:p>
      <w:r>
        <w:t>The notice states that the equity monitor completed, displays an 'Equity protect percentage' of 70%, and reports that no action was taken on copiers or open trades.</w:t>
      </w:r>
    </w:p>
    <w:p>
      <w:pPr>
        <w:ind w:left="360"/>
      </w:pPr>
      <w:r>
        <w:rPr>
          <w:i/>
        </w:rPr>
        <w:t>“Equity monitor completed”</w:t>
      </w:r>
    </w:p>
    <w:p>
      <w:pPr>
        <w:ind w:left="360"/>
      </w:pPr>
      <w:r>
        <w:rPr>
          <w:i/>
        </w:rPr>
        <w:t>“Equity protect percentage: 70%”</w:t>
      </w:r>
    </w:p>
    <w:p>
      <w:pPr>
        <w:ind w:left="360"/>
      </w:pPr>
      <w:r>
        <w:rPr>
          <w:i/>
        </w:rPr>
        <w:t>“No action has been taken on any copiers copying to this account or open trades.”</w:t>
      </w:r>
    </w:p>
    <w:p>
      <w:pPr>
        <w:pStyle w:val="Heading1"/>
      </w:pPr>
      <w:r>
        <w:t>Why the timing matters</w:t>
      </w:r>
    </w:p>
    <w:p>
      <w:r>
        <w:t>The notice was generated on the same date as the final verified Talos 5X live-account snapshot used in Exhibit E. It is therefore relevant to the chronology of NURP-side risk monitoring immediately before the account's terminal state.</w:t>
      </w:r>
    </w:p>
    <w:p>
      <w:pPr>
        <w:pStyle w:val="Heading1"/>
      </w:pPr>
      <w:r>
        <w:t>What this supports</w:t>
      </w:r>
    </w:p>
    <w:p>
      <w:r>
        <w:t>The exhibit supports the narrow statement that NURP's September 8 notice displayed a 70% equity-protect setting and reported that no action was taken on copiers or open trades.</w:t>
      </w:r>
    </w:p>
    <w:p>
      <w:pPr>
        <w:pStyle w:val="Heading1"/>
      </w:pPr>
      <w:r>
        <w:t>What this does not prove</w:t>
      </w:r>
    </w:p>
    <w:tbl>
      <w:tblPr>
        <w:tblW w:type="auto" w:w="0"/>
        <w:tblLook w:firstColumn="1" w:firstRow="1" w:lastColumn="0" w:lastRow="0" w:noHBand="0" w:noVBand="1" w:val="04A0"/>
      </w:tblPr>
      <w:tblGrid>
        <w:gridCol w:w="10166"/>
      </w:tblGrid>
      <w:tr>
        <w:tc>
          <w:tcPr>
            <w:tcW w:type="dxa" w:w="10166"/>
            <w:shd w:fill="FFF7E8"/>
          </w:tcPr>
          <w:p>
            <w:r>
              <w:t>The current record does not define the reference balance or denominator used for the 70% calculation, what condition caused the monitor to complete, what action the setting was configured to take, or whether this monitor implemented, supplemented or was independent of the earlier AFT drawdown provision. It should not be described as proof of a 70% drawdown guarantee or proof that liquidation was required at a particular account value.</w:t>
            </w:r>
          </w:p>
        </w:tc>
      </w:tr>
    </w:tbl>
    <w:p>
      <w:pPr>
        <w:pStyle w:val="Heading1"/>
      </w:pPr>
      <w:r>
        <w:t>Public-source note</w:t>
      </w:r>
    </w:p>
    <w:p>
      <w:r>
        <w:t>The wording is preserved in the evidence-controlled project record. Before public launch, the preferred exhibit is the redacted native NURP Equity Monitor notice or source-faithful export. Until that native item is attached, this page should remain labeled SOURCE-DERIVED rather than presented as an image of the original.</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Public working exhibit • source controls and limitations preserved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PUBLIC EVIDENCE ROOM • EXHIBIT 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0_Public_Evidence_Room_Index.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