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hyperlink r:id="rId11">
        <w:r>
          <w:rPr>
            <w:color w:val="0563C1"/>
            <w:u w:val="single"/>
          </w:rPr>
          <w:t>← Back to Evidence Room Index</w:t>
        </w:r>
      </w:hyperlink>
    </w:p>
    <w:p>
      <w:r>
        <w:rPr>
          <w:b/>
        </w:rPr>
        <w:t>CURRENT STATUS: OX monetary conclusion remains frozen pending [ACCOUNT REDACTED] and complete Oct.–Dec. 2024 coverage for [ACCOUNT REDACTED].</w:t>
      </w:r>
    </w:p>
    <w:p>
      <w:pPr>
        <w:pStyle w:val="Title"/>
      </w:pPr>
      <w:r>
        <w:t>Exhibit G</w:t>
      </w:r>
    </w:p>
    <w:p>
      <w:r>
        <w:rPr>
          <w:b/>
          <w:sz w:val="30"/>
        </w:rPr>
        <w:t>OX Securities — Resolved Loss Floor and January 2 Closing Cycle</w:t>
      </w:r>
    </w:p>
    <w:tbl>
      <w:tblPr>
        <w:tblStyle w:val="TableGrid"/>
        <w:tblW w:type="auto" w:w="0"/>
        <w:tblLook w:firstColumn="1" w:firstRow="1" w:lastColumn="0" w:lastRow="0" w:noHBand="0" w:noVBand="1" w:val="04A0"/>
      </w:tblPr>
      <w:tblGrid>
        <w:gridCol w:w="5083"/>
        <w:gridCol w:w="5083"/>
      </w:tblGrid>
      <w:tr>
        <w:tc>
          <w:tcPr>
            <w:tcW w:type="dxa" w:w="5083"/>
            <w:shd w:fill="E9EEF4"/>
          </w:tcPr>
          <w:p>
            <w:r>
              <w:t>Source</w:t>
            </w:r>
          </w:p>
        </w:tc>
        <w:tc>
          <w:tcPr>
            <w:tcW w:type="dxa" w:w="5083"/>
          </w:tcPr>
          <w:p>
            <w:r>
              <w:t>Primary OX broker reports and recovered Daily Confirmation</w:t>
            </w:r>
          </w:p>
        </w:tc>
      </w:tr>
      <w:tr>
        <w:tc>
          <w:tcPr>
            <w:tcW w:type="dxa" w:w="5083"/>
            <w:shd w:fill="E9EEF4"/>
          </w:tcPr>
          <w:p>
            <w:r>
              <w:t>Period</w:t>
            </w:r>
          </w:p>
        </w:tc>
        <w:tc>
          <w:tcPr>
            <w:tcW w:type="dxa" w:w="5083"/>
          </w:tcPr>
          <w:p>
            <w:r>
              <w:t>2023–January 2, 2025; July 3–September 29, 2024 now resolved from primary OX statements; October–December 2024 completeness review remains open</w:t>
            </w:r>
          </w:p>
        </w:tc>
      </w:tr>
    </w:tbl>
    <w:p>
      <w:pPr>
        <w:pStyle w:val="Heading1"/>
      </w:pPr>
      <w:r>
        <w:t>Public financial control</w:t>
      </w:r>
    </w:p>
    <w:tbl>
      <w:tblPr>
        <w:tblStyle w:val="TableGrid"/>
        <w:tblW w:type="auto" w:w="0"/>
        <w:tblLook w:firstColumn="1" w:firstRow="1" w:lastColumn="0" w:lastRow="0" w:noHBand="0" w:noVBand="1" w:val="04A0"/>
      </w:tblPr>
      <w:tblGrid>
        <w:gridCol w:w="3389"/>
        <w:gridCol w:w="3389"/>
        <w:gridCol w:w="3389"/>
      </w:tblGrid>
      <w:tr>
        <w:tc>
          <w:tcPr>
            <w:tcW w:type="dxa" w:w="3389"/>
            <w:shd w:fill="E9EEF4"/>
          </w:tcPr>
          <w:p>
            <w:r>
              <w:t>Component</w:t>
            </w:r>
          </w:p>
        </w:tc>
        <w:tc>
          <w:tcPr>
            <w:tcW w:type="dxa" w:w="3389"/>
            <w:shd w:fill="E9EEF4"/>
          </w:tcPr>
          <w:p>
            <w:r>
              <w:t>Amount</w:t>
            </w:r>
          </w:p>
        </w:tc>
        <w:tc>
          <w:tcPr>
            <w:tcW w:type="dxa" w:w="3389"/>
            <w:shd w:fill="E9EEF4"/>
          </w:tcPr>
          <w:p>
            <w:r>
              <w:t>Treatment</w:t>
            </w:r>
          </w:p>
        </w:tc>
      </w:tr>
      <w:tr>
        <w:tc>
          <w:tcPr>
            <w:tcW w:type="dxa" w:w="3389"/>
          </w:tcPr>
          <w:p>
            <w:r>
              <w:t>Account [ACCOUNT REDACTED] lifetime primary-record P&amp;L</w:t>
            </w:r>
          </w:p>
        </w:tc>
        <w:tc>
          <w:tcPr>
            <w:tcW w:type="dxa" w:w="3389"/>
          </w:tcPr>
          <w:p>
            <w:r>
              <w:t>–$214,768.41</w:t>
            </w:r>
          </w:p>
        </w:tc>
        <w:tc>
          <w:tcPr>
            <w:tcW w:type="dxa" w:w="3389"/>
          </w:tcPr>
          <w:p>
            <w:r>
              <w:t>Resolved</w:t>
            </w:r>
          </w:p>
        </w:tc>
      </w:tr>
      <w:tr>
        <w:tc>
          <w:tcPr>
            <w:tcW w:type="dxa" w:w="3389"/>
          </w:tcPr>
          <w:p>
            <w:r>
              <w:t>Account [ACCOUNT REDACTED] resolved periods</w:t>
            </w:r>
          </w:p>
        </w:tc>
        <w:tc>
          <w:tcPr>
            <w:tcW w:type="dxa" w:w="3389"/>
          </w:tcPr>
          <w:p>
            <w:r>
              <w:t>Historical subtotal</w:t>
            </w:r>
          </w:p>
        </w:tc>
        <w:tc>
          <w:tcPr>
            <w:tcW w:type="dxa" w:w="3389"/>
          </w:tcPr>
          <w:p>
            <w:r>
              <w:t>Historical subtotal; superseded by Sept. 22 OX records</w:t>
            </w:r>
          </w:p>
        </w:tc>
      </w:tr>
      <w:tr>
        <w:tc>
          <w:tcPr>
            <w:tcW w:type="dxa" w:w="3389"/>
          </w:tcPr>
          <w:p>
            <w:r>
              <w:t>Current OX account-level loss floor</w:t>
            </w:r>
          </w:p>
        </w:tc>
        <w:tc>
          <w:tcPr>
            <w:tcW w:type="dxa" w:w="3389"/>
          </w:tcPr>
          <w:p>
            <w:r>
              <w:t>Retired historical floor</w:t>
            </w:r>
          </w:p>
        </w:tc>
        <w:tc>
          <w:tcPr>
            <w:tcW w:type="dxa" w:w="3389"/>
          </w:tcPr>
          <w:p>
            <w:r>
              <w:t>Do not use as current public figure</w:t>
            </w:r>
          </w:p>
        </w:tc>
      </w:tr>
    </w:tbl>
    <w:p>
      <w:pPr>
        <w:pStyle w:val="Heading1"/>
      </w:pPr>
      <w:r>
        <w:t>The clearest documented loss cycle</w:t>
      </w:r>
    </w:p>
    <w:p>
      <w:r>
        <w:t>The primary detailed OX report for account [ACCOUNT REDACTED] records 16 long EUR/USD positions opened beginning September 30, 2024 and closed January 2, 2025. Total Net Profit for that cycle is –$468,896.99.</w:t>
      </w:r>
    </w:p>
    <w:tbl>
      <w:tblPr>
        <w:tblStyle w:val="TableGrid"/>
        <w:tblW w:type="auto" w:w="0"/>
        <w:tblLook w:firstColumn="1" w:firstRow="1" w:lastColumn="0" w:lastRow="0" w:noHBand="0" w:noVBand="1" w:val="04A0"/>
      </w:tblPr>
      <w:tblGrid>
        <w:gridCol w:w="5083"/>
        <w:gridCol w:w="5083"/>
      </w:tblGrid>
      <w:tr>
        <w:tc>
          <w:tcPr>
            <w:tcW w:type="dxa" w:w="5083"/>
            <w:shd w:fill="E9EEF4"/>
          </w:tcPr>
          <w:p>
            <w:r>
              <w:t>Cycle metric</w:t>
            </w:r>
          </w:p>
        </w:tc>
        <w:tc>
          <w:tcPr>
            <w:tcW w:type="dxa" w:w="5083"/>
            <w:shd w:fill="E9EEF4"/>
          </w:tcPr>
          <w:p>
            <w:r>
              <w:t>Reconstructed / broker-supported value</w:t>
            </w:r>
          </w:p>
        </w:tc>
      </w:tr>
      <w:tr>
        <w:tc>
          <w:tcPr>
            <w:tcW w:type="dxa" w:w="5083"/>
          </w:tcPr>
          <w:p>
            <w:r>
              <w:t>Positions</w:t>
            </w:r>
          </w:p>
        </w:tc>
        <w:tc>
          <w:tcPr>
            <w:tcW w:type="dxa" w:w="5083"/>
          </w:tcPr>
          <w:p>
            <w:r>
              <w:t>16 long EUR/USD</w:t>
            </w:r>
          </w:p>
        </w:tc>
      </w:tr>
      <w:tr>
        <w:tc>
          <w:tcPr>
            <w:tcW w:type="dxa" w:w="5083"/>
          </w:tcPr>
          <w:p>
            <w:r>
              <w:t>Net loss</w:t>
            </w:r>
          </w:p>
        </w:tc>
        <w:tc>
          <w:tcPr>
            <w:tcW w:type="dxa" w:w="5083"/>
          </w:tcPr>
          <w:p>
            <w:r>
              <w:t>–$468,896.99</w:t>
            </w:r>
          </w:p>
        </w:tc>
      </w:tr>
      <w:tr>
        <w:tc>
          <w:tcPr>
            <w:tcW w:type="dxa" w:w="5083"/>
          </w:tcPr>
          <w:p>
            <w:r>
              <w:t>Price loss</w:t>
            </w:r>
          </w:p>
        </w:tc>
        <w:tc>
          <w:tcPr>
            <w:tcW w:type="dxa" w:w="5083"/>
          </w:tcPr>
          <w:p>
            <w:r>
              <w:t>Approx. –$434,751.66</w:t>
            </w:r>
          </w:p>
        </w:tc>
      </w:tr>
      <w:tr>
        <w:tc>
          <w:tcPr>
            <w:tcW w:type="dxa" w:w="5083"/>
          </w:tcPr>
          <w:p>
            <w:r>
              <w:t>Swap / carry</w:t>
            </w:r>
          </w:p>
        </w:tc>
        <w:tc>
          <w:tcPr>
            <w:tcW w:type="dxa" w:w="5083"/>
          </w:tcPr>
          <w:p>
            <w:r>
              <w:t>Approx. –$33,692.22</w:t>
            </w:r>
          </w:p>
        </w:tc>
      </w:tr>
      <w:tr>
        <w:tc>
          <w:tcPr>
            <w:tcW w:type="dxa" w:w="5083"/>
          </w:tcPr>
          <w:p>
            <w:r>
              <w:t>Commissions</w:t>
            </w:r>
          </w:p>
        </w:tc>
        <w:tc>
          <w:tcPr>
            <w:tcW w:type="dxa" w:w="5083"/>
          </w:tcPr>
          <w:p>
            <w:r>
              <w:t>Approx. –$453.11</w:t>
            </w:r>
          </w:p>
        </w:tc>
      </w:tr>
      <w:tr>
        <w:tc>
          <w:tcPr>
            <w:tcW w:type="dxa" w:w="5083"/>
          </w:tcPr>
          <w:p>
            <w:r>
              <w:t>Winning / losing</w:t>
            </w:r>
          </w:p>
        </w:tc>
        <w:tc>
          <w:tcPr>
            <w:tcW w:type="dxa" w:w="5083"/>
          </w:tcPr>
          <w:p>
            <w:r>
              <w:t>0 / 16</w:t>
            </w:r>
          </w:p>
        </w:tc>
      </w:tr>
      <w:tr>
        <w:tc>
          <w:tcPr>
            <w:tcW w:type="dxa" w:w="5083"/>
          </w:tcPr>
          <w:p>
            <w:r>
              <w:t>Position sizing</w:t>
            </w:r>
          </w:p>
        </w:tc>
        <w:tc>
          <w:tcPr>
            <w:tcW w:type="dxa" w:w="5083"/>
          </w:tcPr>
          <w:p>
            <w:r>
              <w:t>1.80 to 7.52 lots; 64.73 lots total</w:t>
            </w:r>
          </w:p>
        </w:tc>
      </w:tr>
      <w:tr>
        <w:tc>
          <w:tcPr>
            <w:tcW w:type="dxa" w:w="5083"/>
          </w:tcPr>
          <w:p>
            <w:r>
              <w:t>S/L field</w:t>
            </w:r>
          </w:p>
        </w:tc>
        <w:tc>
          <w:tcPr>
            <w:tcW w:type="dxa" w:w="5083"/>
          </w:tcPr>
          <w:p>
            <w:r>
              <w:t>0.00000 on each position</w:t>
            </w:r>
          </w:p>
        </w:tc>
      </w:tr>
    </w:tbl>
    <w:p>
      <w:pPr>
        <w:pStyle w:val="Heading1"/>
      </w:pPr>
      <w:r>
        <w:t>What this supports</w:t>
      </w:r>
    </w:p>
    <w:p>
      <w:r>
        <w:t>The exhibit supports the $468,896.99 EUR/USD closing-cycle loss. Newly supplied July–September 2024 OX statements materially changed the broader account reconstruction, so the earlier OX estimate was retired and no replacement final OX lifetime figure is published here yet.</w:t>
      </w:r>
    </w:p>
    <w:p>
      <w:pPr>
        <w:pStyle w:val="Heading1"/>
      </w:pPr>
      <w:r>
        <w:t>What remains open</w:t>
      </w:r>
    </w:p>
    <w:tbl>
      <w:tblPr>
        <w:tblW w:type="auto" w:w="0"/>
        <w:tblLook w:firstColumn="1" w:firstRow="1" w:lastColumn="0" w:lastRow="0" w:noHBand="0" w:noVBand="1" w:val="04A0"/>
      </w:tblPr>
      <w:tblGrid>
        <w:gridCol w:w="10166"/>
      </w:tblGrid>
      <w:tr>
        <w:tc>
          <w:tcPr>
            <w:tcW w:type="dxa" w:w="10166"/>
            <w:shd w:fill="FFF7E8"/>
          </w:tcPr>
          <w:p>
            <w:r>
              <w:t>OX has now resolved the July 3–September 29, 2024 interval and identified the source accounts for the $500,000 and two $300,000 withdrawals, as well as the three $50,000 transfers from the trading account to the trading account. The remaining controls are the archived [ACCOUNT REDACTED] statement, exact counterpart mapping for several other [ACCOUNT REDACTED] transfer entries, and complete October–December 2024 trading coverage for [ACCOUNT REDACTED]. No revised final OX lifetime loss is published until those records are reconciled.</w:t>
            </w:r>
          </w:p>
        </w:tc>
      </w:tr>
    </w:tbl>
    <w:p>
      <w:pPr>
        <w:pStyle w:val="Heading1"/>
      </w:pPr>
      <w:r>
        <w:t>Causation limit</w:t>
      </w:r>
    </w:p>
    <w:p>
      <w:r>
        <w:t>The report establishes the trade cycle and its financial result. It does not, by itself, establish why the positions accumulated, why they remained open, or whether a specific operational or risk-control failure caused the result.</w:t>
      </w:r>
    </w:p>
    <w:p>
      <w:pPr>
        <w:pStyle w:val="Heading1"/>
      </w:pPr>
      <w:r>
        <w:t>Public-source note</w:t>
      </w:r>
    </w:p>
    <w:p>
      <w:r>
        <w:t>The public Evidence Room should use redacted primary OX reports rather than internal cover material. Remove account identifiers and unrelated matter labels from public copies.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Public working exhibit • evidence status and limitations preserved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PUBLIC EVIDENCE ROOM • EXHIBIT 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0_Public_Evidence_Room_Index.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