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11">
        <w:r>
          <w:rPr>
            <w:color w:val="0563C1"/>
            <w:u w:val="single"/>
          </w:rPr>
          <w:t>← Back to Evidence Room Index</w:t>
        </w:r>
      </w:hyperlink>
    </w:p>
    <w:p>
      <w:pPr>
        <w:pStyle w:val="Title"/>
      </w:pPr>
      <w:r>
        <w:t>Exhibit H</w:t>
      </w:r>
    </w:p>
    <w:p>
      <w:r>
        <w:rPr>
          <w:b/>
        </w:rPr>
        <w:t>STATUS: CLOSED / RECONCILED ECONOMIC DEPLETION — internal transfers are not counted as new external capital.</w:t>
      </w:r>
    </w:p>
    <w:p>
      <w:r>
        <w:rPr>
          <w:b/>
          <w:sz w:val="30"/>
        </w:rPr>
        <w:t>Monaxa — Capital Bridge and Lifetime Economic Depletion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4"/>
          </w:tcPr>
          <w:p>
            <w:r>
              <w:t>Source</w:t>
            </w:r>
          </w:p>
        </w:tc>
        <w:tc>
          <w:tcPr>
            <w:tcW w:type="dxa" w:w="5083"/>
          </w:tcPr>
          <w:p>
            <w:r>
              <w:t>Primary Monaxa confirmations / broker ledger plus broker-derived detailed statement</w:t>
            </w:r>
          </w:p>
        </w:tc>
      </w:tr>
      <w:tr>
        <w:tc>
          <w:tcPr>
            <w:tcW w:type="dxa" w:w="5083"/>
            <w:shd w:fill="E9EEF4"/>
          </w:tcPr>
          <w:p>
            <w:r>
              <w:t>Period</w:t>
            </w:r>
          </w:p>
        </w:tc>
        <w:tc>
          <w:tcPr>
            <w:tcW w:type="dxa" w:w="5083"/>
          </w:tcPr>
          <w:p>
            <w:r>
              <w:t>August 2024–January 27, 2025</w:t>
            </w:r>
          </w:p>
        </w:tc>
      </w:tr>
    </w:tbl>
    <w:p>
      <w:pPr>
        <w:pStyle w:val="Heading1"/>
      </w:pPr>
      <w:r>
        <w:t>Capital bridge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9EEF4"/>
          </w:tcPr>
          <w:p>
            <w:r>
              <w:t>Event</w:t>
            </w:r>
          </w:p>
        </w:tc>
        <w:tc>
          <w:tcPr>
            <w:tcW w:type="dxa" w:w="3389"/>
            <w:shd w:fill="E9EEF4"/>
          </w:tcPr>
          <w:p>
            <w:r>
              <w:t>Amount</w:t>
            </w:r>
          </w:p>
        </w:tc>
        <w:tc>
          <w:tcPr>
            <w:tcW w:type="dxa" w:w="3389"/>
            <w:shd w:fill="E9EEF4"/>
          </w:tcPr>
          <w:p>
            <w:r>
              <w:t>Treatment</w:t>
            </w:r>
          </w:p>
        </w:tc>
      </w:tr>
      <w:tr>
        <w:tc>
          <w:tcPr>
            <w:tcW w:type="dxa" w:w="3389"/>
          </w:tcPr>
          <w:p>
            <w:r>
              <w:t>Initial trading-account deposit</w:t>
            </w:r>
          </w:p>
        </w:tc>
        <w:tc>
          <w:tcPr>
            <w:tcW w:type="dxa" w:w="3389"/>
          </w:tcPr>
          <w:p>
            <w:r>
              <w:t>+ $50,000.00</w:t>
            </w:r>
          </w:p>
        </w:tc>
        <w:tc>
          <w:tcPr>
            <w:tcW w:type="dxa" w:w="3389"/>
          </w:tcPr>
          <w:p>
            <w:r>
              <w:t>External deposit</w:t>
            </w:r>
          </w:p>
        </w:tc>
      </w:tr>
      <w:tr>
        <w:tc>
          <w:tcPr>
            <w:tcW w:type="dxa" w:w="3389"/>
          </w:tcPr>
          <w:p>
            <w:r>
              <w:t>Vault → trading account</w:t>
            </w:r>
          </w:p>
        </w:tc>
        <w:tc>
          <w:tcPr>
            <w:tcW w:type="dxa" w:w="3389"/>
          </w:tcPr>
          <w:p>
            <w:r>
              <w:t>+ $200,000.00</w:t>
            </w:r>
          </w:p>
        </w:tc>
        <w:tc>
          <w:tcPr>
            <w:tcW w:type="dxa" w:w="3389"/>
          </w:tcPr>
          <w:p>
            <w:r>
              <w:t>Internal Monaxa transfer</w:t>
            </w:r>
          </w:p>
        </w:tc>
      </w:tr>
      <w:tr>
        <w:tc>
          <w:tcPr>
            <w:tcW w:type="dxa" w:w="3389"/>
          </w:tcPr>
          <w:p>
            <w:r>
              <w:t>Vault → trading account</w:t>
            </w:r>
          </w:p>
        </w:tc>
        <w:tc>
          <w:tcPr>
            <w:tcW w:type="dxa" w:w="3389"/>
          </w:tcPr>
          <w:p>
            <w:r>
              <w:t>+ $100,000.00</w:t>
            </w:r>
          </w:p>
        </w:tc>
        <w:tc>
          <w:tcPr>
            <w:tcW w:type="dxa" w:w="3389"/>
          </w:tcPr>
          <w:p>
            <w:r>
              <w:t>Internal Monaxa transfer</w:t>
            </w:r>
          </w:p>
        </w:tc>
      </w:tr>
      <w:tr>
        <w:tc>
          <w:tcPr>
            <w:tcW w:type="dxa" w:w="3389"/>
          </w:tcPr>
          <w:p>
            <w:r>
              <w:t>Total placed into trading account</w:t>
            </w:r>
          </w:p>
        </w:tc>
        <w:tc>
          <w:tcPr>
            <w:tcW w:type="dxa" w:w="3389"/>
          </w:tcPr>
          <w:p>
            <w:r>
              <w:t>$350,000.00</w:t>
            </w:r>
          </w:p>
        </w:tc>
        <w:tc>
          <w:tcPr>
            <w:tcW w:type="dxa" w:w="3389"/>
          </w:tcPr>
          <w:p>
            <w:r>
              <w:t>Capital control</w:t>
            </w:r>
          </w:p>
        </w:tc>
      </w:tr>
      <w:tr>
        <w:tc>
          <w:tcPr>
            <w:tcW w:type="dxa" w:w="3389"/>
          </w:tcPr>
          <w:p>
            <w:r>
              <w:t>Residual returned to Vault</w:t>
            </w:r>
          </w:p>
        </w:tc>
        <w:tc>
          <w:tcPr>
            <w:tcW w:type="dxa" w:w="3389"/>
          </w:tcPr>
          <w:p>
            <w:r>
              <w:t>– $499.66</w:t>
            </w:r>
          </w:p>
        </w:tc>
        <w:tc>
          <w:tcPr>
            <w:tcW w:type="dxa" w:w="3389"/>
          </w:tcPr>
          <w:p>
            <w:r>
              <w:t>Returned capital</w:t>
            </w:r>
          </w:p>
        </w:tc>
      </w:tr>
      <w:tr>
        <w:tc>
          <w:tcPr>
            <w:tcW w:type="dxa" w:w="3389"/>
          </w:tcPr>
          <w:p>
            <w:r>
              <w:t>Lifetime economic depletion</w:t>
            </w:r>
          </w:p>
        </w:tc>
        <w:tc>
          <w:tcPr>
            <w:tcW w:type="dxa" w:w="3389"/>
          </w:tcPr>
          <w:p>
            <w:r>
              <w:t>$349,500.34</w:t>
            </w:r>
          </w:p>
        </w:tc>
        <w:tc>
          <w:tcPr>
            <w:tcW w:type="dxa" w:w="3389"/>
          </w:tcPr>
          <w:p>
            <w:r>
              <w:t>Closed / reconciled</w:t>
            </w:r>
          </w:p>
        </w:tc>
      </w:tr>
    </w:tbl>
    <w:p>
      <w:pPr>
        <w:pStyle w:val="Heading1"/>
      </w:pPr>
      <w:r>
        <w:t>Trading-history context</w:t>
      </w:r>
    </w:p>
    <w:p>
      <w:r>
        <w:t>The broker-derived detailed statement preserves an important counterpoint: the account was profitable in 2024 before the 2025 closing-loss 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9EEF4"/>
          </w:tcPr>
          <w:p>
            <w:r>
              <w:t>Period</w:t>
            </w:r>
          </w:p>
        </w:tc>
        <w:tc>
          <w:tcPr>
            <w:tcW w:type="dxa" w:w="2541"/>
            <w:shd w:fill="E9EEF4"/>
          </w:tcPr>
          <w:p>
            <w:r>
              <w:t>Closed trades</w:t>
            </w:r>
          </w:p>
        </w:tc>
        <w:tc>
          <w:tcPr>
            <w:tcW w:type="dxa" w:w="2541"/>
            <w:shd w:fill="E9EEF4"/>
          </w:tcPr>
          <w:p>
            <w:r>
              <w:t>Trading P/L</w:t>
            </w:r>
          </w:p>
        </w:tc>
        <w:tc>
          <w:tcPr>
            <w:tcW w:type="dxa" w:w="2541"/>
            <w:shd w:fill="E9EEF4"/>
          </w:tcPr>
          <w:p>
            <w:r>
              <w:t>Net after swap/commissions</w:t>
            </w:r>
          </w:p>
        </w:tc>
      </w:tr>
      <w:tr>
        <w:tc>
          <w:tcPr>
            <w:tcW w:type="dxa" w:w="2541"/>
          </w:tcPr>
          <w:p>
            <w:r>
              <w:t>2024</w:t>
            </w:r>
          </w:p>
        </w:tc>
        <w:tc>
          <w:tcPr>
            <w:tcW w:type="dxa" w:w="2541"/>
          </w:tcPr>
          <w:p>
            <w:r>
              <w:t>865</w:t>
            </w:r>
          </w:p>
        </w:tc>
        <w:tc>
          <w:tcPr>
            <w:tcW w:type="dxa" w:w="2541"/>
          </w:tcPr>
          <w:p>
            <w:r>
              <w:t>+$63,914.99</w:t>
            </w:r>
          </w:p>
        </w:tc>
        <w:tc>
          <w:tcPr>
            <w:tcW w:type="dxa" w:w="2541"/>
          </w:tcPr>
          <w:p>
            <w:r>
              <w:t>+$42,138.81</w:t>
            </w:r>
          </w:p>
        </w:tc>
      </w:tr>
      <w:tr>
        <w:tc>
          <w:tcPr>
            <w:tcW w:type="dxa" w:w="2541"/>
          </w:tcPr>
          <w:p>
            <w:r>
              <w:t>2025 closing cycle</w:t>
            </w:r>
          </w:p>
        </w:tc>
        <w:tc>
          <w:tcPr>
            <w:tcW w:type="dxa" w:w="2541"/>
          </w:tcPr>
          <w:p>
            <w:r>
              <w:t>18</w:t>
            </w:r>
          </w:p>
        </w:tc>
        <w:tc>
          <w:tcPr>
            <w:tcW w:type="dxa" w:w="2541"/>
          </w:tcPr>
          <w:p>
            <w:r>
              <w:t>–$355,925.80</w:t>
            </w:r>
          </w:p>
        </w:tc>
        <w:tc>
          <w:tcPr>
            <w:tcW w:type="dxa" w:w="2541"/>
          </w:tcPr>
          <w:p>
            <w:r>
              <w:t>–$391,639.15</w:t>
            </w:r>
          </w:p>
        </w:tc>
      </w:tr>
      <w:tr>
        <w:tc>
          <w:tcPr>
            <w:tcW w:type="dxa" w:w="2541"/>
          </w:tcPr>
          <w:p>
            <w:r>
              <w:t>Lifetime</w:t>
            </w:r>
          </w:p>
        </w:tc>
        <w:tc>
          <w:tcPr>
            <w:tcW w:type="dxa" w:w="2541"/>
          </w:tcPr>
          <w:p>
            <w:r>
              <w:t>883</w:t>
            </w:r>
          </w:p>
        </w:tc>
        <w:tc>
          <w:tcPr>
            <w:tcW w:type="dxa" w:w="2541"/>
          </w:tcPr>
          <w:p>
            <w:r>
              <w:t>—</w:t>
            </w:r>
          </w:p>
        </w:tc>
        <w:tc>
          <w:tcPr>
            <w:tcW w:type="dxa" w:w="2541"/>
          </w:tcPr>
          <w:p>
            <w:r>
              <w:t>–$349,500.34</w:t>
            </w:r>
          </w:p>
        </w:tc>
      </w:tr>
    </w:tbl>
    <w:p>
      <w:pPr>
        <w:pStyle w:val="Heading1"/>
      </w:pPr>
      <w:r>
        <w:t>What this supports</w:t>
      </w:r>
    </w:p>
    <w:p>
      <w:r>
        <w:t>Primary Monaxa funding and closing records reconcile $350,000 placed into the trading account against $499.66 returned, producing $349,500.34 of lifetime economic depletion.</w:t>
      </w:r>
    </w:p>
    <w:p>
      <w:pPr>
        <w:pStyle w:val="Heading1"/>
      </w:pPr>
      <w:r>
        <w:t>No double counting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</w:tcPr>
          <w:p>
            <w:r>
              <w:t>The $200,000 and $100,000 Vault movements are internal transfers and are not additional external investment. The –$391,639.15 2025 closing cycle is not added again to the lifetime depletion because the earlier 2024 gains are already reflected in the $349,500.34 lifetime result.</w:t>
            </w:r>
          </w:p>
        </w:tc>
      </w:tr>
    </w:tbl>
    <w:p>
      <w:pPr>
        <w:pStyle w:val="Heading1"/>
      </w:pPr>
      <w:r>
        <w:t>Public-source note</w:t>
      </w:r>
    </w:p>
    <w:p>
      <w:r>
        <w:t>For publication, use the underlying Monaxa confirmations/ledger and, where trade-level context is shown, the broker-derived detailed statement. Do not publish internal cover sheets or unrelated identifiers.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Public working exhibit • evidence status and limitations preserved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PUBLIC EVIDENCE ROOM • EXHIBIT 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Public_Evidence_Room_Index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