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hyperlink r:id="rId11">
        <w:r>
          <w:rPr>
            <w:color w:val="0563C1"/>
            <w:u w:val="single"/>
          </w:rPr>
          <w:t>← Back to Evidence Room Index</w:t>
        </w:r>
      </w:hyperlink>
    </w:p>
    <w:p>
      <w:pPr>
        <w:pStyle w:val="Title"/>
      </w:pPr>
      <w:r>
        <w:t>Exhibit I</w:t>
      </w:r>
    </w:p>
    <w:p>
      <w:r>
        <w:rPr>
          <w:b/>
        </w:rPr>
        <w:t>STATUS: PARTIALLY CORROBORATED CAUSATION — candidate-position P/L is not a verified orphan-trade damages figure.</w:t>
      </w:r>
    </w:p>
    <w:p>
      <w:r>
        <w:rPr>
          <w:b/>
          <w:sz w:val="30"/>
        </w:rPr>
        <w:t>Orphan Trades — Contemporaneous Reports and Later Broker-Record Corroboration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9EEF4"/>
          </w:tcPr>
          <w:p>
            <w:r>
              <w:t>Evidence</w:t>
            </w:r>
          </w:p>
        </w:tc>
        <w:tc>
          <w:tcPr>
            <w:tcW w:type="dxa" w:w="5083"/>
          </w:tcPr>
          <w:p>
            <w:r>
              <w:t>March/April 2026 customer-to-NURP correspondence; recovered March 3 working orphan-trade spreadsheet; September 2026 GNT final-history reconstruction</w:t>
            </w:r>
          </w:p>
        </w:tc>
      </w:tr>
      <w:tr>
        <w:tc>
          <w:tcPr>
            <w:tcW w:type="dxa" w:w="5083"/>
            <w:shd w:fill="E9EEF4"/>
          </w:tcPr>
          <w:p>
            <w:r>
              <w:t>Status</w:t>
            </w:r>
          </w:p>
        </w:tc>
        <w:tc>
          <w:tcPr>
            <w:tcW w:type="dxa" w:w="5083"/>
          </w:tcPr>
          <w:p>
            <w:r>
              <w:t>Partially corroborated — contemporaneous working list recovered; causal master/copier mapping still pending</w:t>
            </w:r>
          </w:p>
        </w:tc>
      </w:tr>
    </w:tbl>
    <w:p>
      <w:pPr>
        <w:pStyle w:val="Heading1"/>
      </w:pPr>
      <w:r>
        <w:t>1. What was reported at the time</w:t>
      </w:r>
    </w:p>
    <w:p>
      <w:r>
        <w:t>In March and April 2026, I reported to NURP that a master-account/broker transition had left trades outside their intended management and that the resulting losses exceeded $50,000. The March 27 email stated: “Orphan trade issues cost me over $50k.” The later April communication described the transition as an operational failure and stated that I had incurred at least $50,000 in additional losses.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8"/>
          </w:tcPr>
          <w:p>
            <w:r>
              <w:t>EVIDENCE TREATMENT — These emails are contemporaneous evidence that the problem and loss were being reported to NURP at the time. They are customer statements as to causation and amount; they are not independent broker proof of which trades were orphaned.</w:t>
            </w:r>
          </w:p>
        </w:tc>
      </w:tr>
    </w:tbl>
    <w:p>
      <w:pPr>
        <w:pStyle w:val="Heading1"/>
      </w:pPr>
      <w:r>
        <w:t>2. What the recovered March 3 working spreadsheet shows</w:t>
      </w:r>
    </w:p>
    <w:p>
      <w:r>
        <w:t>The recovered workbook titled “Orphan Trades 3-3-26” identifies the two Argos GNT accounts and describes them in its headings as containing 32 and 29 orphaned trades, respectively — 61 listed positions in all. At row level, 48 positions are explicitly labeled “Orphaned” and 13 are labeled “Open.” The 48 rows explicitly labeled Orphaned total approximately –$16,575.12 at the values shown in the workbook. The workbook therefore materially corroborates that a defined orphan-trade problem was being tracked at the account level, but it should not be treated as a complete final loss accounting.</w:t>
      </w:r>
    </w:p>
    <w:p>
      <w:pPr>
        <w:pStyle w:val="Heading1"/>
      </w:pPr>
      <w:r>
        <w:t>3. What the later broker histories add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9EEF4"/>
          </w:tcPr>
          <w:p>
            <w:r>
              <w:t>Candidate set</w:t>
            </w:r>
          </w:p>
        </w:tc>
        <w:tc>
          <w:tcPr>
            <w:tcW w:type="dxa" w:w="3389"/>
            <w:shd w:fill="E9EEF4"/>
          </w:tcPr>
          <w:p>
            <w:r>
              <w:t>Position count</w:t>
            </w:r>
          </w:p>
        </w:tc>
        <w:tc>
          <w:tcPr>
            <w:tcW w:type="dxa" w:w="3389"/>
            <w:shd w:fill="E9EEF4"/>
          </w:tcPr>
          <w:p>
            <w:r>
              <w:t>Eventual combined net P/L</w:t>
            </w:r>
          </w:p>
        </w:tc>
      </w:tr>
      <w:tr>
        <w:tc>
          <w:tcPr>
            <w:tcW w:type="dxa" w:w="3389"/>
          </w:tcPr>
          <w:p>
            <w:r>
              <w:t>Pre-February 1 cutoff</w:t>
            </w:r>
          </w:p>
        </w:tc>
        <w:tc>
          <w:tcPr>
            <w:tcW w:type="dxa" w:w="3389"/>
          </w:tcPr>
          <w:p>
            <w:r>
              <w:t>62 follower positions / 31 paired signals</w:t>
            </w:r>
          </w:p>
        </w:tc>
        <w:tc>
          <w:tcPr>
            <w:tcW w:type="dxa" w:w="3389"/>
          </w:tcPr>
          <w:p>
            <w:r>
              <w:t>Approx. –$100,520.28</w:t>
            </w:r>
          </w:p>
        </w:tc>
      </w:tr>
      <w:tr>
        <w:tc>
          <w:tcPr>
            <w:tcW w:type="dxa" w:w="3389"/>
          </w:tcPr>
          <w:p>
            <w:r>
              <w:t>Extended through March 3/4</w:t>
            </w:r>
          </w:p>
        </w:tc>
        <w:tc>
          <w:tcPr>
            <w:tcW w:type="dxa" w:w="3389"/>
          </w:tcPr>
          <w:p>
            <w:r>
              <w:t>69 candidate positions</w:t>
            </w:r>
          </w:p>
        </w:tc>
        <w:tc>
          <w:tcPr>
            <w:tcW w:type="dxa" w:w="3389"/>
          </w:tcPr>
          <w:p>
            <w:r>
              <w:t>Approx. –$111,000.06</w:t>
            </w:r>
          </w:p>
        </w:tc>
      </w:tr>
    </w:tbl>
    <w:p>
      <w:r>
        <w:t>The spreadsheet also explains the previously unresolved working figure of approximately $16,575.12: it is the combined total of the 48 rows explicitly labeled “Orphaned” in the recovered workbook. Because the workbook separately includes 13 rows labeled “Open,” and because later records identify a larger candidate population, $16,575.12 is best treated as a contemporaneous snapshot/working figure rather than the final economic effect of the orphan-trade episode.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8"/>
          </w:tcPr>
          <w:p>
            <w:r>
              <w:t>CAUSATION CONTROL — The missing master/copier mapping is the evidence needed to determine which positions actually became orphaned, when they ceased following the intended master logic, and what portion of later P/L is causally attributable to that event. Until that mapping is recovered, $100,520.28 is a candidate-population result, not a verified orphan-trade damages figure.</w:t>
            </w:r>
          </w:p>
        </w:tc>
      </w:tr>
    </w:tbl>
    <w:p>
      <w:pPr>
        <w:pStyle w:val="Heading1"/>
      </w:pPr>
      <w:r>
        <w:t>4. Why the later candidate-position P/L is not called orphan-trade damages</w:t>
      </w:r>
    </w:p>
    <w:p>
      <w:r>
        <w:t>A later reconstruction of GNT's final histories identified a comparably scaled population of paired follower positions, including 62 positions / 31 paired signals under the pre-February 1 cutoff with combined net P/L of approximately –$100,520.28. That later population is useful corroboration, but without master-account/copier mapping it does not establish that every candidate position was orphaned or that the transition caused the eventual loss. Neither the contemporaneous “over $50,000” report, the recovered workbook's approximately –$16,575.12 explicitly labeled orphan snapshot, my later working recollection of roughly $56,000, nor the later candidate-position P/L is added separately to the controlled economic-cost total because the underlying trading results are already embedded in GNT depletion.</w:t>
      </w:r>
    </w:p>
    <w:p>
      <w:pPr>
        <w:pStyle w:val="Heading1"/>
      </w:pPr>
      <w:r>
        <w:t>5. The earlier $16,575.12 working number is now sourced</w:t>
      </w:r>
    </w:p>
    <w:p>
      <w:r>
        <w:t>The recovered March 3 workbook reproduces the approximately –$16,575.12 figure exactly as the combined total of its 48 rows explicitly labeled “Orphaned.” This resolves the source of that earlier working number. It does not establish that $16,575.12 was the complete orphan-trade loss, because the same workbook also contains 13 rows labeled “Open,” the headings describe 61 positions as orphaned trades, and later broker-history reconstruction identifies a broader candidate population.</w:t>
      </w:r>
    </w:p>
    <w:p>
      <w:pPr>
        <w:pStyle w:val="Heading1"/>
      </w:pPr>
      <w:r>
        <w:t>6. What would still close the causal evidence gap</w:t>
      </w:r>
    </w:p>
    <w:p>
      <w:r>
        <w:t>The decisive records would still be master-account trade history and copier logs that map each follower position to its master signal before, during and after the broker/master transition. Those records would allow the 61-position working list and the later candidate sets to be classified trade by trade and would permit any causal loss to be calculated without estimation.</w:t>
      </w:r>
    </w:p>
    <w:p>
      <w:pPr>
        <w:pStyle w:val="Heading1"/>
      </w:pPr>
      <w:r>
        <w:t>Public conclusion</w:t>
      </w:r>
    </w:p>
    <w:p>
      <w:r>
        <w:t>The record now supports saying that I contemporaneously reported an orphan-trade problem and losses exceeding $50,000; that a recovered March 3 working spreadsheet identifies 61 positions across the two Argos accounts, with 48 rows explicitly labeled “Orphaned” totaling approximately –$16,575.12 and 13 rows labeled “Open”; and that later broker histories independently reveal a similarly scaled paired follower-position population. The record still does not establish that every listed/candidate position was orphaned or that any one of these working figures is the complete causal damages amount.</w:t>
      </w:r>
    </w:p>
    <w:p>
      <w:pPr>
        <w:pStyle w:val="Heading1"/>
      </w:pPr>
      <w:r>
        <w:t>Publication control</w:t>
      </w:r>
    </w:p>
    <w:p>
      <w:r>
        <w:t>For the public Evidence Room, use redacted copies of the relevant customer-to-NURP correspondence and a compact reconstruction table derived from the broker histories. Redact account numbers, email addresses, login/security information and unrelated third-party material. Do not imply that any third party has adopted this causal interpretation.</w:t>
      </w:r>
    </w:p>
    <w:p>
      <w:pPr>
        <w:pStyle w:val="Heading2"/>
      </w:pPr>
      <w:r>
        <w:t>Recovered source added after Publication Candidate v1</w:t>
      </w:r>
    </w:p>
    <w:p>
      <w:r>
        <w:t>Source: Orphan Trades 3-3-26.xlsx (public copy redacts the customer's name and account identifiers). The original workbook is preserved separately. The workbook headings describe 32 orphaned trades in Argos #1 and 29 in Argos #2. At row level, 23 Argos #1 rows and 25 Argos #2 rows are explicitly labeled “Orphaned”; the remaining 13 listed positions are labeled “Open.” The 48 explicitly labeled rows total approximately –$16,575.12.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Public working exhibit • causal designation remains open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PUBLIC EVIDENCE ROOM • EXHIBIT 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00_Public_Evidence_Room_Index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