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hyperlink r:id="rId11">
        <w:r>
          <w:rPr>
            <w:color w:val="0563C1"/>
            <w:u w:val="single"/>
          </w:rPr>
          <w:t>← Back to Evidence Room Index</w:t>
        </w:r>
      </w:hyperlink>
    </w:p>
    <w:p>
      <w:pPr>
        <w:pStyle w:val="Title"/>
      </w:pPr>
      <w:r>
        <w:t>Exhibit J</w:t>
      </w:r>
    </w:p>
    <w:p>
      <w:r>
        <w:rPr>
          <w:b/>
        </w:rPr>
        <w:t>STATUS: RECONSTRUCTED NET FEE COST — refund entitlement is a separate question.</w:t>
      </w:r>
    </w:p>
    <w:p>
      <w:r>
        <w:rPr>
          <w:b/>
          <w:sz w:val="30"/>
        </w:rPr>
        <w:t>NURP Fees — Gross Charges, Refunds and Net Retained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9EEF4"/>
          </w:tcPr>
          <w:p>
            <w:r>
              <w:t>Source</w:t>
            </w:r>
          </w:p>
        </w:tc>
        <w:tc>
          <w:tcPr>
            <w:tcW w:type="dxa" w:w="5083"/>
          </w:tcPr>
          <w:p>
            <w:r>
              <w:t>Payment histories, NURP receipts, card/ACH records and identified credits/refunds</w:t>
            </w:r>
          </w:p>
        </w:tc>
      </w:tr>
      <w:tr>
        <w:tc>
          <w:tcPr>
            <w:tcW w:type="dxa" w:w="5083"/>
            <w:shd w:fill="E9EEF4"/>
          </w:tcPr>
          <w:p>
            <w:r>
              <w:t>Period</w:t>
            </w:r>
          </w:p>
        </w:tc>
        <w:tc>
          <w:tcPr>
            <w:tcW w:type="dxa" w:w="5083"/>
          </w:tcPr>
          <w:p>
            <w:r>
              <w:t>2023 through August 12, 2026</w:t>
            </w:r>
          </w:p>
        </w:tc>
      </w:tr>
    </w:tbl>
    <w:p>
      <w:pPr>
        <w:pStyle w:val="Heading1"/>
      </w:pPr>
      <w:r>
        <w:t>Fee reconciliation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E9EEF4"/>
          </w:tcPr>
          <w:p>
            <w:r>
              <w:t>Year</w:t>
            </w:r>
          </w:p>
        </w:tc>
        <w:tc>
          <w:tcPr>
            <w:tcW w:type="dxa" w:w="2541"/>
            <w:shd w:fill="E9EEF4"/>
          </w:tcPr>
          <w:p>
            <w:r>
              <w:t>Gross charges</w:t>
            </w:r>
          </w:p>
        </w:tc>
        <w:tc>
          <w:tcPr>
            <w:tcW w:type="dxa" w:w="2541"/>
            <w:shd w:fill="E9EEF4"/>
          </w:tcPr>
          <w:p>
            <w:r>
              <w:t>Refunds / credits</w:t>
            </w:r>
          </w:p>
        </w:tc>
        <w:tc>
          <w:tcPr>
            <w:tcW w:type="dxa" w:w="2541"/>
            <w:shd w:fill="E9EEF4"/>
          </w:tcPr>
          <w:p>
            <w:r>
              <w:t>Net retained</w:t>
            </w:r>
          </w:p>
        </w:tc>
      </w:tr>
      <w:tr>
        <w:tc>
          <w:tcPr>
            <w:tcW w:type="dxa" w:w="2541"/>
          </w:tcPr>
          <w:p>
            <w:r>
              <w:t>2023</w:t>
            </w:r>
          </w:p>
        </w:tc>
        <w:tc>
          <w:tcPr>
            <w:tcW w:type="dxa" w:w="2541"/>
          </w:tcPr>
          <w:p>
            <w:r>
              <w:t>$22,482</w:t>
            </w:r>
          </w:p>
        </w:tc>
        <w:tc>
          <w:tcPr>
            <w:tcW w:type="dxa" w:w="2541"/>
          </w:tcPr>
          <w:p>
            <w:r>
              <w:t>$0</w:t>
            </w:r>
          </w:p>
        </w:tc>
        <w:tc>
          <w:tcPr>
            <w:tcW w:type="dxa" w:w="2541"/>
          </w:tcPr>
          <w:p>
            <w:r>
              <w:t>$22,482</w:t>
            </w:r>
          </w:p>
        </w:tc>
      </w:tr>
      <w:tr>
        <w:tc>
          <w:tcPr>
            <w:tcW w:type="dxa" w:w="2541"/>
          </w:tcPr>
          <w:p>
            <w:r>
              <w:t>2024</w:t>
            </w:r>
          </w:p>
        </w:tc>
        <w:tc>
          <w:tcPr>
            <w:tcW w:type="dxa" w:w="2541"/>
          </w:tcPr>
          <w:p>
            <w:r>
              <w:t>$6,758</w:t>
            </w:r>
          </w:p>
        </w:tc>
        <w:tc>
          <w:tcPr>
            <w:tcW w:type="dxa" w:w="2541"/>
          </w:tcPr>
          <w:p>
            <w:r>
              <w:t>$0</w:t>
            </w:r>
          </w:p>
        </w:tc>
        <w:tc>
          <w:tcPr>
            <w:tcW w:type="dxa" w:w="2541"/>
          </w:tcPr>
          <w:p>
            <w:r>
              <w:t>$6,758</w:t>
            </w:r>
          </w:p>
        </w:tc>
      </w:tr>
      <w:tr>
        <w:tc>
          <w:tcPr>
            <w:tcW w:type="dxa" w:w="2541"/>
          </w:tcPr>
          <w:p>
            <w:r>
              <w:t>2025</w:t>
            </w:r>
          </w:p>
        </w:tc>
        <w:tc>
          <w:tcPr>
            <w:tcW w:type="dxa" w:w="2541"/>
          </w:tcPr>
          <w:p>
            <w:r>
              <w:t>$109,157</w:t>
            </w:r>
          </w:p>
        </w:tc>
        <w:tc>
          <w:tcPr>
            <w:tcW w:type="dxa" w:w="2541"/>
          </w:tcPr>
          <w:p>
            <w:r>
              <w:t>–$5,960</w:t>
            </w:r>
          </w:p>
        </w:tc>
        <w:tc>
          <w:tcPr>
            <w:tcW w:type="dxa" w:w="2541"/>
          </w:tcPr>
          <w:p>
            <w:r>
              <w:t>$103,197</w:t>
            </w:r>
          </w:p>
        </w:tc>
      </w:tr>
      <w:tr>
        <w:tc>
          <w:tcPr>
            <w:tcW w:type="dxa" w:w="2541"/>
          </w:tcPr>
          <w:p>
            <w:r>
              <w:t>2026 through Aug. 12</w:t>
            </w:r>
          </w:p>
        </w:tc>
        <w:tc>
          <w:tcPr>
            <w:tcW w:type="dxa" w:w="2541"/>
          </w:tcPr>
          <w:p>
            <w:r>
              <w:t>$60,800</w:t>
            </w:r>
          </w:p>
        </w:tc>
        <w:tc>
          <w:tcPr>
            <w:tcW w:type="dxa" w:w="2541"/>
          </w:tcPr>
          <w:p>
            <w:r>
              <w:t>–$15,200</w:t>
            </w:r>
          </w:p>
        </w:tc>
        <w:tc>
          <w:tcPr>
            <w:tcW w:type="dxa" w:w="2541"/>
          </w:tcPr>
          <w:p>
            <w:r>
              <w:t>$45,600</w:t>
            </w:r>
          </w:p>
        </w:tc>
      </w:tr>
      <w:tr>
        <w:tc>
          <w:tcPr>
            <w:tcW w:type="dxa" w:w="2541"/>
          </w:tcPr>
          <w:p>
            <w:r>
              <w:t>TOTAL</w:t>
            </w:r>
          </w:p>
        </w:tc>
        <w:tc>
          <w:tcPr>
            <w:tcW w:type="dxa" w:w="2541"/>
          </w:tcPr>
          <w:p>
            <w:r>
              <w:t>$199,197</w:t>
            </w:r>
          </w:p>
        </w:tc>
        <w:tc>
          <w:tcPr>
            <w:tcW w:type="dxa" w:w="2541"/>
          </w:tcPr>
          <w:p>
            <w:r>
              <w:t>–$21,160</w:t>
            </w:r>
          </w:p>
        </w:tc>
        <w:tc>
          <w:tcPr>
            <w:tcW w:type="dxa" w:w="2541"/>
          </w:tcPr>
          <w:p>
            <w:r>
              <w:t>$178,037</w:t>
            </w:r>
          </w:p>
        </w:tc>
      </w:tr>
    </w:tbl>
    <w:p>
      <w:pPr>
        <w:pStyle w:val="Heading1"/>
      </w:pPr>
      <w:r>
        <w:t>Confirmed one-time program fees within the total</w:t>
      </w:r>
    </w:p>
    <w:p>
      <w:r>
        <w:t>$19,997 ATA program fee + $20,000 AFT program fee = $39,997. These amounts are already included in the $178,037 net-retained figure and are not added again.</w:t>
      </w:r>
    </w:p>
    <w:p>
      <w:pPr>
        <w:pStyle w:val="Heading1"/>
      </w:pPr>
      <w:r>
        <w:t>What this supports</w:t>
      </w:r>
    </w:p>
    <w:p>
      <w:r>
        <w:t>The reconciliation supports treating $178,037 as a reconstructed direct economic cost separate from broker trading P/L. It also distinguishes gross charges from amounts later refunded or credited.</w:t>
      </w:r>
    </w:p>
    <w:p>
      <w:pPr>
        <w:pStyle w:val="Heading1"/>
      </w:pPr>
      <w:r>
        <w:t>What this does not prove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8"/>
          </w:tcPr>
          <w:p>
            <w:r>
              <w:t>The fee reconciliation is an economic-cost calculation. It is not, by itself, a conclusion that every fee is legally refundable or that every charge was improper. Refund eligibility and any contractual claim must be evaluated separately.</w:t>
            </w:r>
          </w:p>
        </w:tc>
      </w:tr>
    </w:tbl>
    <w:p>
      <w:pPr>
        <w:pStyle w:val="Heading1"/>
      </w:pPr>
      <w:r>
        <w:t>Evidence-control notes</w:t>
      </w:r>
    </w:p>
    <w:p>
      <w:r>
        <w:t>The August 2026 $15,200 in charges is treated gross and then fully reversed in the reconciliation. A $497 receipt billed to another person was excluded from the user's fee total. The ATA amount is $19,997 rather than a rounded $20,000.</w:t>
      </w:r>
    </w:p>
    <w:p>
      <w:pPr>
        <w:pStyle w:val="Heading1"/>
      </w:pPr>
      <w:r>
        <w:t>Public-source note</w:t>
      </w:r>
    </w:p>
    <w:p>
      <w:r>
        <w:t>The public exhibit should use a redacted fee schedule together with selected underlying receipts/card or ACH records sufficient to substantiate the major components. Do not use confidential internal package covers as public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Public working exhibit • evidence status and limitations preserved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PUBLIC EVIDENCE ROOM • EXHIBIT J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00_Public_Evidence_Room_Index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