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Reader Guide A — AFT Webinar Evidence</w:t>
      </w:r>
    </w:p>
    <w:p>
      <w:r>
        <w:rPr>
          <w:b/>
        </w:rPr>
        <w:t>How to read the July 23, 2025 NURP presentation</w:t>
      </w:r>
    </w:p>
    <w:p>
      <w:r>
        <w:rPr>
          <w:b/>
        </w:rPr>
        <w:t xml:space="preserve">Primary record: </w:t>
      </w:r>
      <w:r>
        <w:t>Preserved NURP AFT webinar frame / exhibit PDF.</w:t>
      </w:r>
    </w:p>
    <w:p>
      <w:pPr>
        <w:pStyle w:val="Heading1"/>
      </w:pPr>
      <w:r>
        <w:t>The two statements that matter</w:t>
      </w:r>
    </w:p>
    <w:p>
      <w:r>
        <w:t>The presentation describes broker-provided equity credit allowing trading with five times more capital.</w:t>
      </w:r>
    </w:p>
    <w:p>
      <w:r>
        <w:t>It also states: “Maximum drawdown is capped at 20% of initial account size (profits can be accumulated to provide more room).”</w:t>
      </w:r>
    </w:p>
    <w:p>
      <w:pPr>
        <w:pStyle w:val="Heading1"/>
      </w:pPr>
      <w:r>
        <w:t>Why it matters</w:t>
      </w:r>
    </w:p>
    <w:p>
      <w:r>
        <w:t>It documents how NURP publicly presented the AFT structure before existing AFT customer capital was later moved into Talos.</w:t>
      </w:r>
    </w:p>
    <w:p>
      <w:pPr>
        <w:pStyle w:val="Heading1"/>
      </w:pPr>
      <w:r>
        <w:t>Limit</w:t>
      </w:r>
    </w:p>
    <w:p>
      <w:r>
        <w:t>The webinar slide alone does not establish that Talos 5X or Talos 20X was contractually governed by the same 20% cap. Written Talos governing terms remain the controlling evidence gap.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