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 Source C — GNT September 17 Stop-Out Explanation</w:t>
      </w:r>
    </w:p>
    <w:p>
      <w:r>
        <w:rPr>
          <w:b/>
        </w:rPr>
        <w:t>Redacted excerpt from original GNT Client Services email</w:t>
      </w:r>
    </w:p>
    <w:p>
      <w:r>
        <w:rPr>
          <w:b/>
        </w:rPr>
        <w:t xml:space="preserve">Source status: </w:t>
      </w:r>
      <w:r>
        <w:t>Original broker email preserved; account identifier and personal contact information redacted.</w:t>
      </w:r>
    </w:p>
    <w:p>
      <w:r>
        <w:rPr>
          <w:b/>
        </w:rPr>
        <w:t xml:space="preserve">Date: </w:t>
      </w:r>
      <w:r>
        <w:t>September 17, 2026</w:t>
      </w:r>
    </w:p>
    <w:p>
      <w:pPr>
        <w:pStyle w:val="Heading1"/>
      </w:pPr>
      <w:r>
        <w:t>GNT's explanation</w:t>
      </w:r>
    </w:p>
    <w:p>
      <w:r>
        <w:t>“On September 8, due to rapid market movements and a high negative floating P/L, account [redacted] hit the system's stop-out threshold.”</w:t>
      </w:r>
    </w:p>
    <w:p>
      <w:r>
        <w:t>“As part of the platform’s automated risk controls and margin management rules, once the required margin levels are breached, all open positions are automatically liquidated to prevent further losses beyond the account's equity.”</w:t>
      </w:r>
    </w:p>
    <w:p>
      <w:r>
        <w:t>“Consequently, the credit facility was also removed, bringing the total effective equity to zero.”</w:t>
      </w:r>
    </w:p>
    <w:p>
      <w:r>
        <w:t>“Because this liquidation occurred automatically at the server level when the stop-out was triggered, the account transitioned into a fully closed/settled status before the generation of the September 9 summary report.”</w:t>
      </w:r>
    </w:p>
    <w:p>
      <w:pPr>
        <w:pStyle w:val="Heading1"/>
      </w:pPr>
      <w:r>
        <w:t>Evidence limitation</w:t>
      </w:r>
    </w:p>
    <w:p>
      <w:r>
        <w:t>This is GNT's stated explanation. The underlying server/deal/accounting records requested to reconcile the September 8 live account to the later zero report remain separate evidence and should not be inferred from this email alone.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