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Exhibit E — September 8 Talos 5X Snapshot</w:t>
      </w:r>
    </w:p>
    <w:p>
      <w:r>
        <w:rPr>
          <w:b/>
        </w:rPr>
        <w:t>Controlled source-derived presentation of the GNT Daily Confirmation</w:t>
      </w:r>
    </w:p>
    <w:p>
      <w:r>
        <w:t>PUBLIC SOURCE-DERIVED WORKING EXHIBIT — native source file not yet recovered as a standalone publishable attachment.</w:t>
      </w:r>
    </w:p>
    <w:p>
      <w:pPr>
        <w:pStyle w:val="Heading1"/>
      </w:pPr>
      <w:r>
        <w:t>Broker-record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September 8, 2026</w:t>
            </w:r>
          </w:p>
        </w:tc>
      </w:tr>
      <w:tr>
        <w:tc>
          <w:tcPr>
            <w:tcW w:type="dxa" w:w="5112"/>
          </w:tcPr>
          <w:p>
            <w:r>
              <w:t>Balance</w:t>
            </w:r>
          </w:p>
        </w:tc>
        <w:tc>
          <w:tcPr>
            <w:tcW w:type="dxa" w:w="5112"/>
          </w:tcPr>
          <w:p>
            <w:r>
              <w:t>$100,331.83</w:t>
            </w:r>
          </w:p>
        </w:tc>
      </w:tr>
      <w:tr>
        <w:tc>
          <w:tcPr>
            <w:tcW w:type="dxa" w:w="5112"/>
          </w:tcPr>
          <w:p>
            <w:r>
              <w:t>Credit Facility</w:t>
            </w:r>
          </w:p>
        </w:tc>
        <w:tc>
          <w:tcPr>
            <w:tcW w:type="dxa" w:w="5112"/>
          </w:tcPr>
          <w:p>
            <w:r>
              <w:t>$659,490.92</w:t>
            </w:r>
          </w:p>
        </w:tc>
      </w:tr>
      <w:tr>
        <w:tc>
          <w:tcPr>
            <w:tcW w:type="dxa" w:w="5112"/>
          </w:tcPr>
          <w:p>
            <w:r>
              <w:t>Floating P/L</w:t>
            </w:r>
          </w:p>
        </w:tc>
        <w:tc>
          <w:tcPr>
            <w:tcW w:type="dxa" w:w="5112"/>
          </w:tcPr>
          <w:p>
            <w:r>
              <w:t>–$92,731.54</w:t>
            </w:r>
          </w:p>
        </w:tc>
      </w:tr>
      <w:tr>
        <w:tc>
          <w:tcPr>
            <w:tcW w:type="dxa" w:w="5112"/>
          </w:tcPr>
          <w:p>
            <w:r>
              <w:t>Displayed Equity</w:t>
            </w:r>
          </w:p>
        </w:tc>
        <w:tc>
          <w:tcPr>
            <w:tcW w:type="dxa" w:w="5112"/>
          </w:tcPr>
          <w:p>
            <w:r>
              <w:t>$667,091.21</w:t>
            </w:r>
          </w:p>
        </w:tc>
      </w:tr>
      <w:tr>
        <w:tc>
          <w:tcPr>
            <w:tcW w:type="dxa" w:w="5112"/>
          </w:tcPr>
          <w:p>
            <w:r>
              <w:t>Margin Requirements</w:t>
            </w:r>
          </w:p>
        </w:tc>
        <w:tc>
          <w:tcPr>
            <w:tcW w:type="dxa" w:w="5112"/>
          </w:tcPr>
          <w:p>
            <w:r>
              <w:t>$176,216.42</w:t>
            </w:r>
          </w:p>
        </w:tc>
      </w:tr>
      <w:tr>
        <w:tc>
          <w:tcPr>
            <w:tcW w:type="dxa" w:w="5112"/>
          </w:tcPr>
          <w:p>
            <w:r>
              <w:t>Available / Free Margin</w:t>
            </w:r>
          </w:p>
        </w:tc>
        <w:tc>
          <w:tcPr>
            <w:tcW w:type="dxa" w:w="5112"/>
          </w:tcPr>
          <w:p>
            <w:r>
              <w:t>$490,874.79</w:t>
            </w:r>
          </w:p>
        </w:tc>
      </w:tr>
    </w:tbl>
    <w:p>
      <w:pPr>
        <w:pStyle w:val="Heading1"/>
      </w:pPr>
      <w:r>
        <w:t>Analytical control</w:t>
      </w:r>
    </w:p>
    <w:p>
      <w:r>
        <w:t>Displayed Equity less broker Credit Facility = approximately $7,600.29 of reconstructed customer economic equity. The same result is obtained by Balance plus Floating P/L.</w:t>
      </w:r>
    </w:p>
    <w:p>
      <w:pPr>
        <w:pStyle w:val="Heading1"/>
      </w:pPr>
      <w:r>
        <w:t>What this supports</w:t>
      </w:r>
    </w:p>
    <w:p>
      <w:r>
        <w:t>This is the strongest verified pre-terminal snapshot currently reflected in the evidence record and provides the control point immediately before the Talos 5X account reached its terminal state.</w:t>
      </w:r>
    </w:p>
    <w:p>
      <w:pPr>
        <w:pStyle w:val="Heading1"/>
      </w:pPr>
      <w:r>
        <w:t>What it does not prove</w:t>
      </w:r>
    </w:p>
    <w:p>
      <w:r>
        <w:t>The $7,600.29 analytical figure is not characterized as immediately withdrawable cash while positions remained open. This page is not the native GNT confirmation and must not be presented as 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