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Exhibit F — September 8 NURP Equity Monitor</w:t>
      </w:r>
    </w:p>
    <w:p>
      <w:r>
        <w:rPr>
          <w:b/>
        </w:rPr>
        <w:t>Controlled source-derived presentation of the NURP notice</w:t>
      </w:r>
    </w:p>
    <w:p>
      <w:r>
        <w:t>PUBLIC SOURCE-DERIVED WORKING EXHIBIT — native source file not yet recovered as a standalone publishable attachment.</w:t>
      </w:r>
    </w:p>
    <w:p>
      <w:pPr>
        <w:pStyle w:val="Heading1"/>
      </w:pPr>
      <w:r>
        <w:t>Source wording preserved in the evidence record</w:t>
      </w:r>
    </w:p>
    <w:p>
      <w:r>
        <w:rPr>
          <w:b/>
        </w:rPr>
        <w:t>Equity monitor completed</w:t>
      </w:r>
    </w:p>
    <w:p>
      <w:r>
        <w:rPr>
          <w:b/>
        </w:rPr>
        <w:t>Equity protect percentage: 70%</w:t>
      </w:r>
    </w:p>
    <w:p>
      <w:r>
        <w:rPr>
          <w:b/>
        </w:rPr>
        <w:t>No action has been taken on any copiers copying to this account or open trades.</w:t>
      </w:r>
    </w:p>
    <w:p>
      <w:pPr>
        <w:pStyle w:val="Heading1"/>
      </w:pPr>
      <w:r>
        <w:t>What this supports</w:t>
      </w:r>
    </w:p>
    <w:p>
      <w:r>
        <w:t>The notice establishes that NURP generated an Equity Monitor record for Talos 5X on September 8 showing a 70% equity-protect field and reporting that no action had been taken on copiers or open trades.</w:t>
      </w:r>
    </w:p>
    <w:p>
      <w:pPr>
        <w:pStyle w:val="Heading1"/>
      </w:pPr>
      <w:r>
        <w:t>What remains unresolved</w:t>
      </w:r>
    </w:p>
    <w:p>
      <w:r>
        <w:t>The present evidence does not establish the reference balance or denominator used for 70%, what condition caused the monitor to complete, what action it was configured to take, or whether this setting implemented, supplemented, or was independent of the AFT Agreement's separate drawdown provision.</w:t>
      </w:r>
    </w:p>
    <w:p>
      <w:pPr>
        <w:pStyle w:val="Heading1"/>
      </w:pPr>
      <w:r>
        <w:t>Publication control</w:t>
      </w:r>
    </w:p>
    <w:p>
      <w:r>
        <w:t>Do not describe this record as proof of a 70% drawdown guarantee or as proof that liquidation should have occurred at a particular account value. This page is not the native NURP notice.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