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Reader Guide G — OX Records</w:t>
      </w:r>
    </w:p>
    <w:p>
      <w:r>
        <w:rPr>
          <w:b/>
        </w:rPr>
        <w:t>What the newly supplied July–September 2024 statements resolve — and what remains open</w:t>
      </w:r>
    </w:p>
    <w:p>
      <w:pPr>
        <w:pStyle w:val="Heading1"/>
      </w:pPr>
      <w:r>
        <w:t>What OX has now resolved</w:t>
      </w:r>
    </w:p>
    <w:p>
      <w:pPr>
        <w:pStyle w:val="ListBullet"/>
      </w:pPr>
      <w:r>
        <w:t>$500,000 withdrawal source: account [ACCOUNT REDACTED].</w:t>
      </w:r>
    </w:p>
    <w:p>
      <w:pPr>
        <w:pStyle w:val="ListBullet"/>
      </w:pPr>
      <w:r>
        <w:t>Two $300,000 withdrawals: account [ACCOUNT REDACTED].</w:t>
      </w:r>
    </w:p>
    <w:p>
      <w:pPr>
        <w:pStyle w:val="ListBullet"/>
      </w:pPr>
      <w:r>
        <w:t>Three $50,000 internal transfers: account [ACCOUNT REDACTED] → account [ACCOUNT REDACTED].</w:t>
      </w:r>
    </w:p>
    <w:p>
      <w:pPr>
        <w:pStyle w:val="ListBullet"/>
      </w:pPr>
      <w:r>
        <w:t>[ACCOUNT REDACTED] July 2024 closed-trade P/L: +$6,679.67.</w:t>
      </w:r>
    </w:p>
    <w:p>
      <w:pPr>
        <w:pStyle w:val="ListBullet"/>
      </w:pPr>
      <w:r>
        <w:t>[ACCOUNT REDACTED] August 2024 closed-trade P/L: +$135,137.45.</w:t>
      </w:r>
    </w:p>
    <w:p>
      <w:pPr>
        <w:pStyle w:val="ListBullet"/>
      </w:pPr>
      <w:r>
        <w:t>[ACCOUNT REDACTED] September 2024 closed-trade P/L: +$51,561.88.</w:t>
      </w:r>
    </w:p>
    <w:p>
      <w:pPr>
        <w:pStyle w:val="Heading1"/>
      </w:pPr>
      <w:r>
        <w:t>Why the old OX public loss figure is frozen</w:t>
      </w:r>
    </w:p>
    <w:p>
      <w:r>
        <w:t>These primary statements materially improve the reconstruction, but they do not yet close the OX ecosystem. The archived [ACCOUNT REDACTED] statement is still pending, and complete October–December 2024 trading coverage for [ACCOUNT REDACTED] is needed to determine the outcomes of non-EUR/USD positions and any other trading not captured by the known 16-position EUR/USD cycle.</w:t>
      </w:r>
    </w:p>
    <w:p>
      <w:pPr>
        <w:pStyle w:val="Heading1"/>
      </w:pPr>
      <w:r>
        <w:t>Publication control</w:t>
      </w:r>
    </w:p>
    <w:p>
      <w:r>
        <w:t>Do not publish a revised final OX lifetime loss or revised overall economic-cost headline from this guide. The final figure should be updated only after the remaining OX records are reconciled.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