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Reader Guide H — Monaxa Account</w:t>
      </w:r>
    </w:p>
    <w:p>
      <w:r>
        <w:rPr>
          <w:b/>
        </w:rPr>
        <w:t>Capital bridge and depletion in plain language</w:t>
      </w:r>
    </w:p>
    <w:p>
      <w:pPr>
        <w:pStyle w:val="Heading1"/>
      </w:pPr>
      <w:r>
        <w:t>Documented bridge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Record</w:t>
            </w:r>
          </w:p>
        </w:tc>
        <w:tc>
          <w:tcPr>
            <w:tcW w:type="dxa" w:w="5083"/>
          </w:tcPr>
          <w:p>
            <w:r>
              <w:t>Amount</w:t>
            </w:r>
          </w:p>
        </w:tc>
      </w:tr>
      <w:tr>
        <w:tc>
          <w:tcPr>
            <w:tcW w:type="dxa" w:w="5083"/>
          </w:tcPr>
          <w:p>
            <w:r>
              <w:t>Initial trading-account credit</w:t>
            </w:r>
          </w:p>
        </w:tc>
        <w:tc>
          <w:tcPr>
            <w:tcW w:type="dxa" w:w="5083"/>
          </w:tcPr>
          <w:p>
            <w:r>
              <w:t>$50,000</w:t>
            </w:r>
          </w:p>
        </w:tc>
      </w:tr>
      <w:tr>
        <w:tc>
          <w:tcPr>
            <w:tcW w:type="dxa" w:w="5083"/>
          </w:tcPr>
          <w:p>
            <w:r>
              <w:t>Vault → trading account</w:t>
            </w:r>
          </w:p>
        </w:tc>
        <w:tc>
          <w:tcPr>
            <w:tcW w:type="dxa" w:w="5083"/>
          </w:tcPr>
          <w:p>
            <w:r>
              <w:t>$200,000</w:t>
            </w:r>
          </w:p>
        </w:tc>
      </w:tr>
      <w:tr>
        <w:tc>
          <w:tcPr>
            <w:tcW w:type="dxa" w:w="5083"/>
          </w:tcPr>
          <w:p>
            <w:r>
              <w:t>Vault → trading account</w:t>
            </w:r>
          </w:p>
        </w:tc>
        <w:tc>
          <w:tcPr>
            <w:tcW w:type="dxa" w:w="5083"/>
          </w:tcPr>
          <w:p>
            <w:r>
              <w:t>$100,000</w:t>
            </w:r>
          </w:p>
        </w:tc>
      </w:tr>
      <w:tr>
        <w:tc>
          <w:tcPr>
            <w:tcW w:type="dxa" w:w="5083"/>
          </w:tcPr>
          <w:p>
            <w:r>
              <w:t>Residual returned to Vault</w:t>
            </w:r>
          </w:p>
        </w:tc>
        <w:tc>
          <w:tcPr>
            <w:tcW w:type="dxa" w:w="5083"/>
          </w:tcPr>
          <w:p>
            <w:r>
              <w:t>($499.66)</w:t>
            </w:r>
          </w:p>
        </w:tc>
      </w:tr>
    </w:tbl>
    <w:p>
      <w:r>
        <w:t>Documented capital placed into the trading account: $350,000. Residual returned: $499.66. Reconstructed economic depletion: $349,500.34.</w:t>
      </w:r>
    </w:p>
    <w:p>
      <w:pPr>
        <w:pStyle w:val="Heading1"/>
      </w:pPr>
      <w:r>
        <w:t>Important accounting distinction</w:t>
      </w:r>
    </w:p>
    <w:p>
      <w:r>
        <w:t>The $200,000 and $100,000 movements were internal Vault transfers. They are part of the capital placed into the trading account but are not counted again as new external customer investment.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