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Exhibit H — Monaxa Account Source Inventory</w:t>
      </w:r>
    </w:p>
    <w:p>
      <w:r>
        <w:rPr>
          <w:b/>
        </w:rPr>
        <w:t>Primary-record pairing control</w:t>
      </w:r>
    </w:p>
    <w:p>
      <w:r>
        <w:t>PUBLIC SOURCE-DERIVED WORKING EXHIBIT — not a substitute for the native underlying record.</w:t>
      </w:r>
    </w:p>
    <w:p>
      <w:r>
        <w:rPr>
          <w:b/>
        </w:rPr>
        <w:t>Purpose: Identify the exact native Monaxa records that support the public capital bridge without presenting internal working material as a public exhibit.</w:t>
      </w:r>
      <w:r/>
    </w:p>
    <w:p>
      <w:pPr>
        <w:pStyle w:val="Heading1"/>
      </w:pPr>
      <w:r>
        <w:t>Native records to attach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Record</w:t>
            </w:r>
          </w:p>
        </w:tc>
        <w:tc>
          <w:tcPr>
            <w:tcW w:type="dxa" w:w="2556"/>
          </w:tcPr>
          <w:p>
            <w:r>
              <w:t>What it supports</w:t>
            </w:r>
          </w:p>
        </w:tc>
        <w:tc>
          <w:tcPr>
            <w:tcW w:type="dxa" w:w="2556"/>
          </w:tcPr>
          <w:p>
            <w:r>
              <w:t>Treatment</w:t>
            </w:r>
          </w:p>
        </w:tc>
      </w:tr>
      <w:tr>
        <w:tc>
          <w:tcPr>
            <w:tcW w:type="dxa" w:w="2556"/>
          </w:tcPr>
          <w:p>
            <w:r>
              <w:t>H-1</w:t>
            </w:r>
          </w:p>
        </w:tc>
        <w:tc>
          <w:tcPr>
            <w:tcW w:type="dxa" w:w="2556"/>
          </w:tcPr>
          <w:p>
            <w:r>
              <w:t>Aug. 9, 2024 — Transfer Received</w:t>
            </w:r>
          </w:p>
        </w:tc>
        <w:tc>
          <w:tcPr>
            <w:tcW w:type="dxa" w:w="2556"/>
          </w:tcPr>
          <w:p>
            <w:r>
              <w:t>$50,000 credited to trading account [ACCOUNT REDACTED].</w:t>
            </w:r>
          </w:p>
        </w:tc>
        <w:tc>
          <w:tcPr>
            <w:tcW w:type="dxa" w:w="2556"/>
          </w:tcPr>
          <w:p>
            <w:r>
              <w:t>Primary Monaxa confirmation</w:t>
            </w:r>
          </w:p>
        </w:tc>
      </w:tr>
      <w:tr>
        <w:tc>
          <w:tcPr>
            <w:tcW w:type="dxa" w:w="2556"/>
          </w:tcPr>
          <w:p>
            <w:r>
              <w:t>H-2</w:t>
            </w:r>
          </w:p>
        </w:tc>
        <w:tc>
          <w:tcPr>
            <w:tcW w:type="dxa" w:w="2556"/>
          </w:tcPr>
          <w:p>
            <w:r>
              <w:t>Sept. 14, 2024 — Daily Confirmation</w:t>
            </w:r>
          </w:p>
        </w:tc>
        <w:tc>
          <w:tcPr>
            <w:tcW w:type="dxa" w:w="2556"/>
          </w:tcPr>
          <w:p>
            <w:r>
              <w:t>$200,000 internal transfer from Vault 34063 to the trading account.</w:t>
            </w:r>
          </w:p>
        </w:tc>
        <w:tc>
          <w:tcPr>
            <w:tcW w:type="dxa" w:w="2556"/>
          </w:tcPr>
          <w:p>
            <w:r>
              <w:t>Primary broker ledger</w:t>
            </w:r>
          </w:p>
        </w:tc>
      </w:tr>
      <w:tr>
        <w:tc>
          <w:tcPr>
            <w:tcW w:type="dxa" w:w="2556"/>
          </w:tcPr>
          <w:p>
            <w:r>
              <w:t>H-3</w:t>
            </w:r>
          </w:p>
        </w:tc>
        <w:tc>
          <w:tcPr>
            <w:tcW w:type="dxa" w:w="2556"/>
          </w:tcPr>
          <w:p>
            <w:r>
              <w:t>Sept. 26, 2024 — Daily Confirmation</w:t>
            </w:r>
          </w:p>
        </w:tc>
        <w:tc>
          <w:tcPr>
            <w:tcW w:type="dxa" w:w="2556"/>
          </w:tcPr>
          <w:p>
            <w:r>
              <w:t>$100,000 internal transfer from Vault 34063 to the trading account.</w:t>
            </w:r>
          </w:p>
        </w:tc>
        <w:tc>
          <w:tcPr>
            <w:tcW w:type="dxa" w:w="2556"/>
          </w:tcPr>
          <w:p>
            <w:r>
              <w:t>Primary broker ledger</w:t>
            </w:r>
          </w:p>
        </w:tc>
      </w:tr>
      <w:tr>
        <w:tc>
          <w:tcPr>
            <w:tcW w:type="dxa" w:w="2556"/>
          </w:tcPr>
          <w:p>
            <w:r>
              <w:t>H-4</w:t>
            </w:r>
          </w:p>
        </w:tc>
        <w:tc>
          <w:tcPr>
            <w:tcW w:type="dxa" w:w="2556"/>
          </w:tcPr>
          <w:p>
            <w:r>
              <w:t>Jan. 27, 2025 — Internal transfer complete</w:t>
            </w:r>
          </w:p>
        </w:tc>
        <w:tc>
          <w:tcPr>
            <w:tcW w:type="dxa" w:w="2556"/>
          </w:tcPr>
          <w:p>
            <w:r>
              <w:t>$499.66 residual transferred from the trading account to Vault 34063.</w:t>
            </w:r>
          </w:p>
        </w:tc>
        <w:tc>
          <w:tcPr>
            <w:tcW w:type="dxa" w:w="2556"/>
          </w:tcPr>
          <w:p>
            <w:r>
              <w:t>Primary Monaxa confirmation</w:t>
            </w:r>
          </w:p>
        </w:tc>
      </w:tr>
      <w:tr>
        <w:tc>
          <w:tcPr>
            <w:tcW w:type="dxa" w:w="2556"/>
          </w:tcPr>
          <w:p>
            <w:r>
              <w:t>H-5</w:t>
            </w:r>
          </w:p>
        </w:tc>
        <w:tc>
          <w:tcPr>
            <w:tcW w:type="dxa" w:w="2556"/>
          </w:tcPr>
          <w:p>
            <w:r>
              <w:t>Jan. 27, 2025 — Daily Confirmation</w:t>
            </w:r>
          </w:p>
        </w:tc>
        <w:tc>
          <w:tcPr>
            <w:tcW w:type="dxa" w:w="2556"/>
          </w:tcPr>
          <w:p>
            <w:r>
              <w:t>Ledger records the $499.66 residual transfer.</w:t>
            </w:r>
          </w:p>
        </w:tc>
        <w:tc>
          <w:tcPr>
            <w:tcW w:type="dxa" w:w="2556"/>
          </w:tcPr>
          <w:p>
            <w:r>
              <w:t>Primary broker ledger</w:t>
            </w:r>
          </w:p>
        </w:tc>
      </w:tr>
    </w:tbl>
    <w:p>
      <w:pPr>
        <w:pStyle w:val="Heading1"/>
      </w:pPr>
      <w:r>
        <w:t>Reconciliation supported by those records</w:t>
      </w:r>
    </w:p>
    <w:p>
      <w:r>
        <w:t>$350,000 documented capital placed into the trading account; $499.66 residual returned; reconstructed economic depletion $349,500.34.</w:t>
      </w:r>
    </w:p>
    <w:p>
      <w:pPr>
        <w:pStyle w:val="Heading1"/>
      </w:pPr>
      <w:r>
        <w:t>Publication control</w:t>
      </w:r>
    </w:p>
    <w:p>
      <w:r>
        <w:t>The $200,000 and $100,000 Vault movements are internal transfers, not additional external customer investment. Native confirmations should replace this inventory as the clickable public source once recovered in publishable form.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