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Reader Guide I — Orphan-Trade Evidence</w:t>
      </w:r>
    </w:p>
    <w:p>
      <w:r>
        <w:rPr>
          <w:b/>
        </w:rPr>
        <w:t>Separating the contemporaneous report from the later broker-history reconstruction</w:t>
      </w:r>
    </w:p>
    <w:p>
      <w:pPr>
        <w:pStyle w:val="Heading1"/>
      </w:pPr>
      <w:r>
        <w:t>Contemporaneous evidence</w:t>
      </w:r>
    </w:p>
    <w:p>
      <w:r>
        <w:t>March 27 and April 13, 2026 customer communications reported that a master-account/broker transition left orphaned trades and caused losses exceeding $50,000. Those communications establish what was reported at the time; they do not independently prove causation or the exact amount.</w:t>
      </w:r>
    </w:p>
    <w:p>
      <w:pPr>
        <w:pStyle w:val="Heading1"/>
      </w:pPr>
      <w:r>
        <w:t>Later broker-history corroboration</w:t>
      </w:r>
    </w:p>
    <w:p>
      <w:r>
        <w:t>A reconstruction of GNT final histories identifies 62 pre-February 1 follower positions, pairing as 31 closely corresponding signals across the two Argos accounts, with approximately –$100,520.28 combined eventual net P/L including swap and commission.</w:t>
      </w:r>
    </w:p>
    <w:p>
      <w:pPr>
        <w:pStyle w:val="Heading1"/>
      </w:pPr>
      <w:r>
        <w:t>Why $100,520.28 is not labeled the orphan-trade loss</w:t>
      </w:r>
    </w:p>
    <w:p>
      <w:r>
        <w:t>The missing master/copier mapping is still needed to establish which positions were actually orphaned and what loss was caused by the transition. The candidate population corroborates scale, but it does not complete the causal proof. No separate orphan amount is added to the total because the trading losses are already embedded in GNT account results.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