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Exhibit J — NURP Fee Evidence Control</w:t>
      </w:r>
    </w:p>
    <w:p>
      <w:r>
        <w:rPr>
          <w:b/>
        </w:rPr>
        <w:t>Public analytical schedule derived from primary payment/refund evidence</w:t>
      </w:r>
    </w:p>
    <w:p>
      <w:r>
        <w:t>PUBLIC SOURCE-DERIVED WORKING EXHIBIT — not a substitute for the native underlying record.</w:t>
      </w:r>
    </w:p>
    <w:p>
      <w:pPr>
        <w:pStyle w:val="Heading1"/>
      </w:pPr>
      <w:r>
        <w:t>Current reconciliation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Component</w:t>
            </w:r>
          </w:p>
        </w:tc>
        <w:tc>
          <w:tcPr>
            <w:tcW w:type="dxa" w:w="5112"/>
          </w:tcPr>
          <w:p>
            <w:r>
              <w:t>Amount</w:t>
            </w:r>
          </w:p>
        </w:tc>
      </w:tr>
      <w:tr>
        <w:tc>
          <w:tcPr>
            <w:tcW w:type="dxa" w:w="5112"/>
          </w:tcPr>
          <w:p>
            <w:r>
              <w:t>Gross identified NURP charges/payments</w:t>
            </w:r>
          </w:p>
        </w:tc>
        <w:tc>
          <w:tcPr>
            <w:tcW w:type="dxa" w:w="5112"/>
          </w:tcPr>
          <w:p>
            <w:r>
              <w:t>$199,197</w:t>
            </w:r>
          </w:p>
        </w:tc>
      </w:tr>
      <w:tr>
        <w:tc>
          <w:tcPr>
            <w:tcW w:type="dxa" w:w="5112"/>
          </w:tcPr>
          <w:p>
            <w:r>
              <w:t>Identified refunds / credits</w:t>
            </w:r>
          </w:p>
        </w:tc>
        <w:tc>
          <w:tcPr>
            <w:tcW w:type="dxa" w:w="5112"/>
          </w:tcPr>
          <w:p>
            <w:r>
              <w:t>($21,160)</w:t>
            </w:r>
          </w:p>
        </w:tc>
      </w:tr>
      <w:tr>
        <w:tc>
          <w:tcPr>
            <w:tcW w:type="dxa" w:w="5112"/>
          </w:tcPr>
          <w:p>
            <w:r>
              <w:t>Net NURP fees retained</w:t>
            </w:r>
          </w:p>
        </w:tc>
        <w:tc>
          <w:tcPr>
            <w:tcW w:type="dxa" w:w="5112"/>
          </w:tcPr>
          <w:p>
            <w:r>
              <w:t>$178,037</w:t>
            </w:r>
          </w:p>
        </w:tc>
      </w:tr>
      <w:tr>
        <w:tc>
          <w:tcPr>
            <w:tcW w:type="dxa" w:w="5112"/>
          </w:tcPr>
          <w:p>
            <w:r>
              <w:t>One-time program fees included in gross</w:t>
            </w:r>
          </w:p>
        </w:tc>
        <w:tc>
          <w:tcPr>
            <w:tcW w:type="dxa" w:w="5112"/>
          </w:tcPr>
          <w:p>
            <w:r>
              <w:t>$39,997 ($19,997 ATA + $20,000 AFT)</w:t>
            </w:r>
          </w:p>
        </w:tc>
      </w:tr>
    </w:tbl>
    <w:p>
      <w:pPr>
        <w:pStyle w:val="Heading1"/>
      </w:pPr>
      <w:r>
        <w:t>Primary-evidence treatment</w:t>
      </w:r>
    </w:p>
    <w:p>
      <w:r>
        <w:t>The fee total is reconstructed from multiple payment records rather than a single NURP lifetime statement. The $19,997 ATA payment and $20,000 AFT payment are treated as confirmed program fees. Card credits/refunds reduce the gross total.</w:t>
      </w:r>
    </w:p>
    <w:p>
      <w:pPr>
        <w:pStyle w:val="Heading1"/>
      </w:pPr>
      <w:r>
        <w:t>Important limit</w:t>
      </w:r>
    </w:p>
    <w:p>
      <w:r>
        <w:t>This schedule proves the accounting reconstruction only. It does not decide whether any particular fee is legally refundable or whether a contractual refund condition was satisfied.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