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041" w:type="dxa"/>
        <w:tblInd w:w="108"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6"/>
        <w:gridCol w:w="1789"/>
        <w:gridCol w:w="1436"/>
        <w:gridCol w:w="1683"/>
        <w:gridCol w:w="2356"/>
        <w:gridCol w:w="4731"/>
      </w:tblGrid>
      <w:tr w:rsidR="00F415AA" w:rsidRPr="005D4CC4" w:rsidTr="005A749C">
        <w:tc>
          <w:tcPr>
            <w:tcW w:w="1046" w:type="dxa"/>
            <w:vAlign w:val="center"/>
          </w:tcPr>
          <w:p w:rsidR="00F415AA" w:rsidRPr="00F415AA" w:rsidRDefault="00F415AA" w:rsidP="006F3800">
            <w:pPr>
              <w:spacing w:line="276" w:lineRule="auto"/>
              <w:rPr>
                <w:b/>
                <w:sz w:val="20"/>
                <w:lang w:val="en-GB"/>
              </w:rPr>
            </w:pPr>
            <w:r w:rsidRPr="00F415AA">
              <w:rPr>
                <w:b/>
                <w:sz w:val="20"/>
                <w:lang w:val="en-GB"/>
              </w:rPr>
              <w:t>TS Title:</w:t>
            </w:r>
          </w:p>
        </w:tc>
        <w:tc>
          <w:tcPr>
            <w:tcW w:w="11995" w:type="dxa"/>
            <w:gridSpan w:val="5"/>
            <w:vAlign w:val="center"/>
          </w:tcPr>
          <w:p w:rsidR="00F415AA" w:rsidRPr="00F415AA" w:rsidRDefault="00D54984" w:rsidP="006F3800">
            <w:pPr>
              <w:rPr>
                <w:i/>
                <w:sz w:val="20"/>
                <w:lang w:val="en-GB"/>
              </w:rPr>
            </w:pPr>
            <w:r>
              <w:rPr>
                <w:i/>
                <w:sz w:val="20"/>
                <w:lang w:val="en-GB"/>
              </w:rPr>
              <w:t>TF coil shaping procedure and configuration scan for 16-18 TF coils</w:t>
            </w:r>
          </w:p>
        </w:tc>
      </w:tr>
      <w:tr w:rsidR="00F415AA" w:rsidRPr="00F415AA" w:rsidTr="005A749C">
        <w:tc>
          <w:tcPr>
            <w:tcW w:w="1046" w:type="dxa"/>
            <w:vAlign w:val="center"/>
          </w:tcPr>
          <w:p w:rsidR="00F415AA" w:rsidRPr="00F415AA" w:rsidRDefault="00F415AA" w:rsidP="006F3800">
            <w:pPr>
              <w:spacing w:line="276" w:lineRule="auto"/>
              <w:rPr>
                <w:b/>
                <w:sz w:val="20"/>
                <w:lang w:val="en-GB"/>
              </w:rPr>
            </w:pPr>
            <w:r w:rsidRPr="00F415AA">
              <w:rPr>
                <w:b/>
                <w:sz w:val="20"/>
                <w:lang w:val="en-GB"/>
              </w:rPr>
              <w:t>Date:</w:t>
            </w:r>
          </w:p>
        </w:tc>
        <w:tc>
          <w:tcPr>
            <w:tcW w:w="1789" w:type="dxa"/>
            <w:vAlign w:val="center"/>
          </w:tcPr>
          <w:p w:rsidR="00F415AA" w:rsidRPr="00F415AA" w:rsidRDefault="00CC1580" w:rsidP="00CC1580">
            <w:pPr>
              <w:spacing w:line="276" w:lineRule="auto"/>
              <w:rPr>
                <w:i/>
                <w:sz w:val="20"/>
                <w:lang w:val="en-GB"/>
              </w:rPr>
            </w:pPr>
            <w:r>
              <w:rPr>
                <w:i/>
                <w:sz w:val="20"/>
                <w:lang w:val="en-GB"/>
              </w:rPr>
              <w:t>28</w:t>
            </w:r>
            <w:r w:rsidR="005A749C">
              <w:rPr>
                <w:i/>
                <w:sz w:val="20"/>
                <w:lang w:val="en-GB"/>
              </w:rPr>
              <w:t>-</w:t>
            </w:r>
            <w:r>
              <w:rPr>
                <w:i/>
                <w:sz w:val="20"/>
                <w:lang w:val="en-GB"/>
              </w:rPr>
              <w:t>01</w:t>
            </w:r>
            <w:r w:rsidR="005A749C">
              <w:rPr>
                <w:i/>
                <w:sz w:val="20"/>
                <w:lang w:val="en-GB"/>
              </w:rPr>
              <w:t>-</w:t>
            </w:r>
            <w:r>
              <w:rPr>
                <w:i/>
                <w:sz w:val="20"/>
                <w:lang w:val="en-GB"/>
              </w:rPr>
              <w:t>2016</w:t>
            </w:r>
          </w:p>
        </w:tc>
        <w:tc>
          <w:tcPr>
            <w:tcW w:w="1436" w:type="dxa"/>
            <w:vAlign w:val="center"/>
          </w:tcPr>
          <w:p w:rsidR="00F415AA" w:rsidRPr="00F415AA" w:rsidRDefault="00F415AA" w:rsidP="00F415AA">
            <w:pPr>
              <w:rPr>
                <w:i/>
                <w:sz w:val="20"/>
                <w:lang w:val="en-GB"/>
              </w:rPr>
            </w:pPr>
            <w:r w:rsidRPr="00F415AA">
              <w:rPr>
                <w:b/>
                <w:sz w:val="20"/>
                <w:lang w:val="en-GB"/>
              </w:rPr>
              <w:t xml:space="preserve">WBS </w:t>
            </w:r>
            <w:r>
              <w:rPr>
                <w:b/>
                <w:sz w:val="20"/>
                <w:lang w:val="en-GB"/>
              </w:rPr>
              <w:t>R</w:t>
            </w:r>
            <w:r w:rsidRPr="00F415AA">
              <w:rPr>
                <w:b/>
                <w:sz w:val="20"/>
                <w:lang w:val="en-GB"/>
              </w:rPr>
              <w:t>ef.</w:t>
            </w:r>
            <w:r>
              <w:rPr>
                <w:b/>
                <w:sz w:val="20"/>
                <w:lang w:val="en-GB"/>
              </w:rPr>
              <w:t xml:space="preserve"> </w:t>
            </w:r>
            <w:proofErr w:type="spellStart"/>
            <w:r>
              <w:rPr>
                <w:b/>
                <w:sz w:val="20"/>
                <w:lang w:val="en-GB"/>
              </w:rPr>
              <w:t>Nr</w:t>
            </w:r>
            <w:proofErr w:type="spellEnd"/>
            <w:r>
              <w:rPr>
                <w:b/>
                <w:sz w:val="20"/>
                <w:lang w:val="en-GB"/>
              </w:rPr>
              <w:t>.</w:t>
            </w:r>
            <w:r w:rsidRPr="00F415AA">
              <w:rPr>
                <w:b/>
                <w:sz w:val="20"/>
                <w:lang w:val="en-GB"/>
              </w:rPr>
              <w:t>:</w:t>
            </w:r>
          </w:p>
        </w:tc>
        <w:tc>
          <w:tcPr>
            <w:tcW w:w="1683" w:type="dxa"/>
            <w:vAlign w:val="center"/>
          </w:tcPr>
          <w:p w:rsidR="00F415AA" w:rsidRPr="00F415AA" w:rsidRDefault="00FC40B9" w:rsidP="006F3800">
            <w:pPr>
              <w:rPr>
                <w:i/>
                <w:sz w:val="20"/>
                <w:lang w:val="en-GB"/>
              </w:rPr>
            </w:pPr>
            <w:r>
              <w:rPr>
                <w:i/>
                <w:sz w:val="20"/>
                <w:lang w:val="en-GB"/>
              </w:rPr>
              <w:t>PMI-3.2</w:t>
            </w:r>
          </w:p>
        </w:tc>
        <w:tc>
          <w:tcPr>
            <w:tcW w:w="2356" w:type="dxa"/>
            <w:vAlign w:val="center"/>
          </w:tcPr>
          <w:p w:rsidR="00F415AA" w:rsidRPr="00F415AA" w:rsidRDefault="00F415AA" w:rsidP="00E048B9">
            <w:pPr>
              <w:spacing w:line="276" w:lineRule="auto"/>
              <w:rPr>
                <w:b/>
                <w:sz w:val="20"/>
                <w:lang w:val="en-GB"/>
              </w:rPr>
            </w:pPr>
            <w:r w:rsidRPr="00F415AA">
              <w:rPr>
                <w:b/>
                <w:sz w:val="20"/>
                <w:lang w:val="en-GB"/>
              </w:rPr>
              <w:t xml:space="preserve">Project: </w:t>
            </w:r>
          </w:p>
        </w:tc>
        <w:tc>
          <w:tcPr>
            <w:tcW w:w="4731" w:type="dxa"/>
            <w:vAlign w:val="center"/>
          </w:tcPr>
          <w:p w:rsidR="00F415AA" w:rsidRPr="00F415AA" w:rsidRDefault="00D54984" w:rsidP="006F3800">
            <w:pPr>
              <w:spacing w:line="276" w:lineRule="auto"/>
              <w:rPr>
                <w:i/>
                <w:sz w:val="20"/>
                <w:lang w:val="en-GB"/>
              </w:rPr>
            </w:pPr>
            <w:r>
              <w:rPr>
                <w:i/>
                <w:sz w:val="20"/>
                <w:lang w:val="en-GB"/>
              </w:rPr>
              <w:t>WPPMI</w:t>
            </w:r>
          </w:p>
        </w:tc>
      </w:tr>
      <w:tr w:rsidR="00F415AA" w:rsidRPr="00F415AA" w:rsidTr="005A749C">
        <w:tc>
          <w:tcPr>
            <w:tcW w:w="1046" w:type="dxa"/>
            <w:vAlign w:val="center"/>
          </w:tcPr>
          <w:p w:rsidR="00F415AA" w:rsidRPr="00F415AA" w:rsidRDefault="00F415AA" w:rsidP="006F3800">
            <w:pPr>
              <w:spacing w:line="276" w:lineRule="auto"/>
              <w:rPr>
                <w:b/>
                <w:sz w:val="20"/>
                <w:lang w:val="en-GB"/>
              </w:rPr>
            </w:pPr>
            <w:r w:rsidRPr="00F415AA">
              <w:rPr>
                <w:b/>
                <w:sz w:val="20"/>
                <w:lang w:val="en-GB"/>
              </w:rPr>
              <w:t>IDM Ref.</w:t>
            </w:r>
          </w:p>
        </w:tc>
        <w:tc>
          <w:tcPr>
            <w:tcW w:w="1789" w:type="dxa"/>
            <w:vAlign w:val="center"/>
          </w:tcPr>
          <w:p w:rsidR="00F415AA" w:rsidRPr="00F415AA" w:rsidRDefault="005A749C" w:rsidP="005C4986">
            <w:pPr>
              <w:spacing w:line="276" w:lineRule="auto"/>
              <w:rPr>
                <w:i/>
                <w:sz w:val="20"/>
                <w:lang w:val="en-GB"/>
              </w:rPr>
            </w:pPr>
            <w:r w:rsidRPr="005A749C">
              <w:rPr>
                <w:i/>
                <w:sz w:val="20"/>
                <w:lang w:val="en-GB"/>
              </w:rPr>
              <w:t>EFDA_D_</w:t>
            </w:r>
            <w:hyperlink r:id="rId8" w:history="1">
              <w:r w:rsidR="005C4986">
                <w:rPr>
                  <w:rStyle w:val="Hyperlink"/>
                  <w:i/>
                  <w:sz w:val="20"/>
                  <w:lang w:val="en-GB"/>
                </w:rPr>
                <w:t>2MLTC7</w:t>
              </w:r>
            </w:hyperlink>
            <w:r w:rsidR="005C4986">
              <w:rPr>
                <w:i/>
                <w:sz w:val="20"/>
                <w:lang w:val="en-GB"/>
              </w:rPr>
              <w:t xml:space="preserve"> </w:t>
            </w:r>
          </w:p>
        </w:tc>
        <w:tc>
          <w:tcPr>
            <w:tcW w:w="1436" w:type="dxa"/>
            <w:vAlign w:val="center"/>
          </w:tcPr>
          <w:p w:rsidR="00F415AA" w:rsidRPr="00F415AA" w:rsidRDefault="00F415AA" w:rsidP="006F3800">
            <w:pPr>
              <w:rPr>
                <w:i/>
                <w:sz w:val="20"/>
                <w:lang w:val="en-GB"/>
              </w:rPr>
            </w:pPr>
            <w:r w:rsidRPr="00F415AA">
              <w:rPr>
                <w:b/>
                <w:sz w:val="20"/>
                <w:lang w:val="en-GB"/>
              </w:rPr>
              <w:t xml:space="preserve">TS </w:t>
            </w:r>
            <w:r>
              <w:rPr>
                <w:b/>
                <w:sz w:val="20"/>
                <w:lang w:val="en-GB"/>
              </w:rPr>
              <w:t>R</w:t>
            </w:r>
            <w:r w:rsidRPr="00F415AA">
              <w:rPr>
                <w:b/>
                <w:sz w:val="20"/>
                <w:lang w:val="en-GB"/>
              </w:rPr>
              <w:t>ef.</w:t>
            </w:r>
            <w:r>
              <w:rPr>
                <w:b/>
                <w:sz w:val="20"/>
                <w:lang w:val="en-GB"/>
              </w:rPr>
              <w:t xml:space="preserve"> </w:t>
            </w:r>
            <w:proofErr w:type="spellStart"/>
            <w:r>
              <w:rPr>
                <w:b/>
                <w:sz w:val="20"/>
                <w:lang w:val="en-GB"/>
              </w:rPr>
              <w:t>Nr</w:t>
            </w:r>
            <w:proofErr w:type="spellEnd"/>
            <w:r>
              <w:rPr>
                <w:b/>
                <w:sz w:val="20"/>
                <w:lang w:val="en-GB"/>
              </w:rPr>
              <w:t>.</w:t>
            </w:r>
            <w:r w:rsidRPr="00F415AA">
              <w:rPr>
                <w:b/>
                <w:sz w:val="20"/>
                <w:lang w:val="en-GB"/>
              </w:rPr>
              <w:t>:</w:t>
            </w:r>
          </w:p>
        </w:tc>
        <w:tc>
          <w:tcPr>
            <w:tcW w:w="1683" w:type="dxa"/>
            <w:vAlign w:val="center"/>
          </w:tcPr>
          <w:p w:rsidR="00F415AA" w:rsidRPr="00F415AA" w:rsidRDefault="00FC40B9" w:rsidP="006F3800">
            <w:pPr>
              <w:rPr>
                <w:i/>
                <w:sz w:val="20"/>
                <w:lang w:val="en-GB"/>
              </w:rPr>
            </w:pPr>
            <w:r>
              <w:rPr>
                <w:i/>
                <w:sz w:val="20"/>
                <w:lang w:val="en-GB"/>
              </w:rPr>
              <w:t>PMI-3.2-T017</w:t>
            </w:r>
          </w:p>
        </w:tc>
        <w:tc>
          <w:tcPr>
            <w:tcW w:w="2356" w:type="dxa"/>
            <w:vAlign w:val="center"/>
          </w:tcPr>
          <w:p w:rsidR="00F415AA" w:rsidRPr="00F415AA" w:rsidRDefault="00F415AA" w:rsidP="00E048B9">
            <w:pPr>
              <w:spacing w:line="276" w:lineRule="auto"/>
              <w:rPr>
                <w:b/>
                <w:sz w:val="20"/>
                <w:lang w:val="en-GB"/>
              </w:rPr>
            </w:pPr>
            <w:r w:rsidRPr="00F415AA">
              <w:rPr>
                <w:b/>
                <w:sz w:val="20"/>
                <w:lang w:val="en-GB"/>
              </w:rPr>
              <w:t>Task coordinator</w:t>
            </w:r>
            <w:r>
              <w:rPr>
                <w:b/>
                <w:sz w:val="20"/>
                <w:lang w:val="en-GB"/>
              </w:rPr>
              <w:t>:</w:t>
            </w:r>
          </w:p>
        </w:tc>
        <w:tc>
          <w:tcPr>
            <w:tcW w:w="4731" w:type="dxa"/>
            <w:vAlign w:val="center"/>
          </w:tcPr>
          <w:p w:rsidR="00F415AA" w:rsidRPr="00F415AA" w:rsidRDefault="00D54984" w:rsidP="006F3800">
            <w:pPr>
              <w:spacing w:line="276" w:lineRule="auto"/>
              <w:rPr>
                <w:i/>
                <w:sz w:val="20"/>
                <w:lang w:val="en-GB"/>
              </w:rPr>
            </w:pPr>
            <w:r>
              <w:rPr>
                <w:i/>
                <w:sz w:val="20"/>
                <w:lang w:val="en-GB"/>
              </w:rPr>
              <w:t>M. Coleman</w:t>
            </w:r>
          </w:p>
        </w:tc>
      </w:tr>
    </w:tbl>
    <w:p w:rsidR="00AF1944" w:rsidRPr="00F415AA" w:rsidRDefault="00AF1944" w:rsidP="006F3800">
      <w:pPr>
        <w:spacing w:after="0" w:line="240" w:lineRule="auto"/>
        <w:rPr>
          <w:sz w:val="20"/>
          <w:szCs w:val="20"/>
          <w:lang w:val="en-GB"/>
        </w:rPr>
      </w:pPr>
    </w:p>
    <w:p w:rsidR="006F3800" w:rsidRPr="00F415AA" w:rsidRDefault="006F3800" w:rsidP="006F3800">
      <w:pPr>
        <w:spacing w:after="0" w:line="240" w:lineRule="auto"/>
        <w:rPr>
          <w:b/>
          <w:sz w:val="20"/>
          <w:szCs w:val="20"/>
          <w:u w:val="single"/>
          <w:lang w:val="en-GB"/>
        </w:rPr>
      </w:pPr>
      <w:r w:rsidRPr="00F415AA">
        <w:rPr>
          <w:b/>
          <w:sz w:val="20"/>
          <w:szCs w:val="20"/>
          <w:u w:val="single"/>
          <w:lang w:val="en-GB"/>
        </w:rPr>
        <w:t>Technical Specification:</w:t>
      </w:r>
    </w:p>
    <w:p w:rsidR="00E16F29" w:rsidRDefault="00E16F29" w:rsidP="006F3800">
      <w:pPr>
        <w:spacing w:after="0" w:line="240" w:lineRule="auto"/>
        <w:rPr>
          <w:sz w:val="20"/>
          <w:szCs w:val="20"/>
          <w:lang w:val="en-GB"/>
        </w:rPr>
      </w:pPr>
    </w:p>
    <w:p w:rsidR="000115C2" w:rsidRDefault="000115C2" w:rsidP="006F3800">
      <w:pPr>
        <w:spacing w:after="0" w:line="240" w:lineRule="auto"/>
        <w:rPr>
          <w:sz w:val="20"/>
          <w:szCs w:val="20"/>
          <w:lang w:val="en-GB"/>
        </w:rPr>
      </w:pPr>
      <w:r>
        <w:rPr>
          <w:sz w:val="20"/>
          <w:szCs w:val="20"/>
          <w:lang w:val="en-GB"/>
        </w:rPr>
        <w:t>A procedure/methodology for the shaping the TF coil (winding pack and casing) in 3D shall be developed according to the following constraints:</w:t>
      </w:r>
    </w:p>
    <w:p w:rsidR="000115C2" w:rsidRDefault="000115C2" w:rsidP="006F3800">
      <w:pPr>
        <w:spacing w:after="0" w:line="240" w:lineRule="auto"/>
        <w:rPr>
          <w:sz w:val="20"/>
          <w:szCs w:val="20"/>
          <w:lang w:val="en-GB"/>
        </w:rPr>
      </w:pPr>
    </w:p>
    <w:p w:rsidR="000115C2" w:rsidRDefault="000115C2" w:rsidP="000115C2">
      <w:pPr>
        <w:pStyle w:val="ListParagraph"/>
        <w:numPr>
          <w:ilvl w:val="0"/>
          <w:numId w:val="1"/>
        </w:numPr>
        <w:spacing w:after="0" w:line="240" w:lineRule="auto"/>
        <w:rPr>
          <w:sz w:val="20"/>
          <w:szCs w:val="20"/>
          <w:lang w:val="en-GB"/>
        </w:rPr>
      </w:pPr>
      <w:r>
        <w:rPr>
          <w:sz w:val="20"/>
          <w:szCs w:val="20"/>
          <w:lang w:val="en-GB"/>
        </w:rPr>
        <w:t xml:space="preserve">Maximum </w:t>
      </w:r>
      <w:r w:rsidR="00AF3235">
        <w:rPr>
          <w:sz w:val="20"/>
          <w:szCs w:val="20"/>
          <w:lang w:val="en-GB"/>
        </w:rPr>
        <w:t xml:space="preserve">allowable </w:t>
      </w:r>
      <w:r>
        <w:rPr>
          <w:sz w:val="20"/>
          <w:szCs w:val="20"/>
          <w:lang w:val="en-GB"/>
        </w:rPr>
        <w:t>TF ripple in between coils at the 95</w:t>
      </w:r>
      <w:r w:rsidRPr="000115C2">
        <w:rPr>
          <w:sz w:val="20"/>
          <w:szCs w:val="20"/>
          <w:vertAlign w:val="superscript"/>
          <w:lang w:val="en-GB"/>
        </w:rPr>
        <w:t>th</w:t>
      </w:r>
      <w:r>
        <w:rPr>
          <w:sz w:val="20"/>
          <w:szCs w:val="20"/>
          <w:lang w:val="en-GB"/>
        </w:rPr>
        <w:t xml:space="preserve"> percentile flux surface 0.6% (assuming no contributions from ferritic inserts and </w:t>
      </w:r>
      <w:proofErr w:type="spellStart"/>
      <w:r>
        <w:rPr>
          <w:sz w:val="20"/>
          <w:szCs w:val="20"/>
          <w:lang w:val="en-GB"/>
        </w:rPr>
        <w:t>EUROfer</w:t>
      </w:r>
      <w:proofErr w:type="spellEnd"/>
      <w:r>
        <w:rPr>
          <w:sz w:val="20"/>
          <w:szCs w:val="20"/>
          <w:lang w:val="en-GB"/>
        </w:rPr>
        <w:t xml:space="preserve"> blankets)</w:t>
      </w:r>
    </w:p>
    <w:p w:rsidR="00EE3B5F" w:rsidRDefault="00231D54" w:rsidP="000115C2">
      <w:pPr>
        <w:pStyle w:val="ListParagraph"/>
        <w:numPr>
          <w:ilvl w:val="0"/>
          <w:numId w:val="1"/>
        </w:numPr>
        <w:spacing w:after="0" w:line="240" w:lineRule="auto"/>
        <w:rPr>
          <w:sz w:val="20"/>
          <w:szCs w:val="20"/>
          <w:lang w:val="en-GB"/>
        </w:rPr>
      </w:pPr>
      <w:r>
        <w:rPr>
          <w:sz w:val="20"/>
          <w:szCs w:val="20"/>
          <w:lang w:val="en-GB"/>
        </w:rPr>
        <w:t>The magnitude of the toroidal field</w:t>
      </w:r>
      <w:r w:rsidR="00EE3B5F">
        <w:rPr>
          <w:sz w:val="20"/>
          <w:szCs w:val="20"/>
          <w:lang w:val="en-GB"/>
        </w:rPr>
        <w:t xml:space="preserve"> at the centre of the plasma R shall be </w:t>
      </w:r>
      <w:r w:rsidR="00497B88">
        <w:rPr>
          <w:sz w:val="20"/>
          <w:szCs w:val="20"/>
          <w:lang w:val="en-GB"/>
        </w:rPr>
        <w:t>taken from the respective PROCESS code runs</w:t>
      </w:r>
      <w:r w:rsidR="00EE3B5F">
        <w:rPr>
          <w:sz w:val="20"/>
          <w:szCs w:val="20"/>
          <w:lang w:val="en-GB"/>
        </w:rPr>
        <w:t>.</w:t>
      </w:r>
    </w:p>
    <w:p w:rsidR="00EE3B5F" w:rsidRDefault="00DA5BBC" w:rsidP="000115C2">
      <w:pPr>
        <w:pStyle w:val="ListParagraph"/>
        <w:numPr>
          <w:ilvl w:val="0"/>
          <w:numId w:val="1"/>
        </w:numPr>
        <w:spacing w:after="0" w:line="240" w:lineRule="auto"/>
        <w:rPr>
          <w:sz w:val="20"/>
          <w:szCs w:val="20"/>
          <w:lang w:val="en-GB"/>
        </w:rPr>
      </w:pPr>
      <w:r>
        <w:rPr>
          <w:sz w:val="20"/>
          <w:szCs w:val="20"/>
          <w:lang w:val="en-GB"/>
        </w:rPr>
        <w:t>CS coils shall be 100</w:t>
      </w:r>
      <w:r w:rsidR="00EE3B5F">
        <w:rPr>
          <w:sz w:val="20"/>
          <w:szCs w:val="20"/>
          <w:lang w:val="en-GB"/>
        </w:rPr>
        <w:t>mm off the TF coil surface in the bore.</w:t>
      </w:r>
    </w:p>
    <w:p w:rsidR="00EE3B5F" w:rsidRDefault="00EE3B5F" w:rsidP="000115C2">
      <w:pPr>
        <w:pStyle w:val="ListParagraph"/>
        <w:numPr>
          <w:ilvl w:val="0"/>
          <w:numId w:val="1"/>
        </w:numPr>
        <w:spacing w:after="0" w:line="240" w:lineRule="auto"/>
        <w:rPr>
          <w:sz w:val="20"/>
          <w:szCs w:val="20"/>
          <w:lang w:val="en-GB"/>
        </w:rPr>
      </w:pPr>
      <w:r>
        <w:rPr>
          <w:sz w:val="20"/>
          <w:szCs w:val="20"/>
          <w:lang w:val="en-GB"/>
        </w:rPr>
        <w:t>PF coils shall be positioned 300mm off the outer TF coil surface. The procedure shall allow the consideration of poloidal exclusion zones for the PF coils (corresponding to the presence of the VV ports).</w:t>
      </w:r>
    </w:p>
    <w:p w:rsidR="00A24010" w:rsidRDefault="00823950" w:rsidP="000115C2">
      <w:pPr>
        <w:pStyle w:val="ListParagraph"/>
        <w:numPr>
          <w:ilvl w:val="0"/>
          <w:numId w:val="1"/>
        </w:numPr>
        <w:spacing w:after="0" w:line="240" w:lineRule="auto"/>
        <w:rPr>
          <w:sz w:val="20"/>
          <w:szCs w:val="20"/>
          <w:lang w:val="en-GB"/>
        </w:rPr>
      </w:pPr>
      <w:r>
        <w:rPr>
          <w:sz w:val="20"/>
          <w:szCs w:val="20"/>
          <w:lang w:val="en-GB"/>
        </w:rPr>
        <w:t xml:space="preserve">The TF coil shall keep a clearance to the vacuum vessel </w:t>
      </w:r>
      <w:r w:rsidR="00A24010">
        <w:rPr>
          <w:sz w:val="20"/>
          <w:szCs w:val="20"/>
          <w:lang w:val="en-GB"/>
        </w:rPr>
        <w:t xml:space="preserve">(VV) of 200mm </w:t>
      </w:r>
      <w:r>
        <w:rPr>
          <w:sz w:val="20"/>
          <w:szCs w:val="20"/>
          <w:lang w:val="en-GB"/>
        </w:rPr>
        <w:t>(to allow for integration of the thermal shields</w:t>
      </w:r>
      <w:r w:rsidR="00A24010">
        <w:rPr>
          <w:sz w:val="20"/>
          <w:szCs w:val="20"/>
          <w:lang w:val="en-GB"/>
        </w:rPr>
        <w:t xml:space="preserve"> and differential thermal expansion</w:t>
      </w:r>
      <w:r>
        <w:rPr>
          <w:sz w:val="20"/>
          <w:szCs w:val="20"/>
          <w:lang w:val="en-GB"/>
        </w:rPr>
        <w:t>)</w:t>
      </w:r>
      <w:r w:rsidR="00DA5BBC">
        <w:rPr>
          <w:sz w:val="20"/>
          <w:szCs w:val="20"/>
          <w:lang w:val="en-GB"/>
        </w:rPr>
        <w:t>. The procedure shall allow consideration of different VV shapes, whilst maintaining the clearance in all locations.</w:t>
      </w:r>
    </w:p>
    <w:p w:rsidR="00823950" w:rsidRDefault="00A24010" w:rsidP="000115C2">
      <w:pPr>
        <w:pStyle w:val="ListParagraph"/>
        <w:numPr>
          <w:ilvl w:val="0"/>
          <w:numId w:val="1"/>
        </w:numPr>
        <w:spacing w:after="0" w:line="240" w:lineRule="auto"/>
        <w:rPr>
          <w:sz w:val="20"/>
          <w:szCs w:val="20"/>
          <w:lang w:val="en-GB"/>
        </w:rPr>
      </w:pPr>
      <w:r>
        <w:rPr>
          <w:sz w:val="20"/>
          <w:szCs w:val="20"/>
          <w:lang w:val="en-GB"/>
        </w:rPr>
        <w:t xml:space="preserve">The PF coils shall keep clearances to the VV ports and to the TF coil (shown in </w:t>
      </w:r>
      <w:r>
        <w:rPr>
          <w:sz w:val="20"/>
          <w:szCs w:val="20"/>
          <w:lang w:val="en-GB"/>
        </w:rPr>
        <w:fldChar w:fldCharType="begin"/>
      </w:r>
      <w:r>
        <w:rPr>
          <w:sz w:val="20"/>
          <w:szCs w:val="20"/>
          <w:lang w:val="en-GB"/>
        </w:rPr>
        <w:instrText xml:space="preserve"> REF _Ref441765471 \h </w:instrText>
      </w:r>
      <w:r>
        <w:rPr>
          <w:sz w:val="20"/>
          <w:szCs w:val="20"/>
          <w:lang w:val="en-GB"/>
        </w:rPr>
      </w:r>
      <w:r>
        <w:rPr>
          <w:sz w:val="20"/>
          <w:szCs w:val="20"/>
          <w:lang w:val="en-GB"/>
        </w:rPr>
        <w:fldChar w:fldCharType="separate"/>
      </w:r>
      <w:r w:rsidRPr="0007740C">
        <w:rPr>
          <w:lang w:val="en-US"/>
        </w:rPr>
        <w:t xml:space="preserve">Figure </w:t>
      </w:r>
      <w:r w:rsidRPr="0007740C">
        <w:rPr>
          <w:noProof/>
          <w:lang w:val="en-US"/>
        </w:rPr>
        <w:t>1</w:t>
      </w:r>
      <w:r>
        <w:rPr>
          <w:sz w:val="20"/>
          <w:szCs w:val="20"/>
          <w:lang w:val="en-GB"/>
        </w:rPr>
        <w:fldChar w:fldCharType="end"/>
      </w:r>
      <w:r>
        <w:rPr>
          <w:sz w:val="20"/>
          <w:szCs w:val="20"/>
          <w:lang w:val="en-GB"/>
        </w:rPr>
        <w:t>)</w:t>
      </w:r>
    </w:p>
    <w:p w:rsidR="000115C2" w:rsidRDefault="000115C2" w:rsidP="000115C2">
      <w:pPr>
        <w:pStyle w:val="ListParagraph"/>
        <w:numPr>
          <w:ilvl w:val="0"/>
          <w:numId w:val="1"/>
        </w:numPr>
        <w:spacing w:after="0" w:line="240" w:lineRule="auto"/>
        <w:rPr>
          <w:sz w:val="20"/>
          <w:szCs w:val="20"/>
          <w:lang w:val="en-GB"/>
        </w:rPr>
      </w:pPr>
      <w:r>
        <w:rPr>
          <w:sz w:val="20"/>
          <w:szCs w:val="20"/>
          <w:lang w:val="en-GB"/>
        </w:rPr>
        <w:t>The height of the TF shall be minimis</w:t>
      </w:r>
      <w:r w:rsidR="00A24010">
        <w:rPr>
          <w:sz w:val="20"/>
          <w:szCs w:val="20"/>
          <w:lang w:val="en-GB"/>
        </w:rPr>
        <w:t>ed</w:t>
      </w:r>
    </w:p>
    <w:p w:rsidR="000115C2" w:rsidRDefault="000115C2" w:rsidP="000115C2">
      <w:pPr>
        <w:pStyle w:val="ListParagraph"/>
        <w:numPr>
          <w:ilvl w:val="0"/>
          <w:numId w:val="1"/>
        </w:numPr>
        <w:spacing w:after="0" w:line="240" w:lineRule="auto"/>
        <w:rPr>
          <w:sz w:val="20"/>
          <w:szCs w:val="20"/>
          <w:lang w:val="en-GB"/>
        </w:rPr>
      </w:pPr>
      <w:r>
        <w:rPr>
          <w:sz w:val="20"/>
          <w:szCs w:val="20"/>
          <w:lang w:val="en-GB"/>
        </w:rPr>
        <w:t xml:space="preserve">The </w:t>
      </w:r>
      <w:r w:rsidR="00EE3B5F">
        <w:rPr>
          <w:sz w:val="20"/>
          <w:szCs w:val="20"/>
          <w:lang w:val="en-GB"/>
        </w:rPr>
        <w:t xml:space="preserve">required thickness of the TF coil casing shall be kept below a reasonable limit, e.g. 200mm, considering all load conditions and a maximum membrane stress of 660 MPa. </w:t>
      </w:r>
    </w:p>
    <w:p w:rsidR="00EE3B5F" w:rsidRDefault="00EE3B5F" w:rsidP="000115C2">
      <w:pPr>
        <w:pStyle w:val="ListParagraph"/>
        <w:numPr>
          <w:ilvl w:val="0"/>
          <w:numId w:val="1"/>
        </w:numPr>
        <w:spacing w:after="0" w:line="240" w:lineRule="auto"/>
        <w:rPr>
          <w:sz w:val="20"/>
          <w:szCs w:val="20"/>
          <w:lang w:val="en-GB"/>
        </w:rPr>
      </w:pPr>
      <w:r>
        <w:rPr>
          <w:sz w:val="20"/>
          <w:szCs w:val="20"/>
          <w:lang w:val="en-GB"/>
        </w:rPr>
        <w:t>The stresses in the winding pack shall not exceed the limits defined by MAG.</w:t>
      </w:r>
    </w:p>
    <w:p w:rsidR="00BC3567" w:rsidRDefault="000115C2" w:rsidP="00BC3567">
      <w:pPr>
        <w:pStyle w:val="ListParagraph"/>
        <w:numPr>
          <w:ilvl w:val="0"/>
          <w:numId w:val="1"/>
        </w:numPr>
        <w:spacing w:after="0" w:line="240" w:lineRule="auto"/>
        <w:rPr>
          <w:sz w:val="20"/>
          <w:szCs w:val="20"/>
          <w:lang w:val="en-GB"/>
        </w:rPr>
      </w:pPr>
      <w:r>
        <w:rPr>
          <w:sz w:val="20"/>
          <w:szCs w:val="20"/>
          <w:lang w:val="en-GB"/>
        </w:rPr>
        <w:t>The outer-inter coil structures shall be of sufficient size to withstand the loads during operation</w:t>
      </w:r>
      <w:r w:rsidR="00A24010">
        <w:rPr>
          <w:sz w:val="20"/>
          <w:szCs w:val="20"/>
          <w:lang w:val="en-GB"/>
        </w:rPr>
        <w:t xml:space="preserve">. These </w:t>
      </w:r>
      <w:r w:rsidR="00DA5BBC">
        <w:rPr>
          <w:sz w:val="20"/>
          <w:szCs w:val="20"/>
          <w:lang w:val="en-GB"/>
        </w:rPr>
        <w:t>shall also keep a clearance of 2</w:t>
      </w:r>
      <w:r w:rsidR="00A24010">
        <w:rPr>
          <w:sz w:val="20"/>
          <w:szCs w:val="20"/>
          <w:lang w:val="en-GB"/>
        </w:rPr>
        <w:t>00 mm to the VV ports</w:t>
      </w:r>
      <w:r w:rsidR="007D1341">
        <w:rPr>
          <w:sz w:val="20"/>
          <w:szCs w:val="20"/>
          <w:lang w:val="en-GB"/>
        </w:rPr>
        <w:t>.</w:t>
      </w:r>
    </w:p>
    <w:p w:rsidR="00A24010" w:rsidRPr="00A24010" w:rsidRDefault="007E3805" w:rsidP="00A24010">
      <w:pPr>
        <w:pStyle w:val="ListParagraph"/>
        <w:numPr>
          <w:ilvl w:val="0"/>
          <w:numId w:val="1"/>
        </w:numPr>
        <w:spacing w:after="0" w:line="240" w:lineRule="auto"/>
        <w:rPr>
          <w:sz w:val="20"/>
          <w:szCs w:val="20"/>
          <w:lang w:val="en-GB"/>
        </w:rPr>
      </w:pPr>
      <w:r>
        <w:rPr>
          <w:sz w:val="20"/>
          <w:szCs w:val="20"/>
          <w:lang w:val="en-GB"/>
        </w:rPr>
        <w:t>The TF winding pack and</w:t>
      </w:r>
      <w:r w:rsidR="001108EB" w:rsidRPr="001108EB">
        <w:rPr>
          <w:sz w:val="20"/>
          <w:szCs w:val="20"/>
          <w:lang w:val="en-GB"/>
        </w:rPr>
        <w:t xml:space="preserve"> stored energy in the TF and PF coil sets will be </w:t>
      </w:r>
      <w:r>
        <w:rPr>
          <w:sz w:val="20"/>
          <w:szCs w:val="20"/>
          <w:lang w:val="en-GB"/>
        </w:rPr>
        <w:t>compatible</w:t>
      </w:r>
      <w:r w:rsidR="001108EB">
        <w:rPr>
          <w:sz w:val="20"/>
          <w:szCs w:val="20"/>
          <w:lang w:val="en-GB"/>
        </w:rPr>
        <w:t xml:space="preserve"> </w:t>
      </w:r>
      <w:r w:rsidR="001108EB" w:rsidRPr="001108EB">
        <w:rPr>
          <w:sz w:val="20"/>
          <w:szCs w:val="20"/>
          <w:lang w:val="en-GB"/>
        </w:rPr>
        <w:t>quench discharge constant</w:t>
      </w:r>
      <w:r>
        <w:rPr>
          <w:sz w:val="20"/>
          <w:szCs w:val="20"/>
          <w:lang w:val="en-GB"/>
        </w:rPr>
        <w:t>s</w:t>
      </w:r>
      <w:r w:rsidR="001108EB" w:rsidRPr="001108EB">
        <w:rPr>
          <w:sz w:val="20"/>
          <w:szCs w:val="20"/>
          <w:lang w:val="en-GB"/>
        </w:rPr>
        <w:t xml:space="preserve">. </w:t>
      </w:r>
      <w:hyperlink r:id="rId9" w:history="1">
        <w:r w:rsidR="00475276">
          <w:rPr>
            <w:rStyle w:val="Hyperlink"/>
          </w:rPr>
          <w:t>2MBSE3</w:t>
        </w:r>
      </w:hyperlink>
      <w:r w:rsidR="00475276">
        <w:t xml:space="preserve"> </w:t>
      </w:r>
    </w:p>
    <w:p w:rsidR="000115C2" w:rsidRPr="00A24010" w:rsidRDefault="00BC3567" w:rsidP="00A24010">
      <w:pPr>
        <w:pStyle w:val="ListParagraph"/>
        <w:spacing w:after="0" w:line="240" w:lineRule="auto"/>
        <w:rPr>
          <w:sz w:val="20"/>
          <w:szCs w:val="20"/>
          <w:lang w:val="en-GB"/>
        </w:rPr>
      </w:pPr>
      <w:r w:rsidRPr="00A24010">
        <w:rPr>
          <w:sz w:val="20"/>
          <w:szCs w:val="20"/>
          <w:lang w:val="en-GB"/>
        </w:rPr>
        <w:tab/>
      </w:r>
    </w:p>
    <w:p w:rsidR="00A24010" w:rsidRDefault="00DA5BBC" w:rsidP="00A24010">
      <w:pPr>
        <w:keepNext/>
        <w:tabs>
          <w:tab w:val="left" w:pos="1052"/>
        </w:tabs>
        <w:spacing w:after="0" w:line="240" w:lineRule="auto"/>
        <w:jc w:val="center"/>
      </w:pPr>
      <w:r>
        <w:rPr>
          <w:noProof/>
          <w:lang w:val="en-GB" w:eastAsia="ja-JP"/>
        </w:rPr>
        <w:lastRenderedPageBreak/>
        <w:drawing>
          <wp:inline distT="0" distB="0" distL="0" distR="0" wp14:anchorId="28F7709C" wp14:editId="3EBFE211">
            <wp:extent cx="4764966" cy="403291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6169" cy="4033931"/>
                    </a:xfrm>
                    <a:prstGeom prst="rect">
                      <a:avLst/>
                    </a:prstGeom>
                  </pic:spPr>
                </pic:pic>
              </a:graphicData>
            </a:graphic>
          </wp:inline>
        </w:drawing>
      </w:r>
    </w:p>
    <w:p w:rsidR="00A24010" w:rsidRDefault="00A24010" w:rsidP="00A24010">
      <w:pPr>
        <w:pStyle w:val="Caption"/>
        <w:jc w:val="center"/>
        <w:rPr>
          <w:sz w:val="20"/>
          <w:szCs w:val="20"/>
          <w:lang w:val="en-GB"/>
        </w:rPr>
      </w:pPr>
      <w:bookmarkStart w:id="0" w:name="_Ref441765471"/>
      <w:r w:rsidRPr="0007740C">
        <w:rPr>
          <w:lang w:val="en-US"/>
        </w:rPr>
        <w:t xml:space="preserve">Figure </w:t>
      </w:r>
      <w:r w:rsidR="003B2B3D">
        <w:fldChar w:fldCharType="begin"/>
      </w:r>
      <w:r w:rsidR="003B2B3D" w:rsidRPr="0007740C">
        <w:rPr>
          <w:lang w:val="en-US"/>
        </w:rPr>
        <w:instrText xml:space="preserve"> SEQ Figure \* ARABIC </w:instrText>
      </w:r>
      <w:r w:rsidR="003B2B3D">
        <w:fldChar w:fldCharType="separate"/>
      </w:r>
      <w:r w:rsidRPr="0007740C">
        <w:rPr>
          <w:noProof/>
          <w:lang w:val="en-US"/>
        </w:rPr>
        <w:t>1</w:t>
      </w:r>
      <w:r w:rsidR="003B2B3D">
        <w:rPr>
          <w:noProof/>
        </w:rPr>
        <w:fldChar w:fldCharType="end"/>
      </w:r>
      <w:bookmarkEnd w:id="0"/>
      <w:r w:rsidRPr="0007740C">
        <w:rPr>
          <w:lang w:val="en-US"/>
        </w:rPr>
        <w:t xml:space="preserve"> - Inclusion zone for the PF coil (example)</w:t>
      </w:r>
      <w:r w:rsidR="00D653F4" w:rsidRPr="0007740C">
        <w:rPr>
          <w:lang w:val="en-US"/>
        </w:rPr>
        <w:t xml:space="preserve"> – based on </w:t>
      </w:r>
      <w:hyperlink r:id="rId11" w:history="1">
        <w:r w:rsidR="00D653F4" w:rsidRPr="0007740C">
          <w:rPr>
            <w:rStyle w:val="Hyperlink"/>
            <w:lang w:val="en-US"/>
          </w:rPr>
          <w:t>2M</w:t>
        </w:r>
        <w:bookmarkStart w:id="1" w:name="_GoBack"/>
        <w:bookmarkEnd w:id="1"/>
        <w:r w:rsidR="00D653F4" w:rsidRPr="0007740C">
          <w:rPr>
            <w:rStyle w:val="Hyperlink"/>
            <w:lang w:val="en-US"/>
          </w:rPr>
          <w:t>G46D</w:t>
        </w:r>
      </w:hyperlink>
      <w:r w:rsidR="00D653F4" w:rsidRPr="0007740C">
        <w:rPr>
          <w:lang w:val="en-US"/>
        </w:rPr>
        <w:t xml:space="preserve"> </w:t>
      </w:r>
    </w:p>
    <w:p w:rsidR="00A24010" w:rsidRDefault="00A24010" w:rsidP="000115C2">
      <w:pPr>
        <w:spacing w:after="0" w:line="240" w:lineRule="auto"/>
        <w:rPr>
          <w:sz w:val="20"/>
          <w:szCs w:val="20"/>
          <w:lang w:val="en-GB"/>
        </w:rPr>
      </w:pPr>
    </w:p>
    <w:p w:rsidR="00A24010" w:rsidRDefault="00A24010" w:rsidP="000115C2">
      <w:pPr>
        <w:spacing w:after="0" w:line="240" w:lineRule="auto"/>
        <w:rPr>
          <w:sz w:val="20"/>
          <w:szCs w:val="20"/>
          <w:lang w:val="en-GB"/>
        </w:rPr>
      </w:pPr>
      <w:r>
        <w:rPr>
          <w:sz w:val="20"/>
          <w:szCs w:val="20"/>
          <w:lang w:val="en-GB"/>
        </w:rPr>
        <w:t>Methods for homogenising the properties of the winding pack shall be supplied by members of the WPMAG team</w:t>
      </w:r>
      <w:r w:rsidR="00D653F4">
        <w:rPr>
          <w:sz w:val="20"/>
          <w:szCs w:val="20"/>
          <w:lang w:val="en-GB"/>
        </w:rPr>
        <w:t xml:space="preserve"> (and detailed in </w:t>
      </w:r>
      <w:hyperlink r:id="rId12" w:history="1">
        <w:r w:rsidR="00D653F4">
          <w:rPr>
            <w:rStyle w:val="Hyperlink"/>
            <w:sz w:val="20"/>
            <w:szCs w:val="20"/>
            <w:lang w:val="en-GB"/>
          </w:rPr>
          <w:t>2ANVM7</w:t>
        </w:r>
      </w:hyperlink>
      <w:r w:rsidR="00D653F4">
        <w:rPr>
          <w:sz w:val="20"/>
          <w:szCs w:val="20"/>
          <w:lang w:val="en-GB"/>
        </w:rPr>
        <w:t>)</w:t>
      </w:r>
      <w:r>
        <w:rPr>
          <w:sz w:val="20"/>
          <w:szCs w:val="20"/>
          <w:lang w:val="en-GB"/>
        </w:rPr>
        <w:t xml:space="preserve">, and meetings will be held together with the WPMAG team to </w:t>
      </w:r>
      <w:r w:rsidR="00D653F4">
        <w:rPr>
          <w:sz w:val="20"/>
          <w:szCs w:val="20"/>
          <w:lang w:val="en-GB"/>
        </w:rPr>
        <w:t>ensure consistency.</w:t>
      </w:r>
    </w:p>
    <w:p w:rsidR="00A24010" w:rsidRDefault="00A24010" w:rsidP="000115C2">
      <w:pPr>
        <w:spacing w:after="0" w:line="240" w:lineRule="auto"/>
        <w:rPr>
          <w:sz w:val="20"/>
          <w:szCs w:val="20"/>
          <w:lang w:val="en-GB"/>
        </w:rPr>
      </w:pPr>
    </w:p>
    <w:p w:rsidR="00AF3235" w:rsidRDefault="00AF3235" w:rsidP="000115C2">
      <w:pPr>
        <w:spacing w:after="0" w:line="240" w:lineRule="auto"/>
        <w:rPr>
          <w:sz w:val="20"/>
          <w:szCs w:val="20"/>
          <w:lang w:val="en-GB"/>
        </w:rPr>
      </w:pPr>
      <w:r>
        <w:rPr>
          <w:sz w:val="20"/>
          <w:szCs w:val="20"/>
          <w:lang w:val="en-GB"/>
        </w:rPr>
        <w:t xml:space="preserve">This procedure shall be written and executed in such a way that it can be used </w:t>
      </w:r>
      <w:r w:rsidR="00A40288">
        <w:rPr>
          <w:sz w:val="20"/>
          <w:szCs w:val="20"/>
          <w:lang w:val="en-GB"/>
        </w:rPr>
        <w:t xml:space="preserve">by members of the PMU </w:t>
      </w:r>
      <w:r>
        <w:rPr>
          <w:sz w:val="20"/>
          <w:szCs w:val="20"/>
          <w:lang w:val="en-GB"/>
        </w:rPr>
        <w:t xml:space="preserve">repeatedly to shape the TF coils in 3D </w:t>
      </w:r>
      <w:r w:rsidR="004F3EAF">
        <w:rPr>
          <w:sz w:val="20"/>
          <w:szCs w:val="20"/>
          <w:lang w:val="en-GB"/>
        </w:rPr>
        <w:t xml:space="preserve">(with separate volumes for the winding pack and casing) </w:t>
      </w:r>
      <w:r>
        <w:rPr>
          <w:sz w:val="20"/>
          <w:szCs w:val="20"/>
          <w:lang w:val="en-GB"/>
        </w:rPr>
        <w:t>for the issuing of DEMO CAD baselines.</w:t>
      </w:r>
      <w:r w:rsidR="007E3805">
        <w:rPr>
          <w:sz w:val="20"/>
          <w:szCs w:val="20"/>
          <w:lang w:val="en-GB"/>
        </w:rPr>
        <w:t xml:space="preserve"> The procedure will account for all electromagnetic forces acting on the TF coils, gravitational loads, </w:t>
      </w:r>
      <w:proofErr w:type="gramStart"/>
      <w:r w:rsidR="00DA5BBC">
        <w:rPr>
          <w:sz w:val="20"/>
          <w:szCs w:val="20"/>
          <w:lang w:val="en-GB"/>
        </w:rPr>
        <w:t>reaction</w:t>
      </w:r>
      <w:proofErr w:type="gramEnd"/>
      <w:r w:rsidR="00DA5BBC">
        <w:rPr>
          <w:sz w:val="20"/>
          <w:szCs w:val="20"/>
          <w:lang w:val="en-GB"/>
        </w:rPr>
        <w:t xml:space="preserve"> loads from the gravity supports,</w:t>
      </w:r>
      <w:r w:rsidR="007E3805">
        <w:rPr>
          <w:sz w:val="20"/>
          <w:szCs w:val="20"/>
          <w:lang w:val="en-GB"/>
        </w:rPr>
        <w:t xml:space="preserve"> and vertical reaction loads from the PF and CS coil sets</w:t>
      </w:r>
      <w:r w:rsidR="00AF023E">
        <w:rPr>
          <w:sz w:val="20"/>
          <w:szCs w:val="20"/>
          <w:lang w:val="en-GB"/>
        </w:rPr>
        <w:t xml:space="preserve"> transferred through the TF coils</w:t>
      </w:r>
      <w:r w:rsidR="007E3805">
        <w:rPr>
          <w:sz w:val="20"/>
          <w:szCs w:val="20"/>
          <w:lang w:val="en-GB"/>
        </w:rPr>
        <w:t xml:space="preserve">. </w:t>
      </w:r>
      <w:r w:rsidR="00AF023E">
        <w:rPr>
          <w:sz w:val="20"/>
          <w:szCs w:val="20"/>
          <w:lang w:val="en-GB"/>
        </w:rPr>
        <w:t>Loads</w:t>
      </w:r>
      <w:r w:rsidR="007E3805">
        <w:rPr>
          <w:sz w:val="20"/>
          <w:szCs w:val="20"/>
          <w:lang w:val="en-GB"/>
        </w:rPr>
        <w:t xml:space="preserve"> will be evaluated </w:t>
      </w:r>
      <w:r w:rsidR="00AF023E">
        <w:rPr>
          <w:sz w:val="20"/>
          <w:szCs w:val="20"/>
          <w:lang w:val="en-GB"/>
        </w:rPr>
        <w:t xml:space="preserve">at a number of points </w:t>
      </w:r>
      <w:r w:rsidR="007E3805">
        <w:rPr>
          <w:sz w:val="20"/>
          <w:szCs w:val="20"/>
          <w:lang w:val="en-GB"/>
        </w:rPr>
        <w:t xml:space="preserve">across </w:t>
      </w:r>
      <w:r w:rsidR="00AF023E">
        <w:rPr>
          <w:sz w:val="20"/>
          <w:szCs w:val="20"/>
          <w:lang w:val="en-GB"/>
        </w:rPr>
        <w:t xml:space="preserve">a reference CS flux swing. Emergency loads, such as those resulting from the loss of current in a single TF coil, will not be considered. </w:t>
      </w:r>
    </w:p>
    <w:p w:rsidR="00B829C9" w:rsidRDefault="00B829C9" w:rsidP="000115C2">
      <w:pPr>
        <w:spacing w:after="0" w:line="240" w:lineRule="auto"/>
        <w:rPr>
          <w:sz w:val="20"/>
          <w:szCs w:val="20"/>
          <w:lang w:val="en-GB"/>
        </w:rPr>
      </w:pPr>
    </w:p>
    <w:p w:rsidR="00D66342" w:rsidRDefault="000115C2" w:rsidP="000115C2">
      <w:pPr>
        <w:spacing w:after="0" w:line="240" w:lineRule="auto"/>
        <w:rPr>
          <w:sz w:val="20"/>
          <w:szCs w:val="20"/>
          <w:lang w:val="en-GB"/>
        </w:rPr>
      </w:pPr>
      <w:r>
        <w:rPr>
          <w:sz w:val="20"/>
          <w:szCs w:val="20"/>
          <w:lang w:val="en-GB"/>
        </w:rPr>
        <w:t xml:space="preserve">The procedure shall be applied to </w:t>
      </w:r>
      <w:r w:rsidR="00D66342">
        <w:rPr>
          <w:sz w:val="20"/>
          <w:szCs w:val="20"/>
          <w:lang w:val="en-GB"/>
        </w:rPr>
        <w:t xml:space="preserve">the </w:t>
      </w:r>
      <w:r w:rsidR="00D66342" w:rsidRPr="00D66342">
        <w:rPr>
          <w:b/>
          <w:sz w:val="20"/>
          <w:szCs w:val="20"/>
          <w:lang w:val="en-GB"/>
        </w:rPr>
        <w:t>EU-DEMO 2015 baseline</w:t>
      </w:r>
      <w:r w:rsidR="00D66342">
        <w:rPr>
          <w:sz w:val="20"/>
          <w:szCs w:val="20"/>
          <w:lang w:val="en-GB"/>
        </w:rPr>
        <w:t>:</w:t>
      </w:r>
    </w:p>
    <w:p w:rsidR="00D66342" w:rsidRDefault="00D66342" w:rsidP="00D66342">
      <w:pPr>
        <w:pStyle w:val="ListParagraph"/>
        <w:numPr>
          <w:ilvl w:val="0"/>
          <w:numId w:val="4"/>
        </w:numPr>
        <w:spacing w:after="0" w:line="240" w:lineRule="auto"/>
        <w:rPr>
          <w:sz w:val="20"/>
          <w:szCs w:val="20"/>
          <w:lang w:val="en-GB"/>
        </w:rPr>
      </w:pPr>
      <w:r>
        <w:rPr>
          <w:sz w:val="20"/>
          <w:szCs w:val="20"/>
          <w:lang w:val="en-GB"/>
        </w:rPr>
        <w:lastRenderedPageBreak/>
        <w:t xml:space="preserve">PROCESS 1 page output: </w:t>
      </w:r>
      <w:hyperlink r:id="rId13" w:history="1">
        <w:r>
          <w:rPr>
            <w:rStyle w:val="Hyperlink"/>
            <w:sz w:val="20"/>
            <w:szCs w:val="20"/>
            <w:lang w:val="en-GB"/>
          </w:rPr>
          <w:t>2LBJRY</w:t>
        </w:r>
      </w:hyperlink>
      <w:r>
        <w:rPr>
          <w:sz w:val="20"/>
          <w:szCs w:val="20"/>
          <w:lang w:val="en-GB"/>
        </w:rPr>
        <w:t xml:space="preserve"> </w:t>
      </w:r>
    </w:p>
    <w:p w:rsidR="00D66342" w:rsidRDefault="00D66342" w:rsidP="00D66342">
      <w:pPr>
        <w:pStyle w:val="ListParagraph"/>
        <w:numPr>
          <w:ilvl w:val="0"/>
          <w:numId w:val="4"/>
        </w:numPr>
        <w:spacing w:after="0" w:line="240" w:lineRule="auto"/>
        <w:rPr>
          <w:sz w:val="20"/>
          <w:szCs w:val="20"/>
          <w:lang w:val="en-GB"/>
        </w:rPr>
      </w:pPr>
      <w:r>
        <w:rPr>
          <w:sz w:val="20"/>
          <w:szCs w:val="20"/>
          <w:lang w:val="en-GB"/>
        </w:rPr>
        <w:t xml:space="preserve">PROCESS full output: </w:t>
      </w:r>
      <w:hyperlink r:id="rId14" w:history="1">
        <w:r>
          <w:rPr>
            <w:rStyle w:val="Hyperlink"/>
            <w:sz w:val="20"/>
            <w:szCs w:val="20"/>
            <w:lang w:val="en-GB"/>
          </w:rPr>
          <w:t>2MDKFH</w:t>
        </w:r>
      </w:hyperlink>
      <w:r>
        <w:rPr>
          <w:sz w:val="20"/>
          <w:szCs w:val="20"/>
          <w:lang w:val="en-GB"/>
        </w:rPr>
        <w:t xml:space="preserve"> </w:t>
      </w:r>
    </w:p>
    <w:p w:rsidR="00D66342" w:rsidRPr="00D66342" w:rsidRDefault="00D66342" w:rsidP="00D66342">
      <w:pPr>
        <w:pStyle w:val="ListParagraph"/>
        <w:numPr>
          <w:ilvl w:val="0"/>
          <w:numId w:val="4"/>
        </w:numPr>
        <w:spacing w:after="0" w:line="240" w:lineRule="auto"/>
        <w:rPr>
          <w:sz w:val="20"/>
          <w:szCs w:val="20"/>
          <w:lang w:val="en-GB"/>
        </w:rPr>
      </w:pPr>
      <w:r>
        <w:rPr>
          <w:sz w:val="20"/>
          <w:szCs w:val="20"/>
          <w:lang w:val="en-GB"/>
        </w:rPr>
        <w:t xml:space="preserve">Plasma equilibrium description and eqdsk files: </w:t>
      </w:r>
      <w:hyperlink r:id="rId15" w:history="1">
        <w:r>
          <w:rPr>
            <w:rStyle w:val="Hyperlink"/>
            <w:sz w:val="20"/>
            <w:szCs w:val="20"/>
            <w:lang w:val="en-GB"/>
          </w:rPr>
          <w:t>2AQ5GP</w:t>
        </w:r>
      </w:hyperlink>
      <w:r w:rsidRPr="00DA5BBC">
        <w:t xml:space="preserve"> </w:t>
      </w:r>
    </w:p>
    <w:p w:rsidR="00D66342" w:rsidRPr="00D66342" w:rsidRDefault="00D66342" w:rsidP="00D66342">
      <w:pPr>
        <w:pStyle w:val="ListParagraph"/>
        <w:numPr>
          <w:ilvl w:val="0"/>
          <w:numId w:val="4"/>
        </w:numPr>
        <w:spacing w:after="0" w:line="240" w:lineRule="auto"/>
        <w:rPr>
          <w:sz w:val="20"/>
          <w:szCs w:val="20"/>
          <w:lang w:val="en-GB"/>
        </w:rPr>
      </w:pPr>
      <w:r w:rsidRPr="0007740C">
        <w:rPr>
          <w:lang w:val="en-US"/>
        </w:rPr>
        <w:t xml:space="preserve">Initial </w:t>
      </w:r>
      <w:r w:rsidR="00BE02B6" w:rsidRPr="0007740C">
        <w:rPr>
          <w:lang w:val="en-US"/>
        </w:rPr>
        <w:t xml:space="preserve">2D </w:t>
      </w:r>
      <w:r w:rsidRPr="0007740C">
        <w:rPr>
          <w:lang w:val="en-US"/>
        </w:rPr>
        <w:t xml:space="preserve">geometry (incl. TF shaping): </w:t>
      </w:r>
      <w:hyperlink r:id="rId16" w:history="1">
        <w:r w:rsidRPr="0007740C">
          <w:rPr>
            <w:rStyle w:val="Hyperlink"/>
            <w:lang w:val="en-US"/>
          </w:rPr>
          <w:t>2MG46D</w:t>
        </w:r>
      </w:hyperlink>
      <w:r w:rsidRPr="0007740C">
        <w:rPr>
          <w:lang w:val="en-US"/>
        </w:rPr>
        <w:t xml:space="preserve"> </w:t>
      </w:r>
    </w:p>
    <w:p w:rsidR="00D66342" w:rsidRPr="00D66342" w:rsidRDefault="00D66342" w:rsidP="00D653F4">
      <w:pPr>
        <w:pStyle w:val="ListParagraph"/>
        <w:numPr>
          <w:ilvl w:val="0"/>
          <w:numId w:val="4"/>
        </w:numPr>
        <w:spacing w:after="0" w:line="240" w:lineRule="auto"/>
        <w:rPr>
          <w:sz w:val="20"/>
          <w:szCs w:val="20"/>
          <w:lang w:val="en-GB"/>
        </w:rPr>
      </w:pPr>
      <w:r w:rsidRPr="0007740C">
        <w:rPr>
          <w:lang w:val="en-US"/>
        </w:rPr>
        <w:t xml:space="preserve">CAD (incl. TF cross-section and 3D): </w:t>
      </w:r>
      <w:hyperlink r:id="rId17" w:history="1">
        <w:r w:rsidRPr="0007740C">
          <w:rPr>
            <w:rStyle w:val="Hyperlink"/>
            <w:lang w:val="en-US"/>
          </w:rPr>
          <w:t>2M9AJJ</w:t>
        </w:r>
      </w:hyperlink>
      <w:r w:rsidR="00D653F4" w:rsidRPr="0007740C">
        <w:rPr>
          <w:lang w:val="en-US"/>
        </w:rPr>
        <w:t xml:space="preserve">. NOTE: The cross section for the TF coil shown here is incorrect, and has been adjusted to a winding pack radial thickness of 625 mm, and not 500mm, in the inboard direction. </w:t>
      </w:r>
      <w:r w:rsidR="00D653F4">
        <w:t xml:space="preserve">Corrected drawings can be found here: </w:t>
      </w:r>
      <w:r w:rsidR="00D653F4">
        <w:fldChar w:fldCharType="begin"/>
      </w:r>
      <w:r w:rsidR="00D653F4">
        <w:instrText>HYPERLINK "https://idm.euro-fusion.org/?uid=2LMDTE"</w:instrText>
      </w:r>
      <w:r w:rsidR="00D653F4">
        <w:fldChar w:fldCharType="separate"/>
      </w:r>
      <w:r w:rsidR="00D653F4">
        <w:rPr>
          <w:rStyle w:val="Hyperlink"/>
        </w:rPr>
        <w:t>2LMDTE</w:t>
      </w:r>
      <w:r w:rsidR="00D653F4">
        <w:fldChar w:fldCharType="end"/>
      </w:r>
      <w:r w:rsidR="00D653F4">
        <w:t xml:space="preserve">. </w:t>
      </w:r>
    </w:p>
    <w:p w:rsidR="00D66342" w:rsidRDefault="00D66342" w:rsidP="000115C2">
      <w:pPr>
        <w:spacing w:after="0" w:line="240" w:lineRule="auto"/>
        <w:rPr>
          <w:sz w:val="20"/>
          <w:szCs w:val="20"/>
          <w:lang w:val="en-GB"/>
        </w:rPr>
      </w:pPr>
    </w:p>
    <w:p w:rsidR="000115C2" w:rsidRDefault="00D66342" w:rsidP="000115C2">
      <w:pPr>
        <w:spacing w:after="0" w:line="240" w:lineRule="auto"/>
        <w:rPr>
          <w:sz w:val="20"/>
          <w:szCs w:val="20"/>
          <w:lang w:val="en-GB"/>
        </w:rPr>
      </w:pPr>
      <w:r>
        <w:rPr>
          <w:sz w:val="20"/>
          <w:szCs w:val="20"/>
          <w:lang w:val="en-GB"/>
        </w:rPr>
        <w:t>And two variants of the single-null DEMO, based on 2016 PROCESS runs</w:t>
      </w:r>
      <w:r w:rsidR="000115C2" w:rsidRPr="000115C2">
        <w:rPr>
          <w:sz w:val="20"/>
          <w:szCs w:val="20"/>
          <w:lang w:val="en-GB"/>
        </w:rPr>
        <w:t xml:space="preserve"> </w:t>
      </w:r>
      <w:r w:rsidR="004F3EAF">
        <w:rPr>
          <w:sz w:val="20"/>
          <w:szCs w:val="20"/>
          <w:lang w:val="en-GB"/>
        </w:rPr>
        <w:t>to find two satisfactory TF coil configuratio</w:t>
      </w:r>
      <w:r>
        <w:rPr>
          <w:sz w:val="20"/>
          <w:szCs w:val="20"/>
          <w:lang w:val="en-GB"/>
        </w:rPr>
        <w:t>ns for these DEMO architectures:</w:t>
      </w:r>
    </w:p>
    <w:p w:rsidR="00D66342" w:rsidRDefault="00D66342" w:rsidP="00D66342">
      <w:pPr>
        <w:pStyle w:val="ListParagraph"/>
        <w:numPr>
          <w:ilvl w:val="0"/>
          <w:numId w:val="3"/>
        </w:numPr>
        <w:spacing w:after="0" w:line="240" w:lineRule="auto"/>
        <w:rPr>
          <w:sz w:val="20"/>
          <w:szCs w:val="20"/>
          <w:lang w:val="en-GB"/>
        </w:rPr>
      </w:pPr>
      <w:r w:rsidRPr="00D66342">
        <w:rPr>
          <w:b/>
          <w:sz w:val="20"/>
          <w:szCs w:val="20"/>
          <w:lang w:val="en-GB"/>
        </w:rPr>
        <w:t xml:space="preserve">SN-16 </w:t>
      </w:r>
      <w:r>
        <w:rPr>
          <w:b/>
          <w:sz w:val="20"/>
          <w:szCs w:val="20"/>
          <w:lang w:val="en-GB"/>
        </w:rPr>
        <w:t>2016</w:t>
      </w:r>
      <w:r>
        <w:rPr>
          <w:sz w:val="20"/>
          <w:szCs w:val="20"/>
          <w:lang w:val="en-GB"/>
        </w:rPr>
        <w:t xml:space="preserve"> [A=3.1, </w:t>
      </w:r>
      <w:proofErr w:type="spellStart"/>
      <w:r>
        <w:rPr>
          <w:sz w:val="20"/>
          <w:szCs w:val="20"/>
          <w:lang w:val="en-GB"/>
        </w:rPr>
        <w:t>n_TF</w:t>
      </w:r>
      <w:proofErr w:type="spellEnd"/>
      <w:r>
        <w:rPr>
          <w:sz w:val="20"/>
          <w:szCs w:val="20"/>
          <w:lang w:val="en-GB"/>
        </w:rPr>
        <w:t>=16]: PROCESS output will be provided</w:t>
      </w:r>
    </w:p>
    <w:p w:rsidR="00D66342" w:rsidRPr="00D66342" w:rsidRDefault="00D66342" w:rsidP="00D66342">
      <w:pPr>
        <w:pStyle w:val="ListParagraph"/>
        <w:numPr>
          <w:ilvl w:val="0"/>
          <w:numId w:val="3"/>
        </w:numPr>
        <w:spacing w:after="0" w:line="240" w:lineRule="auto"/>
        <w:rPr>
          <w:sz w:val="20"/>
          <w:szCs w:val="20"/>
          <w:lang w:val="en-GB"/>
        </w:rPr>
      </w:pPr>
      <w:r w:rsidRPr="00D66342">
        <w:rPr>
          <w:b/>
          <w:sz w:val="20"/>
          <w:szCs w:val="20"/>
          <w:lang w:val="en-GB"/>
        </w:rPr>
        <w:t xml:space="preserve">SN-18 </w:t>
      </w:r>
      <w:r>
        <w:rPr>
          <w:b/>
          <w:sz w:val="20"/>
          <w:szCs w:val="20"/>
          <w:lang w:val="en-GB"/>
        </w:rPr>
        <w:t>2016</w:t>
      </w:r>
      <w:r>
        <w:rPr>
          <w:sz w:val="20"/>
          <w:szCs w:val="20"/>
          <w:lang w:val="en-GB"/>
        </w:rPr>
        <w:t xml:space="preserve"> [A=3.1, </w:t>
      </w:r>
      <w:proofErr w:type="spellStart"/>
      <w:r>
        <w:rPr>
          <w:sz w:val="20"/>
          <w:szCs w:val="20"/>
          <w:lang w:val="en-GB"/>
        </w:rPr>
        <w:t>n_TF</w:t>
      </w:r>
      <w:proofErr w:type="spellEnd"/>
      <w:r>
        <w:rPr>
          <w:sz w:val="20"/>
          <w:szCs w:val="20"/>
          <w:lang w:val="en-GB"/>
        </w:rPr>
        <w:t>=18]: PROCESS output will be provided</w:t>
      </w:r>
    </w:p>
    <w:p w:rsidR="004F3EAF" w:rsidRDefault="004F3EAF" w:rsidP="000115C2">
      <w:pPr>
        <w:spacing w:after="0" w:line="240" w:lineRule="auto"/>
        <w:rPr>
          <w:sz w:val="20"/>
          <w:szCs w:val="20"/>
          <w:lang w:val="en-GB"/>
        </w:rPr>
      </w:pPr>
      <w:r>
        <w:rPr>
          <w:sz w:val="20"/>
          <w:szCs w:val="20"/>
          <w:lang w:val="en-GB"/>
        </w:rPr>
        <w:t>This exercise will contribute to a comparison of 16 vs 18 TF coil architecture options. The following parameters shall be measured for each configuration:</w:t>
      </w:r>
    </w:p>
    <w:p w:rsidR="004F3EAF" w:rsidRDefault="007E3805" w:rsidP="004F3EAF">
      <w:pPr>
        <w:pStyle w:val="ListParagraph"/>
        <w:numPr>
          <w:ilvl w:val="0"/>
          <w:numId w:val="2"/>
        </w:numPr>
        <w:spacing w:after="0" w:line="240" w:lineRule="auto"/>
        <w:rPr>
          <w:sz w:val="20"/>
          <w:szCs w:val="20"/>
          <w:lang w:val="en-GB"/>
        </w:rPr>
      </w:pPr>
      <w:r>
        <w:rPr>
          <w:sz w:val="20"/>
          <w:szCs w:val="20"/>
          <w:lang w:val="en-GB"/>
        </w:rPr>
        <w:t>Metrics relating to to</w:t>
      </w:r>
      <w:r w:rsidR="004F3EAF">
        <w:rPr>
          <w:sz w:val="20"/>
          <w:szCs w:val="20"/>
          <w:lang w:val="en-GB"/>
        </w:rPr>
        <w:t xml:space="preserve">tal </w:t>
      </w:r>
      <w:r w:rsidR="00FC40B9">
        <w:rPr>
          <w:sz w:val="20"/>
          <w:szCs w:val="20"/>
          <w:lang w:val="en-GB"/>
        </w:rPr>
        <w:t>magnet cost</w:t>
      </w:r>
      <w:r>
        <w:rPr>
          <w:sz w:val="20"/>
          <w:szCs w:val="20"/>
          <w:lang w:val="en-GB"/>
        </w:rPr>
        <w:t>, e.g. conductor volume</w:t>
      </w:r>
      <w:r w:rsidR="00000D57">
        <w:rPr>
          <w:sz w:val="20"/>
          <w:szCs w:val="20"/>
          <w:lang w:val="en-GB"/>
        </w:rPr>
        <w:t>, steel volume</w:t>
      </w:r>
    </w:p>
    <w:p w:rsidR="004F3EAF" w:rsidRDefault="004F3EAF" w:rsidP="004F3EAF">
      <w:pPr>
        <w:pStyle w:val="ListParagraph"/>
        <w:numPr>
          <w:ilvl w:val="0"/>
          <w:numId w:val="2"/>
        </w:numPr>
        <w:spacing w:after="0" w:line="240" w:lineRule="auto"/>
        <w:rPr>
          <w:sz w:val="20"/>
          <w:szCs w:val="20"/>
          <w:lang w:val="en-GB"/>
        </w:rPr>
      </w:pPr>
      <w:r>
        <w:rPr>
          <w:sz w:val="20"/>
          <w:szCs w:val="20"/>
          <w:lang w:val="en-GB"/>
        </w:rPr>
        <w:t>TF coil height</w:t>
      </w:r>
    </w:p>
    <w:p w:rsidR="007E3805" w:rsidRDefault="007E3805" w:rsidP="004F3EAF">
      <w:pPr>
        <w:pStyle w:val="ListParagraph"/>
        <w:numPr>
          <w:ilvl w:val="0"/>
          <w:numId w:val="2"/>
        </w:numPr>
        <w:spacing w:after="0" w:line="240" w:lineRule="auto"/>
        <w:rPr>
          <w:sz w:val="20"/>
          <w:szCs w:val="20"/>
          <w:lang w:val="en-GB"/>
        </w:rPr>
      </w:pPr>
      <w:r>
        <w:rPr>
          <w:sz w:val="20"/>
          <w:szCs w:val="20"/>
          <w:lang w:val="en-GB"/>
        </w:rPr>
        <w:t>Total stored energy within TF magnet set (assuming a balanced discharge of all TF coils)</w:t>
      </w:r>
    </w:p>
    <w:p w:rsidR="00A40288" w:rsidRDefault="00A40288" w:rsidP="00575F61">
      <w:pPr>
        <w:spacing w:after="0" w:line="240" w:lineRule="auto"/>
        <w:ind w:left="720"/>
        <w:rPr>
          <w:sz w:val="20"/>
          <w:szCs w:val="20"/>
          <w:lang w:val="en-GB"/>
        </w:rPr>
      </w:pPr>
    </w:p>
    <w:p w:rsidR="00A24010" w:rsidRPr="00575F61" w:rsidRDefault="00A40288" w:rsidP="00575F61">
      <w:pPr>
        <w:spacing w:after="0" w:line="240" w:lineRule="auto"/>
        <w:rPr>
          <w:sz w:val="20"/>
          <w:szCs w:val="20"/>
          <w:lang w:val="en-GB"/>
        </w:rPr>
      </w:pPr>
      <w:r>
        <w:rPr>
          <w:sz w:val="20"/>
          <w:szCs w:val="20"/>
          <w:lang w:val="en-GB"/>
        </w:rPr>
        <w:t>The results from the above configurations and other design points studied in the optimisation process shall be used to derive some simplified engineering limits and rules of thumb on the m</w:t>
      </w:r>
      <w:r w:rsidR="000255DD">
        <w:rPr>
          <w:sz w:val="20"/>
          <w:szCs w:val="20"/>
          <w:lang w:val="en-GB"/>
        </w:rPr>
        <w:t>inimum</w:t>
      </w:r>
      <w:r>
        <w:rPr>
          <w:sz w:val="20"/>
          <w:szCs w:val="20"/>
          <w:lang w:val="en-GB"/>
        </w:rPr>
        <w:t xml:space="preserve"> allowable </w:t>
      </w:r>
      <w:r w:rsidR="000255DD">
        <w:rPr>
          <w:sz w:val="20"/>
          <w:szCs w:val="20"/>
          <w:lang w:val="en-GB"/>
        </w:rPr>
        <w:t>radius</w:t>
      </w:r>
      <w:r>
        <w:rPr>
          <w:sz w:val="20"/>
          <w:szCs w:val="20"/>
          <w:lang w:val="en-GB"/>
        </w:rPr>
        <w:t xml:space="preserve"> of the magnet in various locations. NOTE: these limits are only expected to be provided from a structural perspective; manufacturing and/or conductor bend radius limitations are not part of the scope of this work.</w:t>
      </w:r>
    </w:p>
    <w:p w:rsidR="001108EB" w:rsidRPr="00F415AA" w:rsidRDefault="001108EB" w:rsidP="006F3800">
      <w:pPr>
        <w:spacing w:after="0" w:line="240" w:lineRule="auto"/>
        <w:rPr>
          <w:sz w:val="20"/>
          <w:szCs w:val="20"/>
          <w:lang w:val="en-GB"/>
        </w:rPr>
      </w:pPr>
    </w:p>
    <w:p w:rsidR="00E16F29" w:rsidRPr="00AF3235" w:rsidRDefault="00E16F29" w:rsidP="00E16F29">
      <w:pPr>
        <w:rPr>
          <w:b/>
          <w:sz w:val="20"/>
          <w:szCs w:val="20"/>
          <w:u w:val="single"/>
          <w:lang w:val="en-GB"/>
        </w:rPr>
      </w:pPr>
      <w:r w:rsidRPr="00F415AA">
        <w:rPr>
          <w:b/>
          <w:sz w:val="20"/>
          <w:szCs w:val="20"/>
          <w:u w:val="single"/>
          <w:lang w:val="en-GB"/>
        </w:rPr>
        <w:t>Deliverable(s) of this task:</w:t>
      </w:r>
    </w:p>
    <w:tbl>
      <w:tblPr>
        <w:tblStyle w:val="TableGrid"/>
        <w:tblW w:w="13393" w:type="dxa"/>
        <w:tblInd w:w="108" w:type="dxa"/>
        <w:tblLook w:val="04A0" w:firstRow="1" w:lastRow="0" w:firstColumn="1" w:lastColumn="0" w:noHBand="0" w:noVBand="1"/>
      </w:tblPr>
      <w:tblGrid>
        <w:gridCol w:w="1985"/>
        <w:gridCol w:w="3572"/>
        <w:gridCol w:w="113"/>
        <w:gridCol w:w="1196"/>
        <w:gridCol w:w="1309"/>
        <w:gridCol w:w="1210"/>
        <w:gridCol w:w="1955"/>
        <w:gridCol w:w="684"/>
        <w:gridCol w:w="684"/>
        <w:gridCol w:w="685"/>
      </w:tblGrid>
      <w:tr w:rsidR="003C336A" w:rsidRPr="00F415AA" w:rsidTr="003C336A">
        <w:tc>
          <w:tcPr>
            <w:tcW w:w="11340" w:type="dxa"/>
            <w:gridSpan w:val="7"/>
            <w:tcBorders>
              <w:top w:val="nil"/>
              <w:left w:val="nil"/>
              <w:bottom w:val="single" w:sz="12" w:space="0" w:color="auto"/>
              <w:right w:val="single" w:sz="12" w:space="0" w:color="auto"/>
            </w:tcBorders>
            <w:vAlign w:val="center"/>
          </w:tcPr>
          <w:p w:rsidR="003C336A" w:rsidRPr="00F415AA" w:rsidRDefault="003C336A" w:rsidP="0019443B">
            <w:pPr>
              <w:jc w:val="center"/>
              <w:rPr>
                <w:b/>
                <w:sz w:val="20"/>
                <w:lang w:val="en-GB"/>
              </w:rPr>
            </w:pPr>
          </w:p>
        </w:tc>
        <w:tc>
          <w:tcPr>
            <w:tcW w:w="2053" w:type="dxa"/>
            <w:gridSpan w:val="3"/>
            <w:tcBorders>
              <w:top w:val="single" w:sz="12" w:space="0" w:color="auto"/>
              <w:left w:val="single" w:sz="12" w:space="0" w:color="auto"/>
              <w:bottom w:val="single" w:sz="12" w:space="0" w:color="auto"/>
              <w:right w:val="single" w:sz="12" w:space="0" w:color="auto"/>
            </w:tcBorders>
            <w:vAlign w:val="center"/>
          </w:tcPr>
          <w:p w:rsidR="003C336A" w:rsidRPr="00F415AA" w:rsidRDefault="003C336A" w:rsidP="0019443B">
            <w:pPr>
              <w:jc w:val="center"/>
              <w:rPr>
                <w:b/>
                <w:sz w:val="20"/>
                <w:lang w:val="en-GB"/>
              </w:rPr>
            </w:pPr>
            <w:r w:rsidRPr="00F415AA">
              <w:rPr>
                <w:b/>
                <w:sz w:val="20"/>
                <w:lang w:val="en-GB"/>
              </w:rPr>
              <w:t>AWP201</w:t>
            </w:r>
            <w:r>
              <w:rPr>
                <w:b/>
                <w:sz w:val="20"/>
                <w:lang w:val="en-GB"/>
              </w:rPr>
              <w:t>6</w:t>
            </w:r>
          </w:p>
        </w:tc>
      </w:tr>
      <w:tr w:rsidR="003C336A" w:rsidRPr="00F415AA" w:rsidTr="00FC40B9">
        <w:tc>
          <w:tcPr>
            <w:tcW w:w="1985" w:type="dxa"/>
            <w:tcBorders>
              <w:top w:val="single" w:sz="12" w:space="0" w:color="auto"/>
              <w:left w:val="single" w:sz="12" w:space="0" w:color="auto"/>
            </w:tcBorders>
            <w:vAlign w:val="center"/>
          </w:tcPr>
          <w:p w:rsidR="003C336A" w:rsidRPr="00F415AA" w:rsidRDefault="003C336A" w:rsidP="0019443B">
            <w:pPr>
              <w:jc w:val="center"/>
              <w:rPr>
                <w:b/>
                <w:sz w:val="20"/>
                <w:lang w:val="en-GB"/>
              </w:rPr>
            </w:pPr>
            <w:r w:rsidRPr="00F415AA">
              <w:rPr>
                <w:b/>
                <w:sz w:val="20"/>
                <w:lang w:val="en-GB"/>
              </w:rPr>
              <w:t>ID</w:t>
            </w:r>
          </w:p>
        </w:tc>
        <w:tc>
          <w:tcPr>
            <w:tcW w:w="3572" w:type="dxa"/>
            <w:tcBorders>
              <w:top w:val="single" w:sz="12" w:space="0" w:color="auto"/>
              <w:right w:val="single" w:sz="4" w:space="0" w:color="auto"/>
            </w:tcBorders>
            <w:vAlign w:val="center"/>
          </w:tcPr>
          <w:p w:rsidR="003C336A" w:rsidRPr="00F415AA" w:rsidRDefault="003C336A" w:rsidP="0019443B">
            <w:pPr>
              <w:jc w:val="center"/>
              <w:rPr>
                <w:b/>
                <w:sz w:val="20"/>
                <w:lang w:val="en-GB"/>
              </w:rPr>
            </w:pPr>
            <w:r w:rsidRPr="00F415AA">
              <w:rPr>
                <w:b/>
                <w:sz w:val="20"/>
                <w:lang w:val="en-GB"/>
              </w:rPr>
              <w:t>Title</w:t>
            </w:r>
          </w:p>
        </w:tc>
        <w:tc>
          <w:tcPr>
            <w:tcW w:w="1309" w:type="dxa"/>
            <w:gridSpan w:val="2"/>
            <w:tcBorders>
              <w:top w:val="single" w:sz="12" w:space="0" w:color="auto"/>
              <w:left w:val="single" w:sz="4" w:space="0" w:color="auto"/>
            </w:tcBorders>
            <w:vAlign w:val="center"/>
          </w:tcPr>
          <w:p w:rsidR="003C336A" w:rsidRPr="00F415AA" w:rsidRDefault="003C336A" w:rsidP="0019443B">
            <w:pPr>
              <w:jc w:val="center"/>
              <w:rPr>
                <w:b/>
                <w:sz w:val="20"/>
                <w:lang w:val="en-GB"/>
              </w:rPr>
            </w:pPr>
            <w:r w:rsidRPr="00F415AA">
              <w:rPr>
                <w:b/>
                <w:sz w:val="20"/>
                <w:lang w:val="en-GB"/>
              </w:rPr>
              <w:t>Start Date</w:t>
            </w:r>
          </w:p>
        </w:tc>
        <w:tc>
          <w:tcPr>
            <w:tcW w:w="1309" w:type="dxa"/>
            <w:tcBorders>
              <w:top w:val="single" w:sz="12" w:space="0" w:color="auto"/>
            </w:tcBorders>
            <w:vAlign w:val="center"/>
          </w:tcPr>
          <w:p w:rsidR="003C336A" w:rsidRPr="00F415AA" w:rsidRDefault="003C336A" w:rsidP="0019443B">
            <w:pPr>
              <w:jc w:val="center"/>
              <w:rPr>
                <w:b/>
                <w:sz w:val="20"/>
                <w:lang w:val="en-GB"/>
              </w:rPr>
            </w:pPr>
            <w:r w:rsidRPr="00F415AA">
              <w:rPr>
                <w:b/>
                <w:sz w:val="20"/>
                <w:lang w:val="en-GB"/>
              </w:rPr>
              <w:t>Due date</w:t>
            </w:r>
          </w:p>
        </w:tc>
        <w:tc>
          <w:tcPr>
            <w:tcW w:w="1210" w:type="dxa"/>
            <w:tcBorders>
              <w:top w:val="single" w:sz="12" w:space="0" w:color="auto"/>
            </w:tcBorders>
            <w:vAlign w:val="center"/>
          </w:tcPr>
          <w:p w:rsidR="003C336A" w:rsidRPr="00F415AA" w:rsidRDefault="003C336A" w:rsidP="0019443B">
            <w:pPr>
              <w:jc w:val="center"/>
              <w:rPr>
                <w:b/>
                <w:sz w:val="20"/>
                <w:lang w:val="en-GB"/>
              </w:rPr>
            </w:pPr>
            <w:r w:rsidRPr="00F415AA">
              <w:rPr>
                <w:b/>
                <w:sz w:val="20"/>
                <w:lang w:val="en-GB"/>
              </w:rPr>
              <w:t>RU</w:t>
            </w:r>
          </w:p>
        </w:tc>
        <w:tc>
          <w:tcPr>
            <w:tcW w:w="1955" w:type="dxa"/>
            <w:tcBorders>
              <w:top w:val="single" w:sz="12" w:space="0" w:color="auto"/>
              <w:right w:val="single" w:sz="12" w:space="0" w:color="auto"/>
            </w:tcBorders>
            <w:vAlign w:val="center"/>
          </w:tcPr>
          <w:p w:rsidR="003C336A" w:rsidRPr="00F415AA" w:rsidRDefault="003C336A" w:rsidP="0019443B">
            <w:pPr>
              <w:jc w:val="center"/>
              <w:rPr>
                <w:b/>
                <w:sz w:val="20"/>
                <w:lang w:val="en-GB"/>
              </w:rPr>
            </w:pPr>
            <w:r w:rsidRPr="00F415AA">
              <w:rPr>
                <w:b/>
                <w:sz w:val="20"/>
                <w:lang w:val="en-GB"/>
              </w:rPr>
              <w:t>Del. Owner</w:t>
            </w:r>
          </w:p>
        </w:tc>
        <w:tc>
          <w:tcPr>
            <w:tcW w:w="684" w:type="dxa"/>
            <w:tcBorders>
              <w:top w:val="single" w:sz="12" w:space="0" w:color="auto"/>
              <w:left w:val="single" w:sz="12" w:space="0" w:color="auto"/>
            </w:tcBorders>
            <w:vAlign w:val="center"/>
          </w:tcPr>
          <w:p w:rsidR="003C336A" w:rsidRPr="00F415AA" w:rsidRDefault="003C336A" w:rsidP="0019443B">
            <w:pPr>
              <w:jc w:val="center"/>
              <w:rPr>
                <w:b/>
                <w:sz w:val="20"/>
                <w:lang w:val="en-GB"/>
              </w:rPr>
            </w:pPr>
            <w:r w:rsidRPr="00F415AA">
              <w:rPr>
                <w:b/>
                <w:sz w:val="20"/>
                <w:lang w:val="en-GB"/>
              </w:rPr>
              <w:t>ppy</w:t>
            </w:r>
          </w:p>
        </w:tc>
        <w:tc>
          <w:tcPr>
            <w:tcW w:w="684" w:type="dxa"/>
            <w:tcBorders>
              <w:top w:val="single" w:sz="12" w:space="0" w:color="auto"/>
            </w:tcBorders>
            <w:vAlign w:val="center"/>
          </w:tcPr>
          <w:p w:rsidR="003C336A" w:rsidRPr="00F415AA" w:rsidRDefault="003C336A" w:rsidP="0019443B">
            <w:pPr>
              <w:jc w:val="center"/>
              <w:rPr>
                <w:b/>
                <w:sz w:val="20"/>
                <w:lang w:val="en-GB"/>
              </w:rPr>
            </w:pPr>
            <w:r w:rsidRPr="00F415AA">
              <w:rPr>
                <w:b/>
                <w:sz w:val="20"/>
                <w:lang w:val="en-GB"/>
              </w:rPr>
              <w:t>ppy</w:t>
            </w:r>
          </w:p>
          <w:p w:rsidR="003C336A" w:rsidRPr="00F415AA" w:rsidRDefault="003C336A" w:rsidP="0019443B">
            <w:pPr>
              <w:jc w:val="center"/>
              <w:rPr>
                <w:b/>
                <w:sz w:val="20"/>
                <w:lang w:val="en-GB"/>
              </w:rPr>
            </w:pPr>
            <w:r w:rsidRPr="00F415AA">
              <w:rPr>
                <w:b/>
                <w:sz w:val="20"/>
                <w:lang w:val="en-GB"/>
              </w:rPr>
              <w:t>Ind.</w:t>
            </w:r>
          </w:p>
        </w:tc>
        <w:tc>
          <w:tcPr>
            <w:tcW w:w="685" w:type="dxa"/>
            <w:tcBorders>
              <w:top w:val="single" w:sz="12" w:space="0" w:color="auto"/>
              <w:right w:val="single" w:sz="12" w:space="0" w:color="auto"/>
            </w:tcBorders>
            <w:vAlign w:val="center"/>
          </w:tcPr>
          <w:p w:rsidR="003C336A" w:rsidRPr="00F415AA" w:rsidRDefault="003C336A" w:rsidP="0019443B">
            <w:pPr>
              <w:jc w:val="center"/>
              <w:rPr>
                <w:b/>
                <w:sz w:val="20"/>
                <w:lang w:val="en-GB"/>
              </w:rPr>
            </w:pPr>
            <w:r w:rsidRPr="00F415AA">
              <w:rPr>
                <w:b/>
                <w:sz w:val="20"/>
                <w:lang w:val="en-GB"/>
              </w:rPr>
              <w:t>HW</w:t>
            </w:r>
          </w:p>
          <w:p w:rsidR="003C336A" w:rsidRPr="00F415AA" w:rsidRDefault="003C336A" w:rsidP="0019443B">
            <w:pPr>
              <w:jc w:val="center"/>
              <w:rPr>
                <w:b/>
                <w:sz w:val="20"/>
                <w:lang w:val="en-GB"/>
              </w:rPr>
            </w:pPr>
            <w:r w:rsidRPr="00F415AA">
              <w:rPr>
                <w:b/>
                <w:sz w:val="20"/>
                <w:lang w:val="en-GB"/>
              </w:rPr>
              <w:t>[k€]*</w:t>
            </w:r>
          </w:p>
        </w:tc>
      </w:tr>
      <w:tr w:rsidR="003C336A" w:rsidRPr="003C336A" w:rsidTr="00FC40B9">
        <w:tc>
          <w:tcPr>
            <w:tcW w:w="1985" w:type="dxa"/>
            <w:tcBorders>
              <w:left w:val="single" w:sz="12" w:space="0" w:color="auto"/>
            </w:tcBorders>
            <w:vAlign w:val="center"/>
          </w:tcPr>
          <w:p w:rsidR="003C336A" w:rsidRPr="003C336A" w:rsidRDefault="00FC40B9" w:rsidP="0019443B">
            <w:pPr>
              <w:rPr>
                <w:sz w:val="20"/>
                <w:szCs w:val="20"/>
              </w:rPr>
            </w:pPr>
            <w:r>
              <w:rPr>
                <w:i/>
                <w:sz w:val="20"/>
              </w:rPr>
              <w:t>PMI-3.2-T017-D001</w:t>
            </w:r>
          </w:p>
        </w:tc>
        <w:tc>
          <w:tcPr>
            <w:tcW w:w="3572" w:type="dxa"/>
            <w:tcBorders>
              <w:right w:val="single" w:sz="4" w:space="0" w:color="auto"/>
            </w:tcBorders>
            <w:vAlign w:val="center"/>
          </w:tcPr>
          <w:p w:rsidR="003C336A" w:rsidRPr="00DA5BBC" w:rsidRDefault="00B829C9" w:rsidP="0019443B">
            <w:pPr>
              <w:rPr>
                <w:sz w:val="20"/>
                <w:szCs w:val="20"/>
              </w:rPr>
            </w:pPr>
            <w:r w:rsidRPr="00E45C36">
              <w:rPr>
                <w:sz w:val="20"/>
                <w:szCs w:val="20"/>
                <w:lang w:val="en-US"/>
              </w:rPr>
              <w:t xml:space="preserve">Report on the </w:t>
            </w:r>
            <w:r w:rsidRPr="00CC1580">
              <w:rPr>
                <w:sz w:val="20"/>
                <w:lang w:val="en-GB"/>
              </w:rPr>
              <w:t>TF coil shaping procedure and configuration scan for 16-18 TF coils</w:t>
            </w:r>
          </w:p>
        </w:tc>
        <w:tc>
          <w:tcPr>
            <w:tcW w:w="1309" w:type="dxa"/>
            <w:gridSpan w:val="2"/>
            <w:tcBorders>
              <w:left w:val="single" w:sz="4" w:space="0" w:color="auto"/>
            </w:tcBorders>
            <w:vAlign w:val="center"/>
          </w:tcPr>
          <w:p w:rsidR="003C336A" w:rsidRPr="00F415AA" w:rsidRDefault="00B829C9" w:rsidP="00B829C9">
            <w:pPr>
              <w:rPr>
                <w:sz w:val="20"/>
                <w:szCs w:val="20"/>
                <w:lang w:val="en-GB"/>
              </w:rPr>
            </w:pPr>
            <w:r>
              <w:rPr>
                <w:sz w:val="20"/>
                <w:szCs w:val="20"/>
                <w:lang w:val="en-GB"/>
              </w:rPr>
              <w:t>01</w:t>
            </w:r>
            <w:r w:rsidR="003C336A">
              <w:rPr>
                <w:sz w:val="20"/>
                <w:szCs w:val="20"/>
                <w:lang w:val="en-GB"/>
              </w:rPr>
              <w:t>-</w:t>
            </w:r>
            <w:r>
              <w:rPr>
                <w:sz w:val="20"/>
                <w:szCs w:val="20"/>
                <w:lang w:val="en-GB"/>
              </w:rPr>
              <w:t>03</w:t>
            </w:r>
            <w:r w:rsidR="003C336A">
              <w:rPr>
                <w:sz w:val="20"/>
                <w:szCs w:val="20"/>
                <w:lang w:val="en-GB"/>
              </w:rPr>
              <w:t>-</w:t>
            </w:r>
            <w:r>
              <w:rPr>
                <w:sz w:val="20"/>
                <w:szCs w:val="20"/>
                <w:lang w:val="en-GB"/>
              </w:rPr>
              <w:t>16</w:t>
            </w:r>
          </w:p>
        </w:tc>
        <w:tc>
          <w:tcPr>
            <w:tcW w:w="1309" w:type="dxa"/>
            <w:vAlign w:val="center"/>
          </w:tcPr>
          <w:p w:rsidR="003C336A" w:rsidRPr="00F415AA" w:rsidRDefault="00B829C9" w:rsidP="00C95545">
            <w:pPr>
              <w:jc w:val="center"/>
              <w:rPr>
                <w:sz w:val="20"/>
                <w:szCs w:val="20"/>
                <w:lang w:val="en-GB"/>
              </w:rPr>
            </w:pPr>
            <w:r>
              <w:rPr>
                <w:sz w:val="20"/>
                <w:szCs w:val="20"/>
                <w:lang w:val="en-GB"/>
              </w:rPr>
              <w:t>15</w:t>
            </w:r>
            <w:r w:rsidR="003C336A" w:rsidRPr="005A749C">
              <w:rPr>
                <w:sz w:val="20"/>
                <w:szCs w:val="20"/>
                <w:lang w:val="en-GB"/>
              </w:rPr>
              <w:t>-</w:t>
            </w:r>
            <w:r>
              <w:rPr>
                <w:sz w:val="20"/>
                <w:szCs w:val="20"/>
                <w:lang w:val="en-GB"/>
              </w:rPr>
              <w:t>0</w:t>
            </w:r>
            <w:r w:rsidR="00C95545">
              <w:rPr>
                <w:sz w:val="20"/>
                <w:szCs w:val="20"/>
                <w:lang w:val="en-GB"/>
              </w:rPr>
              <w:t>8</w:t>
            </w:r>
            <w:r w:rsidR="003C336A" w:rsidRPr="005A749C">
              <w:rPr>
                <w:sz w:val="20"/>
                <w:szCs w:val="20"/>
                <w:lang w:val="en-GB"/>
              </w:rPr>
              <w:t>-</w:t>
            </w:r>
            <w:r>
              <w:rPr>
                <w:sz w:val="20"/>
                <w:szCs w:val="20"/>
                <w:lang w:val="en-GB"/>
              </w:rPr>
              <w:t>16</w:t>
            </w:r>
          </w:p>
        </w:tc>
        <w:tc>
          <w:tcPr>
            <w:tcW w:w="1210" w:type="dxa"/>
            <w:vAlign w:val="center"/>
          </w:tcPr>
          <w:p w:rsidR="003C336A" w:rsidRPr="00F415AA" w:rsidRDefault="00D54984" w:rsidP="0019443B">
            <w:pPr>
              <w:rPr>
                <w:sz w:val="20"/>
                <w:szCs w:val="20"/>
                <w:lang w:val="en-GB"/>
              </w:rPr>
            </w:pPr>
            <w:r>
              <w:rPr>
                <w:sz w:val="20"/>
                <w:szCs w:val="20"/>
                <w:lang w:val="en-GB"/>
              </w:rPr>
              <w:t>CCFE</w:t>
            </w:r>
          </w:p>
        </w:tc>
        <w:tc>
          <w:tcPr>
            <w:tcW w:w="1955" w:type="dxa"/>
            <w:tcBorders>
              <w:right w:val="single" w:sz="12" w:space="0" w:color="auto"/>
            </w:tcBorders>
            <w:vAlign w:val="center"/>
          </w:tcPr>
          <w:p w:rsidR="003C336A" w:rsidRPr="00F415AA" w:rsidRDefault="00D54984" w:rsidP="0019443B">
            <w:pPr>
              <w:rPr>
                <w:sz w:val="20"/>
                <w:szCs w:val="20"/>
                <w:lang w:val="en-GB"/>
              </w:rPr>
            </w:pPr>
            <w:r>
              <w:rPr>
                <w:sz w:val="20"/>
                <w:szCs w:val="20"/>
                <w:lang w:val="en-GB"/>
              </w:rPr>
              <w:t>S. McIntosh</w:t>
            </w:r>
          </w:p>
        </w:tc>
        <w:tc>
          <w:tcPr>
            <w:tcW w:w="684" w:type="dxa"/>
            <w:tcBorders>
              <w:left w:val="single" w:sz="12" w:space="0" w:color="auto"/>
            </w:tcBorders>
            <w:vAlign w:val="center"/>
          </w:tcPr>
          <w:p w:rsidR="003C336A" w:rsidRPr="00F415AA" w:rsidRDefault="00D54984" w:rsidP="0019443B">
            <w:pPr>
              <w:jc w:val="center"/>
              <w:rPr>
                <w:sz w:val="20"/>
                <w:szCs w:val="20"/>
                <w:lang w:val="en-GB"/>
              </w:rPr>
            </w:pPr>
            <w:r>
              <w:rPr>
                <w:sz w:val="20"/>
                <w:szCs w:val="20"/>
                <w:lang w:val="en-GB"/>
              </w:rPr>
              <w:t>0.4</w:t>
            </w:r>
          </w:p>
        </w:tc>
        <w:tc>
          <w:tcPr>
            <w:tcW w:w="684" w:type="dxa"/>
            <w:vAlign w:val="center"/>
          </w:tcPr>
          <w:p w:rsidR="003C336A" w:rsidRPr="00F415AA" w:rsidRDefault="003C336A" w:rsidP="0019443B">
            <w:pPr>
              <w:jc w:val="center"/>
              <w:rPr>
                <w:sz w:val="20"/>
                <w:szCs w:val="20"/>
                <w:lang w:val="en-GB"/>
              </w:rPr>
            </w:pPr>
          </w:p>
        </w:tc>
        <w:tc>
          <w:tcPr>
            <w:tcW w:w="685" w:type="dxa"/>
            <w:tcBorders>
              <w:right w:val="single" w:sz="12" w:space="0" w:color="auto"/>
            </w:tcBorders>
            <w:vAlign w:val="center"/>
          </w:tcPr>
          <w:p w:rsidR="003C336A" w:rsidRPr="00F415AA" w:rsidRDefault="003C336A" w:rsidP="0019443B">
            <w:pPr>
              <w:jc w:val="center"/>
              <w:rPr>
                <w:sz w:val="20"/>
                <w:szCs w:val="20"/>
                <w:lang w:val="en-GB"/>
              </w:rPr>
            </w:pPr>
          </w:p>
        </w:tc>
      </w:tr>
      <w:tr w:rsidR="003C336A" w:rsidRPr="00F415AA" w:rsidTr="003C336A">
        <w:tc>
          <w:tcPr>
            <w:tcW w:w="5670" w:type="dxa"/>
            <w:gridSpan w:val="3"/>
            <w:tcBorders>
              <w:top w:val="single" w:sz="12" w:space="0" w:color="auto"/>
              <w:left w:val="nil"/>
              <w:bottom w:val="nil"/>
              <w:right w:val="nil"/>
            </w:tcBorders>
            <w:vAlign w:val="bottom"/>
          </w:tcPr>
          <w:p w:rsidR="003C336A" w:rsidRPr="00F415AA" w:rsidRDefault="003C336A" w:rsidP="00E16F29">
            <w:pPr>
              <w:rPr>
                <w:b/>
                <w:sz w:val="20"/>
                <w:szCs w:val="20"/>
                <w:lang w:val="en-GB"/>
              </w:rPr>
            </w:pPr>
            <w:r w:rsidRPr="00F415AA">
              <w:rPr>
                <w:i/>
                <w:sz w:val="20"/>
                <w:szCs w:val="20"/>
                <w:lang w:val="en-GB"/>
              </w:rPr>
              <w:t>*) real costs (excluding overheads)</w:t>
            </w:r>
          </w:p>
        </w:tc>
        <w:tc>
          <w:tcPr>
            <w:tcW w:w="5670" w:type="dxa"/>
            <w:gridSpan w:val="4"/>
            <w:tcBorders>
              <w:top w:val="single" w:sz="12" w:space="0" w:color="auto"/>
              <w:left w:val="nil"/>
              <w:bottom w:val="nil"/>
              <w:right w:val="single" w:sz="12" w:space="0" w:color="auto"/>
            </w:tcBorders>
            <w:vAlign w:val="bottom"/>
          </w:tcPr>
          <w:p w:rsidR="003C336A" w:rsidRPr="00F415AA" w:rsidRDefault="003C336A" w:rsidP="00E16F29">
            <w:pPr>
              <w:jc w:val="right"/>
              <w:rPr>
                <w:b/>
                <w:sz w:val="20"/>
                <w:szCs w:val="20"/>
                <w:lang w:val="en-GB"/>
              </w:rPr>
            </w:pPr>
            <w:r w:rsidRPr="00E16F29">
              <w:rPr>
                <w:b/>
                <w:sz w:val="20"/>
                <w:szCs w:val="20"/>
                <w:lang w:val="en-GB"/>
              </w:rPr>
              <w:t>Total</w:t>
            </w:r>
          </w:p>
        </w:tc>
        <w:tc>
          <w:tcPr>
            <w:tcW w:w="684" w:type="dxa"/>
            <w:tcBorders>
              <w:top w:val="single" w:sz="12" w:space="0" w:color="auto"/>
              <w:left w:val="single" w:sz="12" w:space="0" w:color="auto"/>
              <w:bottom w:val="single" w:sz="12" w:space="0" w:color="auto"/>
            </w:tcBorders>
            <w:vAlign w:val="center"/>
          </w:tcPr>
          <w:p w:rsidR="003C336A" w:rsidRPr="00F415AA" w:rsidRDefault="00D54984" w:rsidP="0019443B">
            <w:pPr>
              <w:jc w:val="center"/>
              <w:rPr>
                <w:b/>
                <w:sz w:val="20"/>
                <w:szCs w:val="20"/>
                <w:lang w:val="en-GB"/>
              </w:rPr>
            </w:pPr>
            <w:r>
              <w:rPr>
                <w:b/>
                <w:sz w:val="20"/>
                <w:szCs w:val="20"/>
                <w:lang w:val="en-GB"/>
              </w:rPr>
              <w:t>0.4</w:t>
            </w:r>
          </w:p>
        </w:tc>
        <w:tc>
          <w:tcPr>
            <w:tcW w:w="684" w:type="dxa"/>
            <w:tcBorders>
              <w:top w:val="single" w:sz="12" w:space="0" w:color="auto"/>
              <w:bottom w:val="single" w:sz="12" w:space="0" w:color="auto"/>
            </w:tcBorders>
            <w:vAlign w:val="center"/>
          </w:tcPr>
          <w:p w:rsidR="003C336A" w:rsidRPr="00F415AA" w:rsidRDefault="003C336A" w:rsidP="0019443B">
            <w:pPr>
              <w:jc w:val="center"/>
              <w:rPr>
                <w:b/>
                <w:sz w:val="20"/>
                <w:szCs w:val="20"/>
                <w:lang w:val="en-GB"/>
              </w:rPr>
            </w:pPr>
          </w:p>
        </w:tc>
        <w:tc>
          <w:tcPr>
            <w:tcW w:w="685" w:type="dxa"/>
            <w:tcBorders>
              <w:top w:val="single" w:sz="12" w:space="0" w:color="auto"/>
              <w:bottom w:val="single" w:sz="12" w:space="0" w:color="auto"/>
              <w:right w:val="single" w:sz="12" w:space="0" w:color="auto"/>
            </w:tcBorders>
            <w:vAlign w:val="center"/>
          </w:tcPr>
          <w:p w:rsidR="003C336A" w:rsidRPr="00F415AA" w:rsidRDefault="003C336A" w:rsidP="0019443B">
            <w:pPr>
              <w:jc w:val="center"/>
              <w:rPr>
                <w:b/>
                <w:sz w:val="20"/>
                <w:szCs w:val="20"/>
                <w:lang w:val="en-GB"/>
              </w:rPr>
            </w:pPr>
          </w:p>
        </w:tc>
      </w:tr>
    </w:tbl>
    <w:p w:rsidR="00E16F29" w:rsidRDefault="00E16F29" w:rsidP="006F3800">
      <w:pPr>
        <w:spacing w:after="0" w:line="240" w:lineRule="auto"/>
        <w:rPr>
          <w:sz w:val="20"/>
          <w:szCs w:val="20"/>
          <w:lang w:val="en-GB"/>
        </w:rPr>
      </w:pPr>
    </w:p>
    <w:p w:rsidR="006F3800" w:rsidRPr="00F415AA" w:rsidRDefault="006F3800" w:rsidP="006F3800">
      <w:pPr>
        <w:spacing w:after="0" w:line="240" w:lineRule="auto"/>
        <w:rPr>
          <w:sz w:val="20"/>
          <w:szCs w:val="20"/>
          <w:lang w:val="en-GB"/>
        </w:rPr>
      </w:pPr>
    </w:p>
    <w:tbl>
      <w:tblPr>
        <w:tblStyle w:val="TableGrid"/>
        <w:tblW w:w="15506" w:type="dxa"/>
        <w:tblInd w:w="108" w:type="dxa"/>
        <w:tblBorders>
          <w:top w:val="single" w:sz="12" w:space="0" w:color="auto"/>
          <w:left w:val="single" w:sz="12" w:space="0" w:color="auto"/>
          <w:bottom w:val="single" w:sz="12" w:space="0" w:color="auto"/>
          <w:right w:val="single" w:sz="12" w:space="0" w:color="auto"/>
          <w:insideH w:val="single" w:sz="12" w:space="0" w:color="auto"/>
        </w:tblBorders>
        <w:tblLook w:val="04A0" w:firstRow="1" w:lastRow="0" w:firstColumn="1" w:lastColumn="0" w:noHBand="0" w:noVBand="1"/>
      </w:tblPr>
      <w:tblGrid>
        <w:gridCol w:w="15506"/>
      </w:tblGrid>
      <w:tr w:rsidR="006F3800" w:rsidRPr="005D4CC4" w:rsidTr="00E16F29">
        <w:tc>
          <w:tcPr>
            <w:tcW w:w="15506" w:type="dxa"/>
          </w:tcPr>
          <w:p w:rsidR="006F3800" w:rsidRPr="00F415AA" w:rsidRDefault="006F3800" w:rsidP="00FA5604">
            <w:pPr>
              <w:spacing w:line="276" w:lineRule="auto"/>
              <w:rPr>
                <w:sz w:val="20"/>
                <w:szCs w:val="20"/>
                <w:lang w:val="en-GB"/>
              </w:rPr>
            </w:pPr>
            <w:r w:rsidRPr="00F415AA">
              <w:rPr>
                <w:b/>
                <w:sz w:val="20"/>
                <w:szCs w:val="20"/>
                <w:u w:val="single"/>
                <w:lang w:val="en-GB"/>
              </w:rPr>
              <w:t>Acceptance criteria for this task:</w:t>
            </w:r>
            <w:r w:rsidRPr="00F415AA">
              <w:rPr>
                <w:sz w:val="20"/>
                <w:szCs w:val="20"/>
                <w:lang w:val="en-GB"/>
              </w:rPr>
              <w:t xml:space="preserve"> (Deliverable(s) to be issued and approved through EUROfusion IDM) </w:t>
            </w:r>
          </w:p>
          <w:p w:rsidR="006F3800" w:rsidRPr="00CC1580" w:rsidRDefault="006F3800" w:rsidP="00FA5604">
            <w:pPr>
              <w:spacing w:line="276" w:lineRule="auto"/>
              <w:rPr>
                <w:sz w:val="20"/>
                <w:szCs w:val="20"/>
                <w:lang w:val="en-GB"/>
              </w:rPr>
            </w:pPr>
            <w:r w:rsidRPr="00CC1580">
              <w:rPr>
                <w:sz w:val="20"/>
                <w:szCs w:val="20"/>
                <w:lang w:val="en-GB"/>
              </w:rPr>
              <w:t xml:space="preserve">- The task shall be carried out along the lines defined in the technical specification. </w:t>
            </w:r>
          </w:p>
          <w:p w:rsidR="00E448A9" w:rsidRPr="00CC1580" w:rsidRDefault="006F3800" w:rsidP="00575F61">
            <w:pPr>
              <w:spacing w:line="276" w:lineRule="auto"/>
              <w:rPr>
                <w:i/>
                <w:sz w:val="20"/>
                <w:szCs w:val="20"/>
                <w:lang w:val="en-GB"/>
              </w:rPr>
            </w:pPr>
            <w:r w:rsidRPr="00CC1580">
              <w:rPr>
                <w:sz w:val="20"/>
                <w:szCs w:val="20"/>
                <w:lang w:val="en-GB"/>
              </w:rPr>
              <w:t xml:space="preserve">- </w:t>
            </w:r>
            <w:r w:rsidR="00575F61" w:rsidRPr="00CC1580">
              <w:rPr>
                <w:sz w:val="20"/>
                <w:szCs w:val="20"/>
                <w:lang w:val="en-GB"/>
              </w:rPr>
              <w:t>The deliverable shall be uploaded to:</w:t>
            </w:r>
            <w:r w:rsidR="00575F61" w:rsidRPr="00CC1580">
              <w:rPr>
                <w:i/>
                <w:sz w:val="20"/>
                <w:szCs w:val="20"/>
                <w:lang w:val="en-GB"/>
              </w:rPr>
              <w:t xml:space="preserve"> </w:t>
            </w:r>
            <w:hyperlink r:id="rId18" w:history="1">
              <w:r w:rsidR="00D66342">
                <w:rPr>
                  <w:rStyle w:val="Hyperlink"/>
                  <w:sz w:val="20"/>
                  <w:szCs w:val="20"/>
                  <w:lang w:val="en-GB"/>
                </w:rPr>
                <w:t>2MQ568</w:t>
              </w:r>
            </w:hyperlink>
            <w:r w:rsidR="00CC1580">
              <w:rPr>
                <w:i/>
                <w:sz w:val="20"/>
                <w:szCs w:val="20"/>
                <w:lang w:val="en-GB"/>
              </w:rPr>
              <w:t xml:space="preserve"> </w:t>
            </w:r>
          </w:p>
        </w:tc>
      </w:tr>
      <w:tr w:rsidR="006F3800" w:rsidRPr="00F415AA" w:rsidTr="00E16F29">
        <w:trPr>
          <w:trHeight w:val="2000"/>
        </w:trPr>
        <w:tc>
          <w:tcPr>
            <w:tcW w:w="15506" w:type="dxa"/>
          </w:tcPr>
          <w:p w:rsidR="006F3800" w:rsidRPr="00F415AA" w:rsidRDefault="006F3800" w:rsidP="006F3800">
            <w:pPr>
              <w:rPr>
                <w:sz w:val="20"/>
                <w:szCs w:val="20"/>
                <w:lang w:val="en-GB"/>
              </w:rPr>
            </w:pPr>
            <w:r w:rsidRPr="00F415AA">
              <w:rPr>
                <w:b/>
                <w:sz w:val="20"/>
                <w:szCs w:val="20"/>
                <w:u w:val="single"/>
                <w:lang w:val="en-GB"/>
              </w:rPr>
              <w:lastRenderedPageBreak/>
              <w:t>IDM roles</w:t>
            </w:r>
            <w:r w:rsidRPr="00F415AA">
              <w:rPr>
                <w:sz w:val="20"/>
                <w:szCs w:val="20"/>
                <w:lang w:val="en-GB"/>
              </w:rPr>
              <w:t xml:space="preserve"> (for the approval of this task specification)</w:t>
            </w:r>
          </w:p>
          <w:p w:rsidR="006F3800" w:rsidRPr="00F415AA" w:rsidRDefault="006F3800" w:rsidP="006F3800">
            <w:pPr>
              <w:rPr>
                <w:sz w:val="18"/>
                <w:szCs w:val="20"/>
                <w:lang w:val="en-GB"/>
              </w:rPr>
            </w:pPr>
          </w:p>
          <w:tbl>
            <w:tblPr>
              <w:tblStyle w:val="TableGrid"/>
              <w:tblW w:w="0" w:type="auto"/>
              <w:tblLook w:val="04A0" w:firstRow="1" w:lastRow="0" w:firstColumn="1" w:lastColumn="0" w:noHBand="0" w:noVBand="1"/>
            </w:tblPr>
            <w:tblGrid>
              <w:gridCol w:w="1650"/>
              <w:gridCol w:w="5041"/>
            </w:tblGrid>
            <w:tr w:rsidR="006F3800" w:rsidRPr="00F415AA" w:rsidTr="00E448A9">
              <w:tc>
                <w:tcPr>
                  <w:tcW w:w="1650" w:type="dxa"/>
                </w:tcPr>
                <w:p w:rsidR="006F3800" w:rsidRPr="00F415AA" w:rsidRDefault="006F3800" w:rsidP="007E7E40">
                  <w:pPr>
                    <w:rPr>
                      <w:sz w:val="20"/>
                      <w:lang w:val="en-GB"/>
                    </w:rPr>
                  </w:pPr>
                  <w:r w:rsidRPr="00F415AA">
                    <w:rPr>
                      <w:sz w:val="20"/>
                      <w:lang w:val="en-GB"/>
                    </w:rPr>
                    <w:t>Author</w:t>
                  </w:r>
                </w:p>
              </w:tc>
              <w:tc>
                <w:tcPr>
                  <w:tcW w:w="5041" w:type="dxa"/>
                </w:tcPr>
                <w:p w:rsidR="006F3800" w:rsidRPr="00F415AA" w:rsidRDefault="002B6AB1" w:rsidP="00B502F6">
                  <w:pPr>
                    <w:rPr>
                      <w:sz w:val="20"/>
                      <w:lang w:val="en-GB"/>
                    </w:rPr>
                  </w:pPr>
                  <w:r>
                    <w:rPr>
                      <w:sz w:val="20"/>
                      <w:lang w:val="en-GB"/>
                    </w:rPr>
                    <w:t>M. Coleman</w:t>
                  </w:r>
                </w:p>
              </w:tc>
            </w:tr>
            <w:tr w:rsidR="00E448A9" w:rsidRPr="00F415AA" w:rsidTr="00E448A9">
              <w:tc>
                <w:tcPr>
                  <w:tcW w:w="1650" w:type="dxa"/>
                </w:tcPr>
                <w:p w:rsidR="00E448A9" w:rsidRPr="00F415AA" w:rsidRDefault="00E448A9" w:rsidP="007E7E40">
                  <w:pPr>
                    <w:rPr>
                      <w:sz w:val="20"/>
                      <w:lang w:val="en-GB"/>
                    </w:rPr>
                  </w:pPr>
                  <w:r>
                    <w:rPr>
                      <w:sz w:val="20"/>
                      <w:lang w:val="en-GB"/>
                    </w:rPr>
                    <w:t>Co-authors</w:t>
                  </w:r>
                </w:p>
              </w:tc>
              <w:tc>
                <w:tcPr>
                  <w:tcW w:w="5041" w:type="dxa"/>
                </w:tcPr>
                <w:p w:rsidR="00E448A9" w:rsidRPr="00F415AA" w:rsidRDefault="00E448A9" w:rsidP="006F3800">
                  <w:pPr>
                    <w:rPr>
                      <w:sz w:val="20"/>
                      <w:lang w:val="en-GB"/>
                    </w:rPr>
                  </w:pPr>
                </w:p>
              </w:tc>
            </w:tr>
            <w:tr w:rsidR="006F3800" w:rsidRPr="003C336A" w:rsidTr="00E448A9">
              <w:tc>
                <w:tcPr>
                  <w:tcW w:w="1650" w:type="dxa"/>
                </w:tcPr>
                <w:p w:rsidR="006F3800" w:rsidRPr="00F415AA" w:rsidRDefault="006F3800" w:rsidP="007E7E40">
                  <w:pPr>
                    <w:rPr>
                      <w:sz w:val="20"/>
                      <w:lang w:val="en-GB"/>
                    </w:rPr>
                  </w:pPr>
                  <w:r w:rsidRPr="00F415AA">
                    <w:rPr>
                      <w:sz w:val="20"/>
                      <w:lang w:val="en-GB"/>
                    </w:rPr>
                    <w:t xml:space="preserve">Reviewer(s) </w:t>
                  </w:r>
                </w:p>
              </w:tc>
              <w:tc>
                <w:tcPr>
                  <w:tcW w:w="5041" w:type="dxa"/>
                </w:tcPr>
                <w:p w:rsidR="00CC1580" w:rsidRDefault="00CC1580" w:rsidP="006F3800">
                  <w:pPr>
                    <w:rPr>
                      <w:sz w:val="20"/>
                      <w:lang w:val="en-GB"/>
                    </w:rPr>
                  </w:pPr>
                  <w:r>
                    <w:rPr>
                      <w:sz w:val="20"/>
                      <w:lang w:val="en-GB"/>
                    </w:rPr>
                    <w:t>S. McIntosh</w:t>
                  </w:r>
                </w:p>
                <w:p w:rsidR="006F3800" w:rsidRPr="00F415AA" w:rsidRDefault="00D54984" w:rsidP="006F3800">
                  <w:pPr>
                    <w:rPr>
                      <w:sz w:val="20"/>
                      <w:lang w:val="en-GB"/>
                    </w:rPr>
                  </w:pPr>
                  <w:r>
                    <w:rPr>
                      <w:sz w:val="20"/>
                      <w:lang w:val="en-GB"/>
                    </w:rPr>
                    <w:t>L. Zani</w:t>
                  </w:r>
                </w:p>
              </w:tc>
            </w:tr>
            <w:tr w:rsidR="006F3800" w:rsidRPr="00F415AA" w:rsidTr="00E448A9">
              <w:tc>
                <w:tcPr>
                  <w:tcW w:w="1650" w:type="dxa"/>
                </w:tcPr>
                <w:p w:rsidR="006F3800" w:rsidRPr="00F415AA" w:rsidRDefault="006F3800" w:rsidP="007E7E40">
                  <w:pPr>
                    <w:rPr>
                      <w:sz w:val="20"/>
                      <w:lang w:val="en-GB"/>
                    </w:rPr>
                  </w:pPr>
                  <w:r w:rsidRPr="00F415AA">
                    <w:rPr>
                      <w:sz w:val="20"/>
                      <w:lang w:val="en-GB"/>
                    </w:rPr>
                    <w:t>PMU Reviewer</w:t>
                  </w:r>
                </w:p>
              </w:tc>
              <w:tc>
                <w:tcPr>
                  <w:tcW w:w="5041" w:type="dxa"/>
                </w:tcPr>
                <w:p w:rsidR="006F3800" w:rsidRPr="00F415AA" w:rsidRDefault="002B6AB1" w:rsidP="00B502F6">
                  <w:pPr>
                    <w:rPr>
                      <w:sz w:val="20"/>
                      <w:lang w:val="en-GB"/>
                    </w:rPr>
                  </w:pPr>
                  <w:r>
                    <w:rPr>
                      <w:sz w:val="20"/>
                      <w:lang w:val="en-GB"/>
                    </w:rPr>
                    <w:t>C. Bachmann</w:t>
                  </w:r>
                </w:p>
              </w:tc>
            </w:tr>
            <w:tr w:rsidR="006F3800" w:rsidRPr="00F415AA" w:rsidTr="00E448A9">
              <w:tc>
                <w:tcPr>
                  <w:tcW w:w="1650" w:type="dxa"/>
                </w:tcPr>
                <w:p w:rsidR="006F3800" w:rsidRPr="00F415AA" w:rsidRDefault="006F3800" w:rsidP="007E7E40">
                  <w:pPr>
                    <w:rPr>
                      <w:sz w:val="20"/>
                      <w:lang w:val="en-GB"/>
                    </w:rPr>
                  </w:pPr>
                  <w:r w:rsidRPr="00F415AA">
                    <w:rPr>
                      <w:sz w:val="20"/>
                      <w:lang w:val="en-GB"/>
                    </w:rPr>
                    <w:t>Approver</w:t>
                  </w:r>
                </w:p>
              </w:tc>
              <w:tc>
                <w:tcPr>
                  <w:tcW w:w="5041" w:type="dxa"/>
                </w:tcPr>
                <w:p w:rsidR="00FA5604" w:rsidRPr="00F415AA" w:rsidRDefault="002B6AB1" w:rsidP="00B502F6">
                  <w:pPr>
                    <w:rPr>
                      <w:sz w:val="20"/>
                      <w:lang w:val="en-GB"/>
                    </w:rPr>
                  </w:pPr>
                  <w:r>
                    <w:rPr>
                      <w:sz w:val="20"/>
                      <w:lang w:val="en-GB"/>
                    </w:rPr>
                    <w:t>G. Federici</w:t>
                  </w:r>
                </w:p>
              </w:tc>
            </w:tr>
          </w:tbl>
          <w:p w:rsidR="00E448A9" w:rsidRPr="00F415AA" w:rsidRDefault="00E448A9" w:rsidP="006F3800">
            <w:pPr>
              <w:rPr>
                <w:sz w:val="20"/>
                <w:szCs w:val="20"/>
                <w:lang w:val="en-GB"/>
              </w:rPr>
            </w:pPr>
          </w:p>
        </w:tc>
      </w:tr>
    </w:tbl>
    <w:p w:rsidR="005A749C" w:rsidRPr="00F415AA" w:rsidRDefault="005A749C" w:rsidP="00E16F29">
      <w:pPr>
        <w:rPr>
          <w:sz w:val="20"/>
          <w:szCs w:val="20"/>
          <w:lang w:val="en-GB"/>
        </w:rPr>
      </w:pPr>
    </w:p>
    <w:sectPr w:rsidR="005A749C" w:rsidRPr="00F415AA" w:rsidSect="005A749C">
      <w:headerReference w:type="default" r:id="rId19"/>
      <w:footerReference w:type="default" r:id="rId20"/>
      <w:pgSz w:w="16838" w:h="11906" w:orient="landscape"/>
      <w:pgMar w:top="1560" w:right="720" w:bottom="1079" w:left="720" w:header="5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854" w:rsidRDefault="00FD7854" w:rsidP="00D72550">
      <w:pPr>
        <w:spacing w:after="0" w:line="240" w:lineRule="auto"/>
      </w:pPr>
      <w:r>
        <w:separator/>
      </w:r>
    </w:p>
  </w:endnote>
  <w:endnote w:type="continuationSeparator" w:id="0">
    <w:p w:rsidR="00FD7854" w:rsidRDefault="00FD7854" w:rsidP="00D72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767"/>
      <w:gridCol w:w="2161"/>
      <w:gridCol w:w="6686"/>
    </w:tblGrid>
    <w:tr w:rsidR="00D72550" w:rsidTr="006C3397">
      <w:trPr>
        <w:trHeight w:val="151"/>
      </w:trPr>
      <w:tc>
        <w:tcPr>
          <w:tcW w:w="2167" w:type="pct"/>
          <w:tcBorders>
            <w:bottom w:val="single" w:sz="4" w:space="0" w:color="4F81BD" w:themeColor="accent1"/>
          </w:tcBorders>
        </w:tcPr>
        <w:p w:rsidR="00D72550" w:rsidRPr="006C3397" w:rsidRDefault="00D72550" w:rsidP="006C3397">
          <w:pPr>
            <w:pStyle w:val="NoSpacing"/>
            <w:rPr>
              <w:rFonts w:eastAsiaTheme="majorEastAsia" w:cstheme="majorBidi"/>
              <w:bCs/>
              <w:color w:val="808080" w:themeColor="background1" w:themeShade="80"/>
              <w:sz w:val="20"/>
              <w:szCs w:val="20"/>
            </w:rPr>
          </w:pPr>
        </w:p>
      </w:tc>
      <w:tc>
        <w:tcPr>
          <w:tcW w:w="692" w:type="pct"/>
          <w:vMerge w:val="restart"/>
          <w:noWrap/>
          <w:vAlign w:val="center"/>
        </w:tcPr>
        <w:p w:rsidR="00D72550" w:rsidRPr="00D72550" w:rsidRDefault="00D72550" w:rsidP="006C3397">
          <w:pPr>
            <w:pStyle w:val="NoSpacing"/>
            <w:jc w:val="center"/>
            <w:rPr>
              <w:rFonts w:eastAsiaTheme="majorEastAsia" w:cstheme="majorBidi"/>
            </w:rPr>
          </w:pPr>
          <w:r w:rsidRPr="00D72550">
            <w:rPr>
              <w:rFonts w:eastAsiaTheme="majorEastAsia" w:cstheme="majorBidi"/>
              <w:b/>
              <w:bCs/>
              <w:color w:val="808080" w:themeColor="background1" w:themeShade="80"/>
            </w:rPr>
            <w:t xml:space="preserve">Page </w:t>
          </w:r>
          <w:r w:rsidRPr="00D72550">
            <w:rPr>
              <w:color w:val="808080" w:themeColor="background1" w:themeShade="80"/>
            </w:rPr>
            <w:fldChar w:fldCharType="begin"/>
          </w:r>
          <w:r w:rsidRPr="00D72550">
            <w:rPr>
              <w:color w:val="808080" w:themeColor="background1" w:themeShade="80"/>
            </w:rPr>
            <w:instrText xml:space="preserve"> PAGE  \* MERGEFORMAT </w:instrText>
          </w:r>
          <w:r w:rsidRPr="00D72550">
            <w:rPr>
              <w:color w:val="808080" w:themeColor="background1" w:themeShade="80"/>
            </w:rPr>
            <w:fldChar w:fldCharType="separate"/>
          </w:r>
          <w:r w:rsidR="00301864" w:rsidRPr="00301864">
            <w:rPr>
              <w:rFonts w:eastAsiaTheme="majorEastAsia" w:cstheme="majorBidi"/>
              <w:b/>
              <w:bCs/>
              <w:noProof/>
              <w:color w:val="808080" w:themeColor="background1" w:themeShade="80"/>
            </w:rPr>
            <w:t>2</w:t>
          </w:r>
          <w:r w:rsidRPr="00D72550">
            <w:rPr>
              <w:rFonts w:eastAsiaTheme="majorEastAsia" w:cstheme="majorBidi"/>
              <w:b/>
              <w:bCs/>
              <w:noProof/>
              <w:color w:val="808080" w:themeColor="background1" w:themeShade="80"/>
            </w:rPr>
            <w:fldChar w:fldCharType="end"/>
          </w:r>
          <w:r w:rsidR="006C3397">
            <w:rPr>
              <w:rFonts w:eastAsiaTheme="majorEastAsia" w:cstheme="majorBidi"/>
              <w:b/>
              <w:bCs/>
              <w:noProof/>
              <w:color w:val="808080" w:themeColor="background1" w:themeShade="80"/>
            </w:rPr>
            <w:t xml:space="preserve"> of (</w:t>
          </w:r>
          <w:r w:rsidR="006C3397">
            <w:rPr>
              <w:rFonts w:eastAsiaTheme="majorEastAsia" w:cstheme="majorBidi"/>
              <w:b/>
              <w:bCs/>
              <w:noProof/>
              <w:color w:val="808080" w:themeColor="background1" w:themeShade="80"/>
            </w:rPr>
            <w:fldChar w:fldCharType="begin"/>
          </w:r>
          <w:r w:rsidR="006C3397">
            <w:rPr>
              <w:rFonts w:eastAsiaTheme="majorEastAsia" w:cstheme="majorBidi"/>
              <w:b/>
              <w:bCs/>
              <w:noProof/>
              <w:color w:val="808080" w:themeColor="background1" w:themeShade="80"/>
            </w:rPr>
            <w:instrText xml:space="preserve"> NUMPAGES   \* MERGEFORMAT </w:instrText>
          </w:r>
          <w:r w:rsidR="006C3397">
            <w:rPr>
              <w:rFonts w:eastAsiaTheme="majorEastAsia" w:cstheme="majorBidi"/>
              <w:b/>
              <w:bCs/>
              <w:noProof/>
              <w:color w:val="808080" w:themeColor="background1" w:themeShade="80"/>
            </w:rPr>
            <w:fldChar w:fldCharType="separate"/>
          </w:r>
          <w:r w:rsidR="00301864">
            <w:rPr>
              <w:rFonts w:eastAsiaTheme="majorEastAsia" w:cstheme="majorBidi"/>
              <w:b/>
              <w:bCs/>
              <w:noProof/>
              <w:color w:val="808080" w:themeColor="background1" w:themeShade="80"/>
            </w:rPr>
            <w:t>4</w:t>
          </w:r>
          <w:r w:rsidR="006C3397">
            <w:rPr>
              <w:rFonts w:eastAsiaTheme="majorEastAsia" w:cstheme="majorBidi"/>
              <w:b/>
              <w:bCs/>
              <w:noProof/>
              <w:color w:val="808080" w:themeColor="background1" w:themeShade="80"/>
            </w:rPr>
            <w:fldChar w:fldCharType="end"/>
          </w:r>
          <w:r w:rsidR="006C3397">
            <w:rPr>
              <w:rFonts w:eastAsiaTheme="majorEastAsia" w:cstheme="majorBidi"/>
              <w:b/>
              <w:bCs/>
              <w:noProof/>
              <w:color w:val="808080" w:themeColor="background1" w:themeShade="80"/>
            </w:rPr>
            <w:t>)</w:t>
          </w:r>
        </w:p>
      </w:tc>
      <w:tc>
        <w:tcPr>
          <w:tcW w:w="2141" w:type="pct"/>
          <w:tcBorders>
            <w:bottom w:val="single" w:sz="4" w:space="0" w:color="4F81BD" w:themeColor="accent1"/>
          </w:tcBorders>
        </w:tcPr>
        <w:p w:rsidR="00D72550" w:rsidRPr="006C3397" w:rsidRDefault="00D72550" w:rsidP="006C3397">
          <w:pPr>
            <w:pStyle w:val="NoSpacing"/>
            <w:rPr>
              <w:rFonts w:eastAsiaTheme="majorEastAsia" w:cstheme="majorBidi"/>
              <w:bCs/>
              <w:color w:val="808080" w:themeColor="background1" w:themeShade="80"/>
              <w:sz w:val="20"/>
              <w:szCs w:val="20"/>
            </w:rPr>
          </w:pPr>
        </w:p>
      </w:tc>
    </w:tr>
    <w:tr w:rsidR="00D72550" w:rsidTr="006C3397">
      <w:trPr>
        <w:trHeight w:val="150"/>
      </w:trPr>
      <w:tc>
        <w:tcPr>
          <w:tcW w:w="2167" w:type="pct"/>
          <w:tcBorders>
            <w:top w:val="single" w:sz="4" w:space="0" w:color="4F81BD" w:themeColor="accent1"/>
          </w:tcBorders>
        </w:tcPr>
        <w:p w:rsidR="00D72550" w:rsidRPr="006C3397" w:rsidRDefault="00D72550" w:rsidP="005A749C">
          <w:pPr>
            <w:pStyle w:val="NoSpacing"/>
            <w:rPr>
              <w:rFonts w:eastAsiaTheme="majorEastAsia" w:cstheme="majorBidi"/>
              <w:bCs/>
              <w:color w:val="808080" w:themeColor="background1" w:themeShade="80"/>
              <w:sz w:val="20"/>
              <w:szCs w:val="20"/>
            </w:rPr>
          </w:pPr>
        </w:p>
      </w:tc>
      <w:tc>
        <w:tcPr>
          <w:tcW w:w="692" w:type="pct"/>
          <w:vMerge/>
        </w:tcPr>
        <w:p w:rsidR="00D72550" w:rsidRDefault="00D72550">
          <w:pPr>
            <w:pStyle w:val="Header"/>
            <w:jc w:val="center"/>
            <w:rPr>
              <w:rFonts w:asciiTheme="majorHAnsi" w:eastAsiaTheme="majorEastAsia" w:hAnsiTheme="majorHAnsi" w:cstheme="majorBidi"/>
              <w:b/>
              <w:bCs/>
            </w:rPr>
          </w:pPr>
        </w:p>
      </w:tc>
      <w:tc>
        <w:tcPr>
          <w:tcW w:w="2141" w:type="pct"/>
          <w:tcBorders>
            <w:top w:val="single" w:sz="4" w:space="0" w:color="4F81BD" w:themeColor="accent1"/>
          </w:tcBorders>
        </w:tcPr>
        <w:p w:rsidR="00D72550" w:rsidRPr="006C3397" w:rsidRDefault="00D72550" w:rsidP="006C3397">
          <w:pPr>
            <w:pStyle w:val="NoSpacing"/>
            <w:rPr>
              <w:rFonts w:eastAsiaTheme="majorEastAsia" w:cstheme="majorBidi"/>
              <w:bCs/>
              <w:color w:val="808080" w:themeColor="background1" w:themeShade="80"/>
              <w:sz w:val="20"/>
              <w:szCs w:val="20"/>
            </w:rPr>
          </w:pPr>
        </w:p>
      </w:tc>
    </w:tr>
  </w:tbl>
  <w:p w:rsidR="005A749C" w:rsidRDefault="005A749C" w:rsidP="005A7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854" w:rsidRDefault="00FD7854" w:rsidP="00D72550">
      <w:pPr>
        <w:spacing w:after="0" w:line="240" w:lineRule="auto"/>
      </w:pPr>
      <w:r>
        <w:separator/>
      </w:r>
    </w:p>
  </w:footnote>
  <w:footnote w:type="continuationSeparator" w:id="0">
    <w:p w:rsidR="00FD7854" w:rsidRDefault="00FD7854" w:rsidP="00D725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550" w:rsidRDefault="006C3397" w:rsidP="006C3397">
    <w:pPr>
      <w:pStyle w:val="Header"/>
      <w:tabs>
        <w:tab w:val="clear" w:pos="4703"/>
        <w:tab w:val="clear" w:pos="9406"/>
        <w:tab w:val="center" w:pos="7371"/>
        <w:tab w:val="right" w:pos="15398"/>
      </w:tabs>
    </w:pPr>
    <w:r>
      <w:rPr>
        <w:noProof/>
        <w:color w:val="808080" w:themeColor="background1" w:themeShade="80"/>
        <w:sz w:val="36"/>
        <w:lang w:val="en-GB" w:eastAsia="ja-JP"/>
      </w:rPr>
      <w:drawing>
        <wp:anchor distT="0" distB="0" distL="114300" distR="114300" simplePos="0" relativeHeight="251658240" behindDoc="0" locked="0" layoutInCell="1" allowOverlap="1" wp14:anchorId="75D50965" wp14:editId="08D65C35">
          <wp:simplePos x="0" y="0"/>
          <wp:positionH relativeFrom="column">
            <wp:posOffset>3908</wp:posOffset>
          </wp:positionH>
          <wp:positionV relativeFrom="paragraph">
            <wp:posOffset>-139700</wp:posOffset>
          </wp:positionV>
          <wp:extent cx="1805234" cy="617415"/>
          <wp:effectExtent l="0" t="0" r="5080" b="0"/>
          <wp:wrapNone/>
          <wp:docPr id="1" name="Picture 1" descr="C:\Users\morlocc.EFDA\Documents\PPPT_local\IT_ECoM_IDM_etc\Logos\EUROfusion_LOGOS\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locc.EFDA\Documents\PPPT_local\IT_ECoM_IDM_etc\Logos\EUROfusion_LOGOS\EUROfusion_PPPT_Logo_smal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234" cy="6174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themeColor="background1" w:themeShade="80"/>
        <w:sz w:val="36"/>
      </w:rPr>
      <w:tab/>
    </w:r>
    <w:r w:rsidR="00D72550" w:rsidRPr="00407AFA">
      <w:rPr>
        <w:color w:val="808080" w:themeColor="background1" w:themeShade="80"/>
        <w:sz w:val="36"/>
      </w:rPr>
      <w:t xml:space="preserve">Task </w:t>
    </w:r>
    <w:r w:rsidR="00D72550" w:rsidRPr="006C3397">
      <w:rPr>
        <w:color w:val="808080" w:themeColor="background1" w:themeShade="80"/>
        <w:sz w:val="36"/>
        <w:lang w:val="en-GB"/>
      </w:rPr>
      <w:t>Specification</w:t>
    </w:r>
    <w:r w:rsidR="00D72550" w:rsidRPr="00407AFA">
      <w:rPr>
        <w:color w:val="808080" w:themeColor="background1" w:themeShade="80"/>
        <w:sz w:val="36"/>
      </w:rPr>
      <w:t xml:space="preserve"> (TS)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57463"/>
    <w:multiLevelType w:val="hybridMultilevel"/>
    <w:tmpl w:val="A6429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DA294B"/>
    <w:multiLevelType w:val="hybridMultilevel"/>
    <w:tmpl w:val="A142E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7843859"/>
    <w:multiLevelType w:val="hybridMultilevel"/>
    <w:tmpl w:val="D2603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CC6C25"/>
    <w:multiLevelType w:val="hybridMultilevel"/>
    <w:tmpl w:val="4AFAD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0B"/>
    <w:rsid w:val="00000D57"/>
    <w:rsid w:val="000115C2"/>
    <w:rsid w:val="000148EE"/>
    <w:rsid w:val="000255DD"/>
    <w:rsid w:val="00057DF1"/>
    <w:rsid w:val="0007740C"/>
    <w:rsid w:val="000943D7"/>
    <w:rsid w:val="001108EB"/>
    <w:rsid w:val="001B29FE"/>
    <w:rsid w:val="001B2CBE"/>
    <w:rsid w:val="001C28A6"/>
    <w:rsid w:val="001D636F"/>
    <w:rsid w:val="00231D54"/>
    <w:rsid w:val="002A1A7B"/>
    <w:rsid w:val="002B6AB1"/>
    <w:rsid w:val="002D37CB"/>
    <w:rsid w:val="00301864"/>
    <w:rsid w:val="003558CC"/>
    <w:rsid w:val="003826A7"/>
    <w:rsid w:val="003B2B3D"/>
    <w:rsid w:val="003C336A"/>
    <w:rsid w:val="003C40E9"/>
    <w:rsid w:val="003D6586"/>
    <w:rsid w:val="003E6CF0"/>
    <w:rsid w:val="00406D2E"/>
    <w:rsid w:val="00407AFA"/>
    <w:rsid w:val="00464C17"/>
    <w:rsid w:val="00475276"/>
    <w:rsid w:val="00497B88"/>
    <w:rsid w:val="004F3EAF"/>
    <w:rsid w:val="004F5067"/>
    <w:rsid w:val="00575F61"/>
    <w:rsid w:val="00590C9F"/>
    <w:rsid w:val="00594283"/>
    <w:rsid w:val="005A749C"/>
    <w:rsid w:val="005C4986"/>
    <w:rsid w:val="005D4CC4"/>
    <w:rsid w:val="00611ED6"/>
    <w:rsid w:val="00612A93"/>
    <w:rsid w:val="00615DDC"/>
    <w:rsid w:val="00685E07"/>
    <w:rsid w:val="006C3397"/>
    <w:rsid w:val="006F3800"/>
    <w:rsid w:val="00724305"/>
    <w:rsid w:val="00750AEE"/>
    <w:rsid w:val="007868BE"/>
    <w:rsid w:val="00796E0B"/>
    <w:rsid w:val="007A3924"/>
    <w:rsid w:val="007A3AA5"/>
    <w:rsid w:val="007B688C"/>
    <w:rsid w:val="007D1341"/>
    <w:rsid w:val="007E3805"/>
    <w:rsid w:val="00823950"/>
    <w:rsid w:val="0084480E"/>
    <w:rsid w:val="00856DF8"/>
    <w:rsid w:val="008A69A2"/>
    <w:rsid w:val="00970245"/>
    <w:rsid w:val="00A24010"/>
    <w:rsid w:val="00A24FF4"/>
    <w:rsid w:val="00A40288"/>
    <w:rsid w:val="00A90361"/>
    <w:rsid w:val="00AC4FB1"/>
    <w:rsid w:val="00AF023E"/>
    <w:rsid w:val="00AF1944"/>
    <w:rsid w:val="00AF3235"/>
    <w:rsid w:val="00B337E8"/>
    <w:rsid w:val="00B829C9"/>
    <w:rsid w:val="00BA3F59"/>
    <w:rsid w:val="00BC3567"/>
    <w:rsid w:val="00BD700C"/>
    <w:rsid w:val="00BE02B6"/>
    <w:rsid w:val="00BE1164"/>
    <w:rsid w:val="00BF0E32"/>
    <w:rsid w:val="00C36381"/>
    <w:rsid w:val="00C63C32"/>
    <w:rsid w:val="00C95545"/>
    <w:rsid w:val="00CA0057"/>
    <w:rsid w:val="00CC1580"/>
    <w:rsid w:val="00D54984"/>
    <w:rsid w:val="00D653F4"/>
    <w:rsid w:val="00D66342"/>
    <w:rsid w:val="00D72550"/>
    <w:rsid w:val="00D9423F"/>
    <w:rsid w:val="00DA5BBC"/>
    <w:rsid w:val="00E112AB"/>
    <w:rsid w:val="00E16F29"/>
    <w:rsid w:val="00E30F70"/>
    <w:rsid w:val="00E448A9"/>
    <w:rsid w:val="00E45C36"/>
    <w:rsid w:val="00EE3B5F"/>
    <w:rsid w:val="00F415AA"/>
    <w:rsid w:val="00F47CD4"/>
    <w:rsid w:val="00F66309"/>
    <w:rsid w:val="00FA5604"/>
    <w:rsid w:val="00FC40B9"/>
    <w:rsid w:val="00FD785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F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3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550"/>
    <w:pPr>
      <w:tabs>
        <w:tab w:val="center" w:pos="4703"/>
        <w:tab w:val="right" w:pos="9406"/>
      </w:tabs>
      <w:spacing w:after="0" w:line="240" w:lineRule="auto"/>
    </w:pPr>
  </w:style>
  <w:style w:type="character" w:customStyle="1" w:styleId="HeaderChar">
    <w:name w:val="Header Char"/>
    <w:basedOn w:val="DefaultParagraphFont"/>
    <w:link w:val="Header"/>
    <w:uiPriority w:val="99"/>
    <w:rsid w:val="00D72550"/>
  </w:style>
  <w:style w:type="paragraph" w:styleId="Footer">
    <w:name w:val="footer"/>
    <w:basedOn w:val="Normal"/>
    <w:link w:val="FooterChar"/>
    <w:uiPriority w:val="99"/>
    <w:unhideWhenUsed/>
    <w:rsid w:val="00D72550"/>
    <w:pPr>
      <w:tabs>
        <w:tab w:val="center" w:pos="4703"/>
        <w:tab w:val="right" w:pos="9406"/>
      </w:tabs>
      <w:spacing w:after="0" w:line="240" w:lineRule="auto"/>
    </w:pPr>
  </w:style>
  <w:style w:type="character" w:customStyle="1" w:styleId="FooterChar">
    <w:name w:val="Footer Char"/>
    <w:basedOn w:val="DefaultParagraphFont"/>
    <w:link w:val="Footer"/>
    <w:uiPriority w:val="99"/>
    <w:rsid w:val="00D72550"/>
  </w:style>
  <w:style w:type="paragraph" w:styleId="BalloonText">
    <w:name w:val="Balloon Text"/>
    <w:basedOn w:val="Normal"/>
    <w:link w:val="BalloonTextChar"/>
    <w:uiPriority w:val="99"/>
    <w:semiHidden/>
    <w:unhideWhenUsed/>
    <w:rsid w:val="00D72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550"/>
    <w:rPr>
      <w:rFonts w:ascii="Tahoma" w:hAnsi="Tahoma" w:cs="Tahoma"/>
      <w:sz w:val="16"/>
      <w:szCs w:val="16"/>
    </w:rPr>
  </w:style>
  <w:style w:type="paragraph" w:styleId="NoSpacing">
    <w:name w:val="No Spacing"/>
    <w:link w:val="NoSpacingChar"/>
    <w:uiPriority w:val="1"/>
    <w:qFormat/>
    <w:rsid w:val="00D7255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72550"/>
    <w:rPr>
      <w:rFonts w:eastAsiaTheme="minorEastAsia"/>
      <w:lang w:val="en-US" w:eastAsia="ja-JP"/>
    </w:rPr>
  </w:style>
  <w:style w:type="paragraph" w:styleId="ListParagraph">
    <w:name w:val="List Paragraph"/>
    <w:basedOn w:val="Normal"/>
    <w:uiPriority w:val="34"/>
    <w:qFormat/>
    <w:rsid w:val="00970245"/>
    <w:pPr>
      <w:ind w:left="720"/>
      <w:contextualSpacing/>
    </w:pPr>
  </w:style>
  <w:style w:type="character" w:styleId="Hyperlink">
    <w:name w:val="Hyperlink"/>
    <w:basedOn w:val="DefaultParagraphFont"/>
    <w:uiPriority w:val="99"/>
    <w:unhideWhenUsed/>
    <w:rsid w:val="00406D2E"/>
    <w:rPr>
      <w:color w:val="0000FF"/>
      <w:u w:val="single"/>
    </w:rPr>
  </w:style>
  <w:style w:type="character" w:styleId="FollowedHyperlink">
    <w:name w:val="FollowedHyperlink"/>
    <w:basedOn w:val="DefaultParagraphFont"/>
    <w:uiPriority w:val="99"/>
    <w:semiHidden/>
    <w:unhideWhenUsed/>
    <w:rsid w:val="00D66342"/>
    <w:rPr>
      <w:color w:val="800080" w:themeColor="followedHyperlink"/>
      <w:u w:val="single"/>
    </w:rPr>
  </w:style>
  <w:style w:type="character" w:styleId="CommentReference">
    <w:name w:val="annotation reference"/>
    <w:basedOn w:val="DefaultParagraphFont"/>
    <w:uiPriority w:val="99"/>
    <w:semiHidden/>
    <w:unhideWhenUsed/>
    <w:rsid w:val="00C95545"/>
    <w:rPr>
      <w:sz w:val="16"/>
      <w:szCs w:val="16"/>
    </w:rPr>
  </w:style>
  <w:style w:type="paragraph" w:styleId="CommentText">
    <w:name w:val="annotation text"/>
    <w:basedOn w:val="Normal"/>
    <w:link w:val="CommentTextChar"/>
    <w:uiPriority w:val="99"/>
    <w:semiHidden/>
    <w:unhideWhenUsed/>
    <w:rsid w:val="00C95545"/>
    <w:pPr>
      <w:spacing w:line="240" w:lineRule="auto"/>
    </w:pPr>
    <w:rPr>
      <w:sz w:val="20"/>
      <w:szCs w:val="20"/>
    </w:rPr>
  </w:style>
  <w:style w:type="character" w:customStyle="1" w:styleId="CommentTextChar">
    <w:name w:val="Comment Text Char"/>
    <w:basedOn w:val="DefaultParagraphFont"/>
    <w:link w:val="CommentText"/>
    <w:uiPriority w:val="99"/>
    <w:semiHidden/>
    <w:rsid w:val="00C95545"/>
    <w:rPr>
      <w:sz w:val="20"/>
      <w:szCs w:val="20"/>
    </w:rPr>
  </w:style>
  <w:style w:type="paragraph" w:styleId="CommentSubject">
    <w:name w:val="annotation subject"/>
    <w:basedOn w:val="CommentText"/>
    <w:next w:val="CommentText"/>
    <w:link w:val="CommentSubjectChar"/>
    <w:uiPriority w:val="99"/>
    <w:semiHidden/>
    <w:unhideWhenUsed/>
    <w:rsid w:val="00C95545"/>
    <w:rPr>
      <w:b/>
      <w:bCs/>
    </w:rPr>
  </w:style>
  <w:style w:type="character" w:customStyle="1" w:styleId="CommentSubjectChar">
    <w:name w:val="Comment Subject Char"/>
    <w:basedOn w:val="CommentTextChar"/>
    <w:link w:val="CommentSubject"/>
    <w:uiPriority w:val="99"/>
    <w:semiHidden/>
    <w:rsid w:val="00C95545"/>
    <w:rPr>
      <w:b/>
      <w:bCs/>
      <w:sz w:val="20"/>
      <w:szCs w:val="20"/>
    </w:rPr>
  </w:style>
  <w:style w:type="paragraph" w:styleId="Caption">
    <w:name w:val="caption"/>
    <w:basedOn w:val="Normal"/>
    <w:next w:val="Normal"/>
    <w:uiPriority w:val="35"/>
    <w:unhideWhenUsed/>
    <w:qFormat/>
    <w:rsid w:val="00A2401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F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3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550"/>
    <w:pPr>
      <w:tabs>
        <w:tab w:val="center" w:pos="4703"/>
        <w:tab w:val="right" w:pos="9406"/>
      </w:tabs>
      <w:spacing w:after="0" w:line="240" w:lineRule="auto"/>
    </w:pPr>
  </w:style>
  <w:style w:type="character" w:customStyle="1" w:styleId="HeaderChar">
    <w:name w:val="Header Char"/>
    <w:basedOn w:val="DefaultParagraphFont"/>
    <w:link w:val="Header"/>
    <w:uiPriority w:val="99"/>
    <w:rsid w:val="00D72550"/>
  </w:style>
  <w:style w:type="paragraph" w:styleId="Footer">
    <w:name w:val="footer"/>
    <w:basedOn w:val="Normal"/>
    <w:link w:val="FooterChar"/>
    <w:uiPriority w:val="99"/>
    <w:unhideWhenUsed/>
    <w:rsid w:val="00D72550"/>
    <w:pPr>
      <w:tabs>
        <w:tab w:val="center" w:pos="4703"/>
        <w:tab w:val="right" w:pos="9406"/>
      </w:tabs>
      <w:spacing w:after="0" w:line="240" w:lineRule="auto"/>
    </w:pPr>
  </w:style>
  <w:style w:type="character" w:customStyle="1" w:styleId="FooterChar">
    <w:name w:val="Footer Char"/>
    <w:basedOn w:val="DefaultParagraphFont"/>
    <w:link w:val="Footer"/>
    <w:uiPriority w:val="99"/>
    <w:rsid w:val="00D72550"/>
  </w:style>
  <w:style w:type="paragraph" w:styleId="BalloonText">
    <w:name w:val="Balloon Text"/>
    <w:basedOn w:val="Normal"/>
    <w:link w:val="BalloonTextChar"/>
    <w:uiPriority w:val="99"/>
    <w:semiHidden/>
    <w:unhideWhenUsed/>
    <w:rsid w:val="00D72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550"/>
    <w:rPr>
      <w:rFonts w:ascii="Tahoma" w:hAnsi="Tahoma" w:cs="Tahoma"/>
      <w:sz w:val="16"/>
      <w:szCs w:val="16"/>
    </w:rPr>
  </w:style>
  <w:style w:type="paragraph" w:styleId="NoSpacing">
    <w:name w:val="No Spacing"/>
    <w:link w:val="NoSpacingChar"/>
    <w:uiPriority w:val="1"/>
    <w:qFormat/>
    <w:rsid w:val="00D7255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72550"/>
    <w:rPr>
      <w:rFonts w:eastAsiaTheme="minorEastAsia"/>
      <w:lang w:val="en-US" w:eastAsia="ja-JP"/>
    </w:rPr>
  </w:style>
  <w:style w:type="paragraph" w:styleId="ListParagraph">
    <w:name w:val="List Paragraph"/>
    <w:basedOn w:val="Normal"/>
    <w:uiPriority w:val="34"/>
    <w:qFormat/>
    <w:rsid w:val="00970245"/>
    <w:pPr>
      <w:ind w:left="720"/>
      <w:contextualSpacing/>
    </w:pPr>
  </w:style>
  <w:style w:type="character" w:styleId="Hyperlink">
    <w:name w:val="Hyperlink"/>
    <w:basedOn w:val="DefaultParagraphFont"/>
    <w:uiPriority w:val="99"/>
    <w:unhideWhenUsed/>
    <w:rsid w:val="00406D2E"/>
    <w:rPr>
      <w:color w:val="0000FF"/>
      <w:u w:val="single"/>
    </w:rPr>
  </w:style>
  <w:style w:type="character" w:styleId="FollowedHyperlink">
    <w:name w:val="FollowedHyperlink"/>
    <w:basedOn w:val="DefaultParagraphFont"/>
    <w:uiPriority w:val="99"/>
    <w:semiHidden/>
    <w:unhideWhenUsed/>
    <w:rsid w:val="00D66342"/>
    <w:rPr>
      <w:color w:val="800080" w:themeColor="followedHyperlink"/>
      <w:u w:val="single"/>
    </w:rPr>
  </w:style>
  <w:style w:type="character" w:styleId="CommentReference">
    <w:name w:val="annotation reference"/>
    <w:basedOn w:val="DefaultParagraphFont"/>
    <w:uiPriority w:val="99"/>
    <w:semiHidden/>
    <w:unhideWhenUsed/>
    <w:rsid w:val="00C95545"/>
    <w:rPr>
      <w:sz w:val="16"/>
      <w:szCs w:val="16"/>
    </w:rPr>
  </w:style>
  <w:style w:type="paragraph" w:styleId="CommentText">
    <w:name w:val="annotation text"/>
    <w:basedOn w:val="Normal"/>
    <w:link w:val="CommentTextChar"/>
    <w:uiPriority w:val="99"/>
    <w:semiHidden/>
    <w:unhideWhenUsed/>
    <w:rsid w:val="00C95545"/>
    <w:pPr>
      <w:spacing w:line="240" w:lineRule="auto"/>
    </w:pPr>
    <w:rPr>
      <w:sz w:val="20"/>
      <w:szCs w:val="20"/>
    </w:rPr>
  </w:style>
  <w:style w:type="character" w:customStyle="1" w:styleId="CommentTextChar">
    <w:name w:val="Comment Text Char"/>
    <w:basedOn w:val="DefaultParagraphFont"/>
    <w:link w:val="CommentText"/>
    <w:uiPriority w:val="99"/>
    <w:semiHidden/>
    <w:rsid w:val="00C95545"/>
    <w:rPr>
      <w:sz w:val="20"/>
      <w:szCs w:val="20"/>
    </w:rPr>
  </w:style>
  <w:style w:type="paragraph" w:styleId="CommentSubject">
    <w:name w:val="annotation subject"/>
    <w:basedOn w:val="CommentText"/>
    <w:next w:val="CommentText"/>
    <w:link w:val="CommentSubjectChar"/>
    <w:uiPriority w:val="99"/>
    <w:semiHidden/>
    <w:unhideWhenUsed/>
    <w:rsid w:val="00C95545"/>
    <w:rPr>
      <w:b/>
      <w:bCs/>
    </w:rPr>
  </w:style>
  <w:style w:type="character" w:customStyle="1" w:styleId="CommentSubjectChar">
    <w:name w:val="Comment Subject Char"/>
    <w:basedOn w:val="CommentTextChar"/>
    <w:link w:val="CommentSubject"/>
    <w:uiPriority w:val="99"/>
    <w:semiHidden/>
    <w:rsid w:val="00C95545"/>
    <w:rPr>
      <w:b/>
      <w:bCs/>
      <w:sz w:val="20"/>
      <w:szCs w:val="20"/>
    </w:rPr>
  </w:style>
  <w:style w:type="paragraph" w:styleId="Caption">
    <w:name w:val="caption"/>
    <w:basedOn w:val="Normal"/>
    <w:next w:val="Normal"/>
    <w:uiPriority w:val="35"/>
    <w:unhideWhenUsed/>
    <w:qFormat/>
    <w:rsid w:val="00A2401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27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m.euro-fusion.org/?uid=2MLTC7" TargetMode="External"/><Relationship Id="rId13" Type="http://schemas.openxmlformats.org/officeDocument/2006/relationships/hyperlink" Target="https://idm.euro-fusion.org/?uid=2LBJRY" TargetMode="External"/><Relationship Id="rId18" Type="http://schemas.openxmlformats.org/officeDocument/2006/relationships/hyperlink" Target="https://idm.euro-fusion.org/?uid=2MQ568"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dm.euro-fusion.org/?uid=2ANVM7" TargetMode="External"/><Relationship Id="rId17" Type="http://schemas.openxmlformats.org/officeDocument/2006/relationships/hyperlink" Target="https://idm.euro-fusion.org/?uid=2M9AJJ" TargetMode="External"/><Relationship Id="rId2" Type="http://schemas.openxmlformats.org/officeDocument/2006/relationships/styles" Target="styles.xml"/><Relationship Id="rId16" Type="http://schemas.openxmlformats.org/officeDocument/2006/relationships/hyperlink" Target="https://idm.euro-fusion.org/?uid=2MG46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dm.euro-fusion.org/?uid=2MG46D" TargetMode="External"/><Relationship Id="rId5" Type="http://schemas.openxmlformats.org/officeDocument/2006/relationships/webSettings" Target="webSettings.xml"/><Relationship Id="rId15" Type="http://schemas.openxmlformats.org/officeDocument/2006/relationships/hyperlink" Target="https://idm.euro-fusion.org/?uid=2AQ5GP"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dm.euro-fusion.org/?uid=2MBSE3" TargetMode="External"/><Relationship Id="rId14" Type="http://schemas.openxmlformats.org/officeDocument/2006/relationships/hyperlink" Target="https://idm.euro-fusion.org/?uid=2MDKFH"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Claudius Morlock</dc:creator>
  <cp:lastModifiedBy>McIntosh, Simon</cp:lastModifiedBy>
  <cp:revision>2</cp:revision>
  <cp:lastPrinted>2014-11-13T14:50:00Z</cp:lastPrinted>
  <dcterms:created xsi:type="dcterms:W3CDTF">2016-09-08T05:15:00Z</dcterms:created>
  <dcterms:modified xsi:type="dcterms:W3CDTF">2016-09-08T05:15:00Z</dcterms:modified>
</cp:coreProperties>
</file>