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drawing>
          <wp:inline xmlns:a="http://schemas.openxmlformats.org/drawingml/2006/main" xmlns:pic="http://schemas.openxmlformats.org/drawingml/2006/picture">
            <wp:extent cx="1384290" cy="3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lrte-col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84290" cy="3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Brand Style Guide — v0.4 (draft)</w:t>
      </w:r>
    </w:p>
    <w:p>
      <w:pPr>
        <w:pStyle w:val="Quote"/>
      </w:pPr>
      <w:r>
        <w:t xml:space="preserve">Status: </w:t>
      </w:r>
      <w:r>
        <w:rPr>
          <w:b/>
        </w:rPr>
        <w:t>developing</w:t>
      </w:r>
      <w:r>
        <w:t xml:space="preserve">. This guide starts small and gets extended as decisions are made. Anything marked </w:t>
      </w:r>
      <w:r>
        <w:rPr>
          <w:i/>
        </w:rPr>
        <w:t>provisional</w:t>
      </w:r>
      <w:r>
        <w:t xml:space="preserve"> has not been decided yet.</w:t>
      </w:r>
    </w:p>
    <w:p>
      <w:pPr>
        <w:pStyle w:val="Heading1"/>
      </w:pPr>
      <w:r>
        <w:t>1. Logo</w:t>
      </w:r>
    </w:p>
    <w:p>
      <w:pPr>
        <w:pStyle w:val="Heading2"/>
      </w:pPr>
      <w:r>
        <w:t>XLRTE (company brand)</w:t>
      </w:r>
    </w:p>
    <w:p>
      <w:r>
        <w:rPr>
          <w:b/>
        </w:rPr>
        <w:t>XLRTE</w:t>
      </w:r>
      <w:r>
        <w:t xml:space="preserve"> reads as </w:t>
      </w:r>
      <w:r>
        <w:rPr>
          <w:i/>
        </w:rPr>
        <w:t>accelerate</w:t>
      </w:r>
      <w:r>
        <w:t>. The wordmark is set in Jost Medium with 6 % letter spacing, converted to outlines. The left half of the X is a forward chevron in vermilion, split from the rest by a hairline gap: an arrow hidden in the first letter, pointing into the name. Everything else stays in ink. Understatement is the point: one accent, no decoration.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logo/xlrte-color.svg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Default, on white or light backgrounds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logo/xlrte-white.svg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On ink, dark photos, the dark title slide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logo/xlrte-black.svg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Single colour: print, stamps, fax, embossing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logo/xlrte-mono-white.svg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Single colour on vermilion or busy backgrounds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logo/x-monogram.svg</w:t>
            </w:r>
            <w:r>
              <w:rPr>
                <w:sz w:val="19"/>
              </w:rPr>
              <w:t xml:space="preserve">, </w:t>
            </w:r>
            <w:r>
              <w:rPr>
                <w:color w:val="C4421D"/>
                <w:sz w:val="19"/>
              </w:rPr>
              <w:t>favicon.ico</w:t>
            </w:r>
            <w:r>
              <w:rPr>
                <w:sz w:val="19"/>
              </w:rPr>
              <w:t xml:space="preserve">, </w:t>
            </w:r>
            <w:r>
              <w:rPr>
                <w:color w:val="C4421D"/>
                <w:sz w:val="19"/>
              </w:rPr>
              <w:t>favicon-16/32.png</w:t>
            </w:r>
            <w:r>
              <w:rPr>
                <w:sz w:val="19"/>
              </w:rPr>
              <w:t xml:space="preserve">, </w:t>
            </w:r>
            <w:r>
              <w:rPr>
                <w:color w:val="C4421D"/>
                <w:sz w:val="19"/>
              </w:rPr>
              <w:t>apple-touch-icon.png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Favicons, app icons, social avatars</w:t>
            </w:r>
          </w:p>
        </w:tc>
      </w:tr>
    </w:tbl>
    <w:p/>
    <w:p>
      <w:r>
        <w:t>PNG versions sit next to each SVG. Use the SVG wherever possible.</w:t>
      </w:r>
    </w:p>
    <w:p>
      <w:pPr>
        <w:pStyle w:val="Heading2"/>
      </w:pPr>
      <w:r>
        <w:t>P·E (personal mark)</w:t>
      </w:r>
    </w:p>
    <w:p>
      <w:r>
        <w:t xml:space="preserve">Your initials, </w:t>
      </w:r>
      <w:r>
        <w:rPr>
          <w:b/>
        </w:rPr>
        <w:t>P</w:t>
      </w:r>
      <w:r>
        <w:t xml:space="preserve"> (human: round, open) and </w:t>
      </w:r>
      <w:r>
        <w:rPr>
          <w:b/>
        </w:rPr>
        <w:t>E</w:t>
      </w:r>
      <w:r>
        <w:t xml:space="preserve"> (machine: straight, modular), overlap slightly. Both letters are ink. Only the area they share is vermilion: the spark of human–machine interaction. Use it for your signature, profile and author line. XLRTE remains the company brand.</w:t>
      </w:r>
    </w:p>
    <w:p>
      <w:r>
        <w:t xml:space="preserve">Files: </w:t>
      </w:r>
      <w:r>
        <w:rPr>
          <w:color w:val="C4421D"/>
        </w:rPr>
        <w:t>logo/pe-color.svg</w:t>
      </w:r>
      <w:r>
        <w:t xml:space="preserve">, </w:t>
      </w:r>
      <w:r>
        <w:rPr>
          <w:color w:val="C4421D"/>
        </w:rPr>
        <w:t>pe-white.svg</w:t>
      </w:r>
      <w:r>
        <w:t xml:space="preserve">, </w:t>
      </w:r>
      <w:r>
        <w:rPr>
          <w:color w:val="C4421D"/>
        </w:rPr>
        <w:t>pe-black.svg</w:t>
      </w:r>
      <w:r>
        <w:t xml:space="preserve">, </w:t>
      </w:r>
      <w:r>
        <w:rPr>
          <w:color w:val="C4421D"/>
        </w:rPr>
        <w:t>pe-mono-white.svg</w:t>
      </w:r>
      <w:r>
        <w:t>. In the single-colour versions the spark becomes a cut-out.</w:t>
      </w:r>
    </w:p>
    <w:p>
      <w:pPr>
        <w:pStyle w:val="Heading2"/>
      </w:pPr>
      <w:r>
        <w:t>Rules</w:t>
      </w:r>
    </w:p>
    <w:p>
      <w:pPr>
        <w:pStyle w:val="ListBullet"/>
      </w:pPr>
      <w:r>
        <w:rPr>
          <w:b/>
        </w:rPr>
        <w:t>Clear space:</w:t>
      </w:r>
      <w:r>
        <w:t xml:space="preserve"> keep free space of at least </w:t>
      </w:r>
      <w:r>
        <w:rPr>
          <w:b/>
        </w:rPr>
        <w:t>half the letter height</w:t>
      </w:r>
      <w:r>
        <w:t xml:space="preserve"> on all sides. Nothing else may enter it.</w:t>
      </w:r>
    </w:p>
    <w:p>
      <w:pPr>
        <w:pStyle w:val="ListBullet"/>
      </w:pPr>
      <w:r>
        <w:rPr>
          <w:b/>
        </w:rPr>
        <w:t>Minimum size:</w:t>
      </w:r>
      <w:r>
        <w:t xml:space="preserve"> letter height 16 px on screen (wordmark about 90 px wide), 6 mm in print. Below that, use the X monogram.</w:t>
      </w:r>
    </w:p>
    <w:p>
      <w:pPr>
        <w:pStyle w:val="ListBullet"/>
      </w:pPr>
      <w:r>
        <w:rPr>
          <w:b/>
        </w:rPr>
        <w:t>Together:</w:t>
      </w:r>
      <w:r>
        <w:t xml:space="preserve"> XLRTE first, P·E after it, separated by a thin </w:t>
      </w:r>
      <w:r>
        <w:rPr>
          <w:color w:val="C4421D"/>
        </w:rPr>
        <w:t>line</w:t>
      </w:r>
      <w:r>
        <w:t xml:space="preserve"> rule and with both at the same letter height.</w:t>
      </w:r>
    </w:p>
    <w:p>
      <w:pPr>
        <w:pStyle w:val="ListBullet"/>
      </w:pPr>
      <w:r>
        <w:rPr>
          <w:b/>
        </w:rPr>
        <w:t>Backgrounds:</w:t>
      </w:r>
      <w:r>
        <w:t xml:space="preserve"> white or ink. On vermilion, use the single-colour versions. On photos, use white, and only where the image is calm.</w:t>
      </w:r>
    </w:p>
    <w:p>
      <w:pPr>
        <w:pStyle w:val="Heading3"/>
      </w:pPr>
      <w:r>
        <w:t>Don't</w:t>
      </w:r>
    </w:p>
    <w:p>
      <w:pPr>
        <w:pStyle w:val="ListBullet"/>
      </w:pPr>
      <w:r>
        <w:t>recolour the chevron or the spark, or add a second accent colour</w:t>
      </w:r>
    </w:p>
    <w:p>
      <w:pPr>
        <w:pStyle w:val="ListBullet"/>
      </w:pPr>
      <w:r>
        <w:t>set XLRTE in live text: always use the logo files</w:t>
      </w:r>
    </w:p>
    <w:p>
      <w:pPr>
        <w:pStyle w:val="ListBullet"/>
      </w:pPr>
      <w:r>
        <w:t>change the letter spacing, stretch, rotate, outline or add shadows</w:t>
      </w:r>
    </w:p>
    <w:p>
      <w:pPr>
        <w:pStyle w:val="ListBullet"/>
      </w:pPr>
      <w:r>
        <w:t>place the colour logo on vermilion (the chevron disappears)</w:t>
      </w:r>
    </w:p>
    <w:p>
      <w:pPr>
        <w:pStyle w:val="ListBullet"/>
      </w:pPr>
      <w:r>
        <w:t>combine XLRTE and P·E into one mark</w:t>
      </w:r>
    </w:p>
    <w:p>
      <w:pPr>
        <w:pStyle w:val="Heading1"/>
      </w:pPr>
      <w:r>
        <w:t>2. Typography</w:t>
      </w:r>
    </w:p>
    <w:p>
      <w:pPr>
        <w:pStyle w:val="Heading2"/>
      </w:pPr>
      <w:r>
        <w:t>The core problem</w:t>
      </w:r>
    </w:p>
    <w:p>
      <w:r>
        <w:t xml:space="preserve">Futura and Avenir are </w:t>
      </w:r>
      <w:r>
        <w:rPr>
          <w:b/>
        </w:rPr>
        <w:t>commercial fonts</w:t>
      </w:r>
      <w:r>
        <w:t xml:space="preserve"> (Futura: Neufville/URW/Linotype; Avenir / Avenir Next: Linotype/Monotype). </w:t>
      </w:r>
      <w:r>
        <w:rPr>
          <w:b/>
        </w:rPr>
        <w:t>Google Workspace (Docs, Slides, Sheets, Drawings) cannot use custom or uploaded fonts</w:t>
      </w:r>
      <w:r>
        <w:t xml:space="preserve"> — only the Google Fonts library. If a PPTX or DOCX set in Futura/Avenir is opened in Google Slides/Docs, the text silently falls back to a default (usually Arial) and layouts shift.</w:t>
      </w:r>
    </w:p>
    <w:p>
      <w:pPr>
        <w:pStyle w:val="Heading2"/>
      </w:pPr>
      <w:r>
        <w:t>The solution: two tiers, one look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Tier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Where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Headline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Body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Master</w:t>
            </w:r>
            <w:r>
              <w:rPr>
                <w:sz w:val="19"/>
              </w:rPr>
              <w:t xml:space="preserve"> (licensed)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Keynote, PowerPoint, Word, InDesign, Figma, PDF exports made on a Mac with the fonts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Futura PT</w:t>
            </w:r>
            <w:r>
              <w:rPr>
                <w:sz w:val="19"/>
              </w:rPr>
              <w:t xml:space="preserve"> / Futura (Medium, Bold)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Avenir Next</w:t>
            </w:r>
            <w:r>
              <w:rPr>
                <w:sz w:val="19"/>
              </w:rPr>
              <w:t xml:space="preserve"> (Regular, Medium, Demi)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Workspace</w:t>
            </w:r>
            <w:r>
              <w:rPr>
                <w:sz w:val="19"/>
              </w:rPr>
              <w:t xml:space="preserve"> (free, Google Fonts)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Google Slides, Docs, Sheets, Drawings, web, diagrams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Jost</w:t>
            </w:r>
            <w:r>
              <w:rPr>
                <w:sz w:val="19"/>
              </w:rPr>
              <w:t xml:space="preserve"> (Regular, Bold)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Nunito Sans</w:t>
            </w:r>
            <w:r>
              <w:rPr>
                <w:sz w:val="19"/>
              </w:rPr>
              <w:t xml:space="preserve"> (Regular, Bold)</w:t>
            </w:r>
          </w:p>
        </w:tc>
      </w:tr>
    </w:tbl>
    <w:p/>
    <w:p>
      <w:pPr>
        <w:pStyle w:val="ListBullet"/>
      </w:pPr>
      <w:r>
        <w:rPr>
          <w:b/>
        </w:rPr>
        <w:t>Jost</w:t>
      </w:r>
      <w:r>
        <w:t xml:space="preserve"> is an open-source typeface explicitly modelled on Futura.</w:t>
      </w:r>
    </w:p>
    <w:p>
      <w:pPr>
        <w:pStyle w:val="ListBullet"/>
      </w:pPr>
      <w:r>
        <w:rPr>
          <w:b/>
        </w:rPr>
        <w:t>Nunito Sans</w:t>
      </w:r>
      <w:r>
        <w:t xml:space="preserve"> is the closest free match to Avenir's humanist-geometric feel (alternative: </w:t>
      </w:r>
      <w:r>
        <w:rPr>
          <w:i/>
        </w:rPr>
        <w:t>Figtree</w:t>
      </w:r>
      <w:r>
        <w:t>).</w:t>
      </w:r>
    </w:p>
    <w:p>
      <w:r>
        <w:rPr>
          <w:b/>
        </w:rPr>
        <w:t>Rule of thumb:</w:t>
      </w:r>
      <w:r>
        <w:t xml:space="preserve"> anything </w:t>
      </w:r>
      <w:r>
        <w:rPr>
          <w:i/>
        </w:rPr>
        <w:t>staged or collaborated on in Google Workspace</w:t>
      </w:r>
      <w:r>
        <w:t xml:space="preserve"> uses the Workspace tier from the start. Only the final, polished export (PDF) may be re-set in the Master tier — or simply stay in Jost/Nunito Sans. Consistency beats the original typeface.</w:t>
      </w:r>
    </w:p>
    <w:p>
      <w:r>
        <w:t>Stick to Regular and Bold: they carry over reliably when files move between PowerPoint, Word and Google Workspace. Medium/SemiBold weights may not.</w:t>
      </w:r>
    </w:p>
    <w:p>
      <w:pPr>
        <w:pStyle w:val="Quote"/>
      </w:pPr>
      <w:r>
        <w:t xml:space="preserve">Recommendation for a lean workflow: </w:t>
      </w:r>
      <w:r>
        <w:rPr>
          <w:b/>
        </w:rPr>
        <w:t>use the Workspace tier as the default everywhere.</w:t>
      </w:r>
      <w:r>
        <w:t xml:space="preserve"> Keep the Master tier for print and special occasions.</w:t>
      </w:r>
    </w:p>
    <w:p>
      <w:pPr>
        <w:pStyle w:val="Heading2"/>
      </w:pPr>
      <w:r>
        <w:t>Type scale (Slides, 16:9)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Font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Weight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Size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Case / tracking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Title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40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Section label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14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UPPERCASE, wide letter spacing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Slide headline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28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Subtitle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18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Body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16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line spacing 1.3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Caption / source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11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muted colour</w:t>
            </w:r>
          </w:p>
        </w:tc>
      </w:tr>
    </w:tbl>
    <w:p/>
    <w:p>
      <w:pPr>
        <w:pStyle w:val="Heading2"/>
      </w:pPr>
      <w:r>
        <w:t>Type scale (Docs, A4)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Font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Weight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Size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Title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26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18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14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 xml:space="preserve">Jost, </w:t>
            </w:r>
            <w:r>
              <w:rPr>
                <w:color w:val="C4421D"/>
                <w:sz w:val="19"/>
              </w:rPr>
              <w:t>accent_text</w:t>
            </w:r>
            <w:r>
              <w:rPr>
                <w:sz w:val="19"/>
              </w:rPr>
              <w:t xml:space="preserve"> colour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11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Normal text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11 pt, line spacing 1.3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Caption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9 pt</w:t>
            </w:r>
          </w:p>
        </w:tc>
      </w:tr>
    </w:tbl>
    <w:p/>
    <w:p>
      <w:pPr>
        <w:pStyle w:val="Heading1"/>
      </w:pPr>
      <w:r>
        <w:t>3. Colour</w:t>
      </w:r>
    </w:p>
    <w:p>
      <w:r>
        <w:t xml:space="preserve">Neutral base plus </w:t>
      </w:r>
      <w:r>
        <w:rPr>
          <w:b/>
        </w:rPr>
        <w:t>one</w:t>
      </w:r>
      <w:r>
        <w:t xml:space="preserve"> accent: a warm vermilion that echoes the geometric, Bauhaus-era roots of Futura. Use it sparingly — roughly 10 % of any page or slide.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Token</w:t>
            </w:r>
          </w:p>
        </w:tc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Hex</w:t>
            </w:r>
          </w:p>
        </w:tc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ink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#1A1A1A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Text, headlines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paper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#FFFFFF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Backgrounds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muted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#6B6B6B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Captions, secondary text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line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#E3E3E3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Rules, table borders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accent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#E4572E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Brand colour: title-slide mark, section slides, big numbers, the one highlighted diagram element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accent_text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#C4421D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Small accent text on white (labels, links, doc sub-headings)</w:t>
            </w:r>
          </w:p>
        </w:tc>
      </w:tr>
    </w:tbl>
    <w:p/>
    <w:p>
      <w:r>
        <w:rPr>
          <w:b/>
        </w:rPr>
        <w:t>Contrast rule.</w:t>
      </w:r>
      <w:r>
        <w:t xml:space="preserve"> </w:t>
      </w:r>
      <w:r>
        <w:rPr>
          <w:color w:val="C4421D"/>
        </w:rPr>
        <w:t>accent</w:t>
      </w:r>
      <w:r>
        <w:t xml:space="preserve"> on white is 3.7 : 1 — fine for shapes and large text (≥ 18 pt bold or ≥ 24 pt), too light for small text. For anything smaller use </w:t>
      </w:r>
      <w:r>
        <w:rPr>
          <w:color w:val="C4421D"/>
        </w:rPr>
        <w:t>accent_text</w:t>
      </w:r>
      <w:r>
        <w:t xml:space="preserve"> (5.1 : 1, meets WCAG AA). White text on an </w:t>
      </w:r>
      <w:r>
        <w:rPr>
          <w:color w:val="C4421D"/>
        </w:rPr>
        <w:t>accent</w:t>
      </w:r>
      <w:r>
        <w:t xml:space="preserve"> background only at ≥ 18 pt bold; </w:t>
      </w:r>
      <w:r>
        <w:rPr>
          <w:color w:val="C4421D"/>
        </w:rPr>
        <w:t>ink</w:t>
      </w:r>
      <w:r>
        <w:t xml:space="preserve"> on </w:t>
      </w:r>
      <w:r>
        <w:rPr>
          <w:color w:val="C4421D"/>
        </w:rPr>
        <w:t>accent</w:t>
      </w:r>
      <w:r>
        <w:t xml:space="preserve"> works at any size (4.7 : 1).</w:t>
      </w:r>
    </w:p>
    <w:p>
      <w:pPr>
        <w:pStyle w:val="Heading1"/>
      </w:pPr>
      <w:r>
        <w:t>4. Charts &amp; diagrams</w:t>
      </w:r>
    </w:p>
    <w:p>
      <w:r>
        <w:t>Charts use the same two typefaces and the same accent. Colours below were checked with a colour-vision-deficiency validator (adjacent series stay distinguishable for the common forms of colour blindness), in light and dark.</w:t>
      </w:r>
    </w:p>
    <w:p>
      <w:pPr>
        <w:pStyle w:val="Heading2"/>
      </w:pPr>
      <w:r>
        <w:t>Highlight first, palette second</w:t>
      </w:r>
    </w:p>
    <w:p>
      <w:r>
        <w:t xml:space="preserve">Most charts should be </w:t>
      </w:r>
      <w:r>
        <w:rPr>
          <w:b/>
        </w:rPr>
        <w:t>grey plus one accent</w:t>
      </w:r>
      <w:r>
        <w:t xml:space="preserve">: the series or bar you are talking about in </w:t>
      </w:r>
      <w:r>
        <w:rPr>
          <w:color w:val="C4421D"/>
        </w:rPr>
        <w:t>accent</w:t>
      </w:r>
      <w:r>
        <w:t xml:space="preserve">, everything else in </w:t>
      </w:r>
      <w:r>
        <w:rPr>
          <w:color w:val="C4421D"/>
        </w:rPr>
        <w:t>neutral_series</w:t>
      </w:r>
      <w:r>
        <w:t xml:space="preserve"> </w:t>
      </w:r>
      <w:r>
        <w:rPr>
          <w:color w:val="C4421D"/>
        </w:rPr>
        <w:t>#BDBDBD</w:t>
      </w:r>
      <w:r>
        <w:t>. Reach for the full palette only when several series really need their own identity.</w:t>
      </w:r>
    </w:p>
    <w:p>
      <w:pPr>
        <w:pStyle w:val="Heading2"/>
      </w:pPr>
      <w:r>
        <w:t>Series colours (categorical)</w:t>
      </w:r>
    </w:p>
    <w:p>
      <w:r>
        <w:t>Always assign in this order, never skip or shuffle. Slot 1 is the brand accent.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Slot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Light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Dark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Hue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#E4572E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#E4572E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vermilion (accent)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#2A78D6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#3987E5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blue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#1BAF7A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#199E70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aqua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#EDA100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#C98500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ochre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#4A3AA7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#9085E9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violet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#E87BA4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#D55181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pink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#008300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#008300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green</w:t>
            </w:r>
          </w:p>
        </w:tc>
      </w:tr>
    </w:tbl>
    <w:p/>
    <w:p>
      <w:pPr>
        <w:pStyle w:val="ListBullet"/>
      </w:pPr>
      <w:r>
        <w:rPr>
          <w:b/>
        </w:rPr>
        <w:t>Lines, bars, stacks:</w:t>
      </w:r>
      <w:r>
        <w:t xml:space="preserve"> up to 7 series. More than 7 → group the rest as "Other" or split into small charts.</w:t>
      </w:r>
    </w:p>
    <w:p>
      <w:pPr>
        <w:pStyle w:val="ListBullet"/>
      </w:pPr>
      <w:r>
        <w:rPr>
          <w:b/>
        </w:rPr>
        <w:t>Scatter plots, maps, anything where every colour sits next to every other:</w:t>
      </w:r>
      <w:r>
        <w:t xml:space="preserve"> max </w:t>
      </w:r>
      <w:r>
        <w:rPr>
          <w:b/>
        </w:rPr>
        <w:t>3</w:t>
      </w:r>
      <w:r>
        <w:t xml:space="preserve"> series (slot 4 ochre is too close to the vermilion accent there).</w:t>
      </w:r>
    </w:p>
    <w:p>
      <w:pPr>
        <w:pStyle w:val="ListBullet"/>
      </w:pPr>
      <w:r>
        <w:t>Slots 3, 4 and 6 are light on white: label those series directly or add a table.</w:t>
      </w:r>
    </w:p>
    <w:p>
      <w:pPr>
        <w:pStyle w:val="ListBullet"/>
      </w:pPr>
      <w:r>
        <w:t>A series keeps its colour when filters change; colour follows the thing, not its rank.</w:t>
      </w:r>
    </w:p>
    <w:p>
      <w:pPr>
        <w:pStyle w:val="Heading2"/>
      </w:pPr>
      <w:r>
        <w:t>Magnitude (sequential) and above/below (diverging)</w:t>
      </w:r>
    </w:p>
    <w:p>
      <w:pPr>
        <w:pStyle w:val="ListBullet"/>
      </w:pPr>
      <w:r>
        <w:rPr>
          <w:b/>
        </w:rPr>
        <w:t>Sequential</w:t>
      </w:r>
      <w:r>
        <w:t xml:space="preserve"> (heatmaps, "how much"): one hue, vermilion from light to dark: </w:t>
      </w:r>
      <w:r>
        <w:rPr>
          <w:color w:val="C4421D"/>
        </w:rPr>
        <w:t>#FBE3DA</w:t>
      </w:r>
      <w:r>
        <w:t xml:space="preserve"> </w:t>
      </w:r>
      <w:r>
        <w:rPr>
          <w:color w:val="C4421D"/>
        </w:rPr>
        <w:t>#F6C3B1</w:t>
      </w:r>
      <w:r>
        <w:t xml:space="preserve"> </w:t>
      </w:r>
      <w:r>
        <w:rPr>
          <w:color w:val="C4421D"/>
        </w:rPr>
        <w:t>#F0A084</w:t>
      </w:r>
      <w:r>
        <w:t xml:space="preserve"> </w:t>
      </w:r>
      <w:r>
        <w:rPr>
          <w:color w:val="C4421D"/>
        </w:rPr>
        <w:t>#EA7B55</w:t>
      </w:r>
      <w:r>
        <w:t xml:space="preserve"> </w:t>
      </w:r>
      <w:r>
        <w:rPr>
          <w:color w:val="C4421D"/>
        </w:rPr>
        <w:t>#E4572E</w:t>
      </w:r>
      <w:r>
        <w:t xml:space="preserve"> </w:t>
      </w:r>
      <w:r>
        <w:rPr>
          <w:color w:val="C4421D"/>
        </w:rPr>
        <w:t>#C4421D</w:t>
      </w:r>
      <w:r>
        <w:t xml:space="preserve"> </w:t>
      </w:r>
      <w:r>
        <w:rPr>
          <w:color w:val="C4421D"/>
        </w:rPr>
        <w:t>#9C3417</w:t>
      </w:r>
      <w:r>
        <w:t xml:space="preserve"> </w:t>
      </w:r>
      <w:r>
        <w:rPr>
          <w:color w:val="C4421D"/>
        </w:rPr>
        <w:t>#742712</w:t>
      </w:r>
      <w:r>
        <w:t xml:space="preserve">. For discrete ordered steps (tiers, funnel stages) start at </w:t>
      </w:r>
      <w:r>
        <w:rPr>
          <w:color w:val="C4421D"/>
        </w:rPr>
        <w:t>#F0A084</w:t>
      </w:r>
      <w:r>
        <w:t xml:space="preserve"> or darker.</w:t>
      </w:r>
    </w:p>
    <w:p>
      <w:pPr>
        <w:pStyle w:val="ListBullet"/>
      </w:pPr>
      <w:r>
        <w:rPr>
          <w:b/>
        </w:rPr>
        <w:t>Diverging</w:t>
      </w:r>
      <w:r>
        <w:t xml:space="preserve"> (above/below target, gain/loss): blue ← grey </w:t>
      </w:r>
      <w:r>
        <w:rPr>
          <w:color w:val="C4421D"/>
        </w:rPr>
        <w:t>#EFEFEF</w:t>
      </w:r>
      <w:r>
        <w:t xml:space="preserve"> → vermilion. Blue arm </w:t>
      </w:r>
      <w:r>
        <w:rPr>
          <w:color w:val="C4421D"/>
        </w:rPr>
        <w:t>#1F5FAD</w:t>
      </w:r>
      <w:r>
        <w:t xml:space="preserve"> </w:t>
      </w:r>
      <w:r>
        <w:rPr>
          <w:color w:val="C4421D"/>
        </w:rPr>
        <w:t>#2A78D6</w:t>
      </w:r>
      <w:r>
        <w:t xml:space="preserve"> </w:t>
      </w:r>
      <w:r>
        <w:rPr>
          <w:color w:val="C4421D"/>
        </w:rPr>
        <w:t>#86B3EA</w:t>
      </w:r>
      <w:r>
        <w:t xml:space="preserve"> </w:t>
      </w:r>
      <w:r>
        <w:rPr>
          <w:color w:val="C4421D"/>
        </w:rPr>
        <w:t>#B3CFF2</w:t>
      </w:r>
      <w:r>
        <w:t xml:space="preserve">; vermilion arm </w:t>
      </w:r>
      <w:r>
        <w:rPr>
          <w:color w:val="C4421D"/>
        </w:rPr>
        <w:t>#F6C3B1</w:t>
      </w:r>
      <w:r>
        <w:t xml:space="preserve"> </w:t>
      </w:r>
      <w:r>
        <w:rPr>
          <w:color w:val="C4421D"/>
        </w:rPr>
        <w:t>#F0A084</w:t>
      </w:r>
      <w:r>
        <w:t xml:space="preserve"> </w:t>
      </w:r>
      <w:r>
        <w:rPr>
          <w:color w:val="C4421D"/>
        </w:rPr>
        <w:t>#E4572E</w:t>
      </w:r>
      <w:r>
        <w:t xml:space="preserve"> </w:t>
      </w:r>
      <w:r>
        <w:rPr>
          <w:color w:val="C4421D"/>
        </w:rPr>
        <w:t>#C4421D</w:t>
      </w:r>
      <w:r>
        <w:t>. The midpoint is always grey.</w:t>
      </w:r>
    </w:p>
    <w:p>
      <w:pPr>
        <w:pStyle w:val="Heading2"/>
      </w:pPr>
      <w:r>
        <w:t>Chart anatomy</w:t>
      </w:r>
    </w:p>
    <w:p>
      <w:pPr>
        <w:pStyle w:val="ListBullet"/>
      </w:pPr>
      <w:r>
        <w:t>One y-axis only; never two scales on one chart.</w:t>
      </w:r>
    </w:p>
    <w:p>
      <w:pPr>
        <w:pStyle w:val="ListBullet"/>
      </w:pPr>
      <w:r>
        <w:t xml:space="preserve">Gridlines hairline </w:t>
      </w:r>
      <w:r>
        <w:rPr>
          <w:color w:val="C4421D"/>
        </w:rPr>
        <w:t>#E3E3E3</w:t>
      </w:r>
      <w:r>
        <w:t xml:space="preserve">, axis line </w:t>
      </w:r>
      <w:r>
        <w:rPr>
          <w:color w:val="C4421D"/>
        </w:rPr>
        <w:t>#BDBDBD</w:t>
      </w:r>
      <w:r>
        <w:t xml:space="preserve">, labels Nunito Sans 11 pt in </w:t>
      </w:r>
      <w:r>
        <w:rPr>
          <w:color w:val="C4421D"/>
        </w:rPr>
        <w:t>muted</w:t>
      </w:r>
      <w:r>
        <w:t>.</w:t>
      </w:r>
    </w:p>
    <w:p>
      <w:pPr>
        <w:pStyle w:val="ListBullet"/>
      </w:pPr>
      <w:r>
        <w:t>Chart title = the takeaway, in Jost Bold; source line in caption style.</w:t>
      </w:r>
    </w:p>
    <w:p>
      <w:pPr>
        <w:pStyle w:val="ListBullet"/>
      </w:pPr>
      <w:r>
        <w:t>Values and labels are set in ink/muted text colours, not in the series colour.</w:t>
      </w:r>
    </w:p>
    <w:p>
      <w:pPr>
        <w:pStyle w:val="ListBullet"/>
      </w:pPr>
      <w:r>
        <w:t>Legend whenever there are 2+ series; with 4 or fewer, also label the lines directly.</w:t>
      </w:r>
    </w:p>
    <w:p>
      <w:pPr>
        <w:pStyle w:val="ListBullet"/>
      </w:pPr>
      <w:r>
        <w:t xml:space="preserve">Status colours (good / warning / critical) are </w:t>
      </w:r>
      <w:r>
        <w:rPr>
          <w:i/>
        </w:rPr>
        <w:t>not</w:t>
      </w:r>
      <w:r>
        <w:t xml:space="preserve"> series colours; if you need them, pair them with an icon and a word.</w:t>
      </w:r>
    </w:p>
    <w:p>
      <w:pPr>
        <w:pStyle w:val="Heading2"/>
      </w:pPr>
      <w:r>
        <w:t>Diagrams</w:t>
      </w:r>
    </w:p>
    <w:p>
      <w:pPr>
        <w:pStyle w:val="ListBullet"/>
      </w:pPr>
      <w:r>
        <w:t xml:space="preserve">Flat shapes, 1 px strokes in </w:t>
      </w:r>
      <w:r>
        <w:rPr>
          <w:color w:val="C4421D"/>
        </w:rPr>
        <w:t>ink</w:t>
      </w:r>
      <w:r>
        <w:t>, labels in Nunito Sans, titles in Jost.</w:t>
      </w:r>
    </w:p>
    <w:p>
      <w:pPr>
        <w:pStyle w:val="ListBullet"/>
      </w:pPr>
      <w:r>
        <w:t xml:space="preserve">Fill: </w:t>
      </w:r>
      <w:r>
        <w:rPr>
          <w:color w:val="C4421D"/>
        </w:rPr>
        <w:t>paper</w:t>
      </w:r>
      <w:r>
        <w:t xml:space="preserve"> (white) by default; the one element that matters in </w:t>
      </w:r>
      <w:r>
        <w:rPr>
          <w:color w:val="C4421D"/>
        </w:rPr>
        <w:t>accent</w:t>
      </w:r>
      <w:r>
        <w:t xml:space="preserve"> with white bold text (≥ 14 pt).</w:t>
      </w:r>
    </w:p>
    <w:p>
      <w:pPr>
        <w:pStyle w:val="ListBullet"/>
      </w:pPr>
      <w:r>
        <w:t>Grouping: a light grey panel (</w:t>
      </w:r>
      <w:r>
        <w:rPr>
          <w:color w:val="C4421D"/>
        </w:rPr>
        <w:t>#F4F4F4</w:t>
      </w:r>
      <w:r>
        <w:t>), not coloured borders.</w:t>
      </w:r>
    </w:p>
    <w:p>
      <w:pPr>
        <w:pStyle w:val="ListBullet"/>
      </w:pPr>
      <w:r>
        <w:t>If a diagram needs categories, use series slots 2 and 3 (blue, aqua) — keep vermilion for the highlight.</w:t>
      </w:r>
    </w:p>
    <w:p>
      <w:pPr>
        <w:pStyle w:val="Heading1"/>
      </w:pPr>
      <w:r>
        <w:t>5. Layout principles (starting set)</w:t>
      </w:r>
    </w:p>
    <w:p>
      <w:pPr>
        <w:spacing w:after="60"/>
        <w:ind w:left="340" w:hanging="340"/>
      </w:pPr>
      <w:r>
        <w:t>1.</w:t>
        <w:tab/>
        <w:t>One idea per slide; a headline that states the takeaway.</w:t>
      </w:r>
    </w:p>
    <w:p>
      <w:pPr>
        <w:spacing w:after="60"/>
        <w:ind w:left="340" w:hanging="340"/>
      </w:pPr>
      <w:r>
        <w:t>2.</w:t>
        <w:tab/>
        <w:t>Generous white space — margins ≥ 5 % of slide width.</w:t>
      </w:r>
    </w:p>
    <w:p>
      <w:pPr>
        <w:spacing w:after="60"/>
        <w:ind w:left="340" w:hanging="340"/>
      </w:pPr>
      <w:r>
        <w:t>3.</w:t>
        <w:tab/>
        <w:t>Left-aligned text; no centred body copy.</w:t>
      </w:r>
    </w:p>
    <w:p>
      <w:pPr>
        <w:spacing w:after="60"/>
        <w:ind w:left="340" w:hanging="340"/>
      </w:pPr>
      <w:r>
        <w:t>4.</w:t>
        <w:tab/>
        <w:t>Max two typefaces (Jost + Nunito Sans). No third font.</w:t>
      </w:r>
    </w:p>
    <w:p>
      <w:pPr>
        <w:spacing w:after="60"/>
        <w:ind w:left="340" w:hanging="340"/>
      </w:pPr>
      <w:r>
        <w:t>5.</w:t>
        <w:tab/>
        <w:t xml:space="preserve">Diagrams: flat shapes, 1 px </w:t>
      </w:r>
      <w:r>
        <w:rPr>
          <w:color w:val="C4421D"/>
        </w:rPr>
        <w:t>line</w:t>
      </w:r>
      <w:r>
        <w:t xml:space="preserve"> strokes, labels in Nunito Sans, accent colour for the single element that matters.</w:t>
      </w:r>
    </w:p>
    <w:p>
      <w:pPr>
        <w:pStyle w:val="Heading1"/>
      </w:pPr>
      <w:r>
        <w:t>6. Setting it up in Google Workspace</w:t>
      </w:r>
    </w:p>
    <w:p>
      <w:pPr>
        <w:pStyle w:val="Heading3"/>
      </w:pPr>
      <w:r>
        <w:t>Google Slides — create a master theme once</w:t>
      </w:r>
    </w:p>
    <w:p>
      <w:pPr>
        <w:spacing w:after="60"/>
        <w:ind w:left="340" w:hanging="340"/>
      </w:pPr>
      <w:r>
        <w:t>1.</w:t>
        <w:tab/>
        <w:t xml:space="preserve">New presentation → </w:t>
      </w:r>
      <w:r>
        <w:rPr>
          <w:i/>
        </w:rPr>
        <w:t>Slide → Edit theme</w:t>
      </w:r>
      <w:r>
        <w:t>.</w:t>
      </w:r>
    </w:p>
    <w:p>
      <w:pPr>
        <w:spacing w:after="60"/>
        <w:ind w:left="340" w:hanging="340"/>
      </w:pPr>
      <w:r>
        <w:t>2.</w:t>
        <w:tab/>
        <w:t xml:space="preserve">Font menu → </w:t>
      </w:r>
      <w:r>
        <w:rPr>
          <w:i/>
        </w:rPr>
        <w:t>More fonts</w:t>
      </w:r>
      <w:r>
        <w:t xml:space="preserve"> → add </w:t>
      </w:r>
      <w:r>
        <w:rPr>
          <w:b/>
        </w:rPr>
        <w:t>Jost</w:t>
      </w:r>
      <w:r>
        <w:t xml:space="preserve"> and </w:t>
      </w:r>
      <w:r>
        <w:rPr>
          <w:b/>
        </w:rPr>
        <w:t>Nunito Sans</w:t>
      </w:r>
      <w:r>
        <w:t>.</w:t>
      </w:r>
    </w:p>
    <w:p>
      <w:pPr>
        <w:spacing w:after="60"/>
        <w:ind w:left="340" w:hanging="340"/>
      </w:pPr>
      <w:r>
        <w:t>3.</w:t>
        <w:tab/>
        <w:t>Set the Title placeholder to Jost Bold, body placeholders to Nunito Sans.</w:t>
      </w:r>
    </w:p>
    <w:p>
      <w:pPr>
        <w:spacing w:after="60"/>
        <w:ind w:left="340" w:hanging="340"/>
      </w:pPr>
      <w:r>
        <w:t>4.</w:t>
        <w:tab/>
      </w:r>
      <w:r>
        <w:rPr>
          <w:i/>
        </w:rPr>
        <w:t>Theme colours</w:t>
      </w:r>
      <w:r>
        <w:t xml:space="preserve"> → Accent 1 </w:t>
      </w:r>
      <w:r>
        <w:rPr>
          <w:color w:val="C4421D"/>
        </w:rPr>
        <w:t>#E4572E</w:t>
      </w:r>
      <w:r>
        <w:t xml:space="preserve">, Dark 1 </w:t>
      </w:r>
      <w:r>
        <w:rPr>
          <w:color w:val="C4421D"/>
        </w:rPr>
        <w:t>#1A1A1A</w:t>
      </w:r>
      <w:r>
        <w:t xml:space="preserve">, Light 1 </w:t>
      </w:r>
      <w:r>
        <w:rPr>
          <w:color w:val="C4421D"/>
        </w:rPr>
        <w:t>#FFFFFF</w:t>
      </w:r>
      <w:r>
        <w:t>.</w:t>
      </w:r>
    </w:p>
    <w:p>
      <w:pPr>
        <w:spacing w:after="60"/>
        <w:ind w:left="340" w:hanging="340"/>
      </w:pPr>
      <w:r>
        <w:t>5.</w:t>
        <w:tab/>
        <w:t>Insert the logo PNGs on the layouts (white wordmark on dark layouts, colour wordmark in the footer of light ones).</w:t>
      </w:r>
    </w:p>
    <w:p>
      <w:pPr>
        <w:spacing w:after="60"/>
        <w:ind w:left="340" w:hanging="340"/>
      </w:pPr>
      <w:r>
        <w:t>6.</w:t>
        <w:tab/>
        <w:t xml:space="preserve">Rename the theme (e.g. "XLRTE v0.4"), save the file as </w:t>
      </w:r>
      <w:r>
        <w:rPr>
          <w:color w:val="C4421D"/>
        </w:rPr>
        <w:t>TEMPLATE – Slides</w:t>
      </w:r>
      <w:r>
        <w:t xml:space="preserve">. New decks: </w:t>
      </w:r>
      <w:r>
        <w:rPr>
          <w:i/>
        </w:rPr>
        <w:t>File → Make a copy</w:t>
      </w:r>
      <w:r>
        <w:t xml:space="preserve">, or </w:t>
      </w:r>
      <w:r>
        <w:rPr>
          <w:i/>
        </w:rPr>
        <w:t>Slide → Change theme → Import theme</w:t>
      </w:r>
      <w:r>
        <w:t>.</w:t>
      </w:r>
    </w:p>
    <w:p>
      <w:pPr>
        <w:pStyle w:val="Heading3"/>
      </w:pPr>
      <w:r>
        <w:t>Google Docs — set default styles</w:t>
      </w:r>
    </w:p>
    <w:p>
      <w:pPr>
        <w:spacing w:after="60"/>
        <w:ind w:left="340" w:hanging="340"/>
      </w:pPr>
      <w:r>
        <w:t>1.</w:t>
        <w:tab/>
        <w:t>Format the Title / H1 / H2 / Normal text as in the table above.</w:t>
      </w:r>
    </w:p>
    <w:p>
      <w:pPr>
        <w:spacing w:after="60"/>
        <w:ind w:left="340" w:hanging="340"/>
      </w:pPr>
      <w:r>
        <w:t>2.</w:t>
        <w:tab/>
        <w:t xml:space="preserve">For each: </w:t>
      </w:r>
      <w:r>
        <w:rPr>
          <w:i/>
        </w:rPr>
        <w:t>Format → Paragraph styles → [style] → Update to match</w:t>
      </w:r>
      <w:r>
        <w:t>.</w:t>
      </w:r>
    </w:p>
    <w:p>
      <w:pPr>
        <w:spacing w:after="60"/>
        <w:ind w:left="340" w:hanging="340"/>
      </w:pPr>
      <w:r>
        <w:t>3.</w:t>
        <w:tab/>
      </w:r>
      <w:r>
        <w:rPr>
          <w:i/>
        </w:rPr>
        <w:t>Options → Save as my default styles</w:t>
      </w:r>
      <w:r>
        <w:t xml:space="preserve"> — every new Doc now uses them.</w:t>
      </w:r>
    </w:p>
    <w:p>
      <w:r>
        <w:rPr>
          <w:b/>
        </w:rPr>
        <w:t>Diagrams</w:t>
      </w:r>
      <w:r>
        <w:t xml:space="preserve"> (Google Drawings, Excalidraw, Mermaid, etc.): use Jost for titles, Nunito Sans for labels; export as SVG/PNG and place into Slides/Docs.</w:t>
      </w:r>
    </w:p>
    <w:p>
      <w:r>
        <w:rPr>
          <w:b/>
        </w:rPr>
        <w:t>PPTX / DOCX files coming from outside:</w:t>
      </w:r>
      <w:r>
        <w:t xml:space="preserve"> before importing into Workspace, replace Futura → Jost and Avenir → Nunito Sans (PowerPoint: </w:t>
      </w:r>
      <w:r>
        <w:rPr>
          <w:i/>
        </w:rPr>
        <w:t>Home → Replace → Replace Fonts</w:t>
      </w:r>
      <w:r>
        <w:t>), then upload.</w:t>
      </w:r>
    </w:p>
    <w:p>
      <w:pPr>
        <w:pStyle w:val="Heading1"/>
      </w:pPr>
      <w:r>
        <w:t>7. Templates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templates/brand-slides-template.pptx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Upload to Drive, then open as Google Slides. Includes Title, Section and Content layouts plus example slides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templates/brand-docs-template.docx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Upload to Drive, then open as Google Docs. Heading styles are pre-set and the file contains this guide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templates/build_slides.js</w:t>
            </w:r>
            <w:r>
              <w:rPr>
                <w:sz w:val="19"/>
              </w:rPr>
              <w:t xml:space="preserve">, </w:t>
            </w:r>
            <w:r>
              <w:rPr>
                <w:color w:val="C4421D"/>
                <w:sz w:val="19"/>
              </w:rPr>
              <w:t>templates/build_docs.py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 xml:space="preserve">Rebuild the templates from </w:t>
            </w:r>
            <w:r>
              <w:rPr>
                <w:color w:val="C4421D"/>
                <w:sz w:val="19"/>
              </w:rPr>
              <w:t>tokens.json</w:t>
            </w:r>
            <w:r>
              <w:rPr>
                <w:sz w:val="19"/>
              </w:rPr>
              <w:t xml:space="preserve"> and this guide</w:t>
            </w:r>
          </w:p>
        </w:tc>
      </w:tr>
    </w:tbl>
    <w:p/>
    <w:p>
      <w:r>
        <w:t xml:space="preserve">On GitHub, the </w:t>
      </w:r>
      <w:r>
        <w:rPr>
          <w:b/>
        </w:rPr>
        <w:t>Build brand templates</w:t>
      </w:r>
      <w:r>
        <w:t xml:space="preserve"> workflow reruns both scripts whenever </w:t>
      </w:r>
      <w:r>
        <w:rPr>
          <w:color w:val="C4421D"/>
        </w:rPr>
        <w:t>tokens.json</w:t>
      </w:r>
      <w:r>
        <w:t xml:space="preserve">, this guide or the build scripts change, and commits the fresh templates. Locally: </w:t>
      </w:r>
      <w:r>
        <w:rPr>
          <w:color w:val="C4421D"/>
        </w:rPr>
        <w:t>cd brand/templates &amp;&amp; npm ci &amp;&amp; pip install -r requirements.txt</w:t>
      </w:r>
      <w:r>
        <w:t xml:space="preserve">, then </w:t>
      </w:r>
      <w:r>
        <w:rPr>
          <w:color w:val="C4421D"/>
        </w:rPr>
        <w:t>node build_slides.js &amp;&amp; python3 build_docs.py</w:t>
      </w:r>
      <w:r>
        <w:t>.</w:t>
      </w:r>
    </w:p>
    <w:p>
      <w:pPr>
        <w:pStyle w:val="Heading1"/>
      </w:pPr>
      <w:r>
        <w:t>8. Licensing note</w:t>
      </w:r>
    </w:p>
    <w:p>
      <w:r>
        <w:t>Futura and Avenir Next ship with macOS, but that licence covers use on that Mac — not web embedding or redistribution. Jost and Nunito Sans are under the SIL Open Font License: free for any use, including commercial and embedding.</w:t>
      </w:r>
    </w:p>
    <w:p>
      <w:pPr>
        <w:pStyle w:val="Heading1"/>
      </w:pPr>
      <w:r>
        <w:t>Changelog</w:t>
      </w:r>
    </w:p>
    <w:p>
      <w:pPr>
        <w:pStyle w:val="ListBullet"/>
      </w:pPr>
      <w:r>
        <w:rPr>
          <w:b/>
        </w:rPr>
        <w:t>v0.4</w:t>
      </w:r>
      <w:r>
        <w:t xml:space="preserve"> — Logo: XLRTE wordmark with forward chevron, X monogram and favicons, P·E personal mark.</w:t>
      </w:r>
    </w:p>
    <w:p>
      <w:pPr>
        <w:pStyle w:val="ListBullet"/>
      </w:pPr>
      <w:r>
        <w:rPr>
          <w:b/>
        </w:rPr>
        <w:t>v0.3</w:t>
      </w:r>
      <w:r>
        <w:t xml:space="preserve"> — Chart &amp; diagram colours (validated for colour-blind readers), chart anatomy rules.</w:t>
      </w:r>
    </w:p>
    <w:p>
      <w:pPr>
        <w:pStyle w:val="ListBullet"/>
      </w:pPr>
      <w:r>
        <w:rPr>
          <w:b/>
        </w:rPr>
        <w:t>v0.2</w:t>
      </w:r>
      <w:r>
        <w:t xml:space="preserve"> — Accent </w:t>
      </w:r>
      <w:r>
        <w:rPr>
          <w:color w:val="C4421D"/>
        </w:rPr>
        <w:t>#E4572E</w:t>
      </w:r>
      <w:r>
        <w:t xml:space="preserve"> confirmed as brand colour; added </w:t>
      </w:r>
      <w:r>
        <w:rPr>
          <w:color w:val="C4421D"/>
        </w:rPr>
        <w:t>accent_text</w:t>
      </w:r>
      <w:r>
        <w:t xml:space="preserve"> and contrast rule.</w:t>
      </w:r>
    </w:p>
    <w:p>
      <w:pPr>
        <w:pStyle w:val="ListBullet"/>
      </w:pPr>
      <w:r>
        <w:rPr>
          <w:b/>
        </w:rPr>
        <w:t>v0.1</w:t>
      </w:r>
      <w:r>
        <w:t xml:space="preserve"> — Typography tiers, type scales, provisional accent, Workspace setup, Slides + Docs templates.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2" w:lineRule="auto"/>
    </w:pPr>
    <w:rPr>
      <w:rFonts w:ascii="Nunito Sans" w:hAnsi="Nunito Sans" w:eastAsia="Nunito Sans" w:cs="Nunito Sans"/>
      <w:b w:val="0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264" w:lineRule="auto"/>
      <w:outlineLvl w:val="0"/>
    </w:pPr>
    <w:rPr>
      <w:rFonts w:ascii="Jost" w:hAnsi="Jost" w:eastAsia="Jost" w:cs="Jost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="Jost" w:hAnsi="Jost" w:eastAsia="Jost" w:cs="Jost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64" w:lineRule="auto"/>
      <w:outlineLvl w:val="2"/>
    </w:pPr>
    <w:rPr>
      <w:rFonts w:ascii="Jost" w:hAnsi="Jost" w:eastAsia="Jost" w:cs="Jost"/>
      <w:b/>
      <w:bCs/>
      <w:color w:val="C4421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64" w:lineRule="auto" w:before="0"/>
      <w:contextualSpacing/>
    </w:pPr>
    <w:rPr>
      <w:rFonts w:ascii="Jost" w:hAnsi="Jost" w:eastAsia="Jost" w:cs="Jost"/>
      <w:b/>
      <w:color w:val="1A1A1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312" w:lineRule="auto"/>
    </w:pPr>
    <w:rPr>
      <w:rFonts w:ascii="Nunito Sans" w:hAnsi="Nunito Sans" w:eastAsia="Nunito Sans" w:cs="Nunito Sans"/>
      <w:b w:val="0"/>
      <w:i/>
      <w:iCs/>
      <w:color w:val="6B6B6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Nunito Sans" w:hAnsi="Nunito Sans" w:eastAsia="Nunito Sans" w:cs="Nunito Sans"/>
      <w:b w:val="0"/>
      <w:color w:val="1A1A1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0" w:after="120" w:line="312" w:lineRule="auto"/>
    </w:pPr>
    <w:rPr>
      <w:rFonts w:ascii="Nunito Sans" w:hAnsi="Nunito Sans" w:eastAsia="Nunito Sans" w:cs="Nunito Sans"/>
      <w:b w:val="0"/>
      <w:i/>
      <w:iCs/>
      <w:color w:val="6B6B6B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12" w:lineRule="auto" w:before="0" w:after="120"/>
    </w:pPr>
    <w:rPr>
      <w:rFonts w:ascii="Nunito Sans" w:hAnsi="Nunito Sans" w:eastAsia="Nunito Sans" w:cs="Nunito Sans"/>
      <w:b w:val="0"/>
      <w:bCs/>
      <w:color w:val="6B6B6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