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Brand Style Guide — v0.2 (draft)</w:t>
      </w:r>
    </w:p>
    <w:p>
      <w:pPr>
        <w:pStyle w:val="Quote"/>
      </w:pPr>
      <w:r>
        <w:t xml:space="preserve">Status: </w:t>
      </w:r>
      <w:r>
        <w:rPr>
          <w:b/>
        </w:rPr>
        <w:t>developing</w:t>
      </w:r>
      <w:r>
        <w:t xml:space="preserve">. This guide starts small and gets extended as decisions are made. Anything marked </w:t>
      </w:r>
      <w:r>
        <w:rPr>
          <w:i/>
        </w:rPr>
        <w:t>provisional</w:t>
      </w:r>
      <w:r>
        <w:t xml:space="preserve"> has not been decided yet.</w:t>
      </w:r>
    </w:p>
    <w:p>
      <w:pPr>
        <w:pStyle w:val="Heading1"/>
      </w:pPr>
      <w:r>
        <w:t>1. Typography</w:t>
      </w:r>
    </w:p>
    <w:p>
      <w:pPr>
        <w:pStyle w:val="Heading2"/>
      </w:pPr>
      <w:r>
        <w:t>The core problem</w:t>
      </w:r>
    </w:p>
    <w:p>
      <w:r>
        <w:t xml:space="preserve">Futura and Avenir are </w:t>
      </w:r>
      <w:r>
        <w:rPr>
          <w:b/>
        </w:rPr>
        <w:t>commercial fonts</w:t>
      </w:r>
      <w:r>
        <w:t xml:space="preserve"> (Futura: Neufville/URW/Linotype; Avenir / Avenir Next: Linotype/Monotype). </w:t>
      </w:r>
      <w:r>
        <w:rPr>
          <w:b/>
        </w:rPr>
        <w:t>Google Workspace (Docs, Slides, Sheets, Drawings) cannot use custom or uploaded fonts</w:t>
      </w:r>
      <w:r>
        <w:t xml:space="preserve"> — only the Google Fonts library. If a PPTX or DOCX set in Futura/Avenir is opened in Google Slides/Docs, the text silently falls back to a default (usually Arial) and layouts shift.</w:t>
      </w:r>
    </w:p>
    <w:p>
      <w:pPr>
        <w:pStyle w:val="Heading2"/>
      </w:pPr>
      <w:r>
        <w:t>The solution: two tiers, one look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F4F4F4"/>
          </w:tcPr>
          <w:p>
            <w:pPr>
              <w:spacing w:after="0"/>
            </w:pPr>
            <w:r>
              <w:rPr>
                <w:b/>
                <w:sz w:val="19"/>
              </w:rPr>
              <w:t>Tier</w:t>
            </w:r>
          </w:p>
        </w:tc>
        <w:tc>
          <w:tcPr>
            <w:tcW w:type="dxa" w:w="2353"/>
            <w:shd w:val="clear" w:color="auto" w:fill="F4F4F4"/>
          </w:tcPr>
          <w:p>
            <w:pPr>
              <w:spacing w:after="0"/>
            </w:pPr>
            <w:r>
              <w:rPr>
                <w:b/>
                <w:sz w:val="19"/>
              </w:rPr>
              <w:t>Where</w:t>
            </w:r>
          </w:p>
        </w:tc>
        <w:tc>
          <w:tcPr>
            <w:tcW w:type="dxa" w:w="2353"/>
            <w:shd w:val="clear" w:color="auto" w:fill="F4F4F4"/>
          </w:tcPr>
          <w:p>
            <w:pPr>
              <w:spacing w:after="0"/>
            </w:pPr>
            <w:r>
              <w:rPr>
                <w:b/>
                <w:sz w:val="19"/>
              </w:rPr>
              <w:t>Headline</w:t>
            </w:r>
          </w:p>
        </w:tc>
        <w:tc>
          <w:tcPr>
            <w:tcW w:type="dxa" w:w="2353"/>
            <w:shd w:val="clear" w:color="auto" w:fill="F4F4F4"/>
          </w:tcPr>
          <w:p>
            <w:pPr>
              <w:spacing w:after="0"/>
            </w:pPr>
            <w:r>
              <w:rPr>
                <w:b/>
                <w:sz w:val="19"/>
              </w:rPr>
              <w:t>Body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9"/>
              </w:rPr>
              <w:t>Master</w:t>
            </w:r>
            <w:r>
              <w:rPr>
                <w:sz w:val="19"/>
              </w:rPr>
              <w:t xml:space="preserve"> (licensed)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9"/>
              </w:rPr>
              <w:t>Keynote, PowerPoint, Word, InDesign, Figma, PDF exports made on a Mac with the fonts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9"/>
              </w:rPr>
              <w:t>Futura PT</w:t>
            </w:r>
            <w:r>
              <w:rPr>
                <w:sz w:val="19"/>
              </w:rPr>
              <w:t xml:space="preserve"> / Futura (Medium, Bold)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9"/>
              </w:rPr>
              <w:t>Avenir Next</w:t>
            </w:r>
            <w:r>
              <w:rPr>
                <w:sz w:val="19"/>
              </w:rPr>
              <w:t xml:space="preserve"> (Regular, Medium, Demi)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9"/>
              </w:rPr>
              <w:t>Workspace</w:t>
            </w:r>
            <w:r>
              <w:rPr>
                <w:sz w:val="19"/>
              </w:rPr>
              <w:t xml:space="preserve"> (free, Google Fonts)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9"/>
              </w:rPr>
              <w:t>Google Slides, Docs, Sheets, Drawings, web, diagrams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9"/>
              </w:rPr>
              <w:t>Jost</w:t>
            </w:r>
            <w:r>
              <w:rPr>
                <w:sz w:val="19"/>
              </w:rPr>
              <w:t xml:space="preserve"> (Regular, Bold)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sz w:val="19"/>
              </w:rPr>
              <w:t>Nunito Sans</w:t>
            </w:r>
            <w:r>
              <w:rPr>
                <w:sz w:val="19"/>
              </w:rPr>
              <w:t xml:space="preserve"> (Regular, Bold)</w:t>
            </w:r>
          </w:p>
        </w:tc>
      </w:tr>
    </w:tbl>
    <w:p/>
    <w:p>
      <w:pPr>
        <w:pStyle w:val="ListBullet"/>
      </w:pPr>
      <w:r>
        <w:rPr>
          <w:b/>
        </w:rPr>
        <w:t>Jost</w:t>
      </w:r>
      <w:r>
        <w:t xml:space="preserve"> is an open-source typeface explicitly modelled on Futura.</w:t>
      </w:r>
    </w:p>
    <w:p>
      <w:pPr>
        <w:pStyle w:val="ListBullet"/>
      </w:pPr>
      <w:r>
        <w:rPr>
          <w:b/>
        </w:rPr>
        <w:t>Nunito Sans</w:t>
      </w:r>
      <w:r>
        <w:t xml:space="preserve"> is the closest free match to Avenir's humanist-geometric feel (alternative: </w:t>
      </w:r>
      <w:r>
        <w:rPr>
          <w:i/>
        </w:rPr>
        <w:t>Figtree</w:t>
      </w:r>
      <w:r>
        <w:t>).</w:t>
      </w:r>
    </w:p>
    <w:p>
      <w:r>
        <w:rPr>
          <w:b/>
        </w:rPr>
        <w:t>Rule of thumb:</w:t>
      </w:r>
      <w:r>
        <w:t xml:space="preserve"> anything </w:t>
      </w:r>
      <w:r>
        <w:rPr>
          <w:i/>
        </w:rPr>
        <w:t>staged or collaborated on in Google Workspace</w:t>
      </w:r>
      <w:r>
        <w:t xml:space="preserve"> uses the Workspace tier from the start. Only the final, polished export (PDF) may be re-set in the Master tier — or simply stay in Jost/Nunito Sans. Consistency beats the original typeface.</w:t>
      </w:r>
    </w:p>
    <w:p>
      <w:r>
        <w:t>Stick to Regular and Bold: they carry over reliably when files move between PowerPoint, Word and Google Workspace. Medium/SemiBold weights may not.</w:t>
      </w:r>
    </w:p>
    <w:p>
      <w:pPr>
        <w:pStyle w:val="Quote"/>
      </w:pPr>
      <w:r>
        <w:t xml:space="preserve">Recommendation for a lean workflow: </w:t>
      </w:r>
      <w:r>
        <w:rPr>
          <w:b/>
        </w:rPr>
        <w:t>use the Workspace tier as the default everywhere.</w:t>
      </w:r>
      <w:r>
        <w:t xml:space="preserve"> Keep the Master tier for print and special occasions.</w:t>
      </w:r>
    </w:p>
    <w:p>
      <w:pPr>
        <w:pStyle w:val="Heading2"/>
      </w:pPr>
      <w:r>
        <w:t>Type scale (Slides, 16:9)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F4F4F4"/>
          </w:tcPr>
          <w:p>
            <w:pPr>
              <w:spacing w:after="0"/>
            </w:pPr>
            <w:r>
              <w:rPr>
                <w:b/>
                <w:sz w:val="19"/>
              </w:rPr>
              <w:t>Role</w:t>
            </w:r>
          </w:p>
        </w:tc>
        <w:tc>
          <w:tcPr>
            <w:tcW w:type="dxa" w:w="1882"/>
            <w:shd w:val="clear" w:color="auto" w:fill="F4F4F4"/>
          </w:tcPr>
          <w:p>
            <w:pPr>
              <w:spacing w:after="0"/>
            </w:pPr>
            <w:r>
              <w:rPr>
                <w:b/>
                <w:sz w:val="19"/>
              </w:rPr>
              <w:t>Font</w:t>
            </w:r>
          </w:p>
        </w:tc>
        <w:tc>
          <w:tcPr>
            <w:tcW w:type="dxa" w:w="1882"/>
            <w:shd w:val="clear" w:color="auto" w:fill="F4F4F4"/>
          </w:tcPr>
          <w:p>
            <w:pPr>
              <w:spacing w:after="0"/>
            </w:pPr>
            <w:r>
              <w:rPr>
                <w:b/>
                <w:sz w:val="19"/>
              </w:rPr>
              <w:t>Weight</w:t>
            </w:r>
          </w:p>
        </w:tc>
        <w:tc>
          <w:tcPr>
            <w:tcW w:type="dxa" w:w="1882"/>
            <w:shd w:val="clear" w:color="auto" w:fill="F4F4F4"/>
          </w:tcPr>
          <w:p>
            <w:pPr>
              <w:spacing w:after="0"/>
            </w:pPr>
            <w:r>
              <w:rPr>
                <w:b/>
                <w:sz w:val="19"/>
              </w:rPr>
              <w:t>Size</w:t>
            </w:r>
          </w:p>
        </w:tc>
        <w:tc>
          <w:tcPr>
            <w:tcW w:type="dxa" w:w="1882"/>
            <w:shd w:val="clear" w:color="auto" w:fill="F4F4F4"/>
          </w:tcPr>
          <w:p>
            <w:pPr>
              <w:spacing w:after="0"/>
            </w:pPr>
            <w:r>
              <w:rPr>
                <w:b/>
                <w:sz w:val="19"/>
              </w:rPr>
              <w:t>Case / tracking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sz w:val="19"/>
              </w:rPr>
              <w:t>Title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9"/>
              </w:rPr>
              <w:t>Jost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9"/>
              </w:rPr>
              <w:t>Bold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9"/>
              </w:rPr>
              <w:t>40 pt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9"/>
              </w:rPr>
              <w:t>Sentence case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sz w:val="19"/>
              </w:rPr>
              <w:t>Section label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9"/>
              </w:rPr>
              <w:t>Jost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9"/>
              </w:rPr>
              <w:t>Regular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9"/>
              </w:rPr>
              <w:t>14 pt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9"/>
              </w:rPr>
              <w:t>UPPERCASE, wide letter spacing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sz w:val="19"/>
              </w:rPr>
              <w:t>Slide headline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9"/>
              </w:rPr>
              <w:t>Jost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9"/>
              </w:rPr>
              <w:t>Bold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9"/>
              </w:rPr>
              <w:t>28 pt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9"/>
              </w:rPr>
              <w:t>Sentence case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sz w:val="19"/>
              </w:rPr>
              <w:t>Subtitle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9"/>
              </w:rPr>
              <w:t>Nunito Sans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9"/>
              </w:rPr>
              <w:t>Regular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9"/>
              </w:rPr>
              <w:t>18 pt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9"/>
              </w:rPr>
              <w:t>Sentence case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sz w:val="19"/>
              </w:rPr>
              <w:t>Body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9"/>
              </w:rPr>
              <w:t>Nunito Sans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9"/>
              </w:rPr>
              <w:t>Regular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9"/>
              </w:rPr>
              <w:t>16 pt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9"/>
              </w:rPr>
              <w:t>line spacing 1.3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sz w:val="19"/>
              </w:rPr>
              <w:t>Caption / source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9"/>
              </w:rPr>
              <w:t>Nunito Sans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9"/>
              </w:rPr>
              <w:t>Regular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9"/>
              </w:rPr>
              <w:t>11 pt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sz w:val="19"/>
              </w:rPr>
              <w:t>muted colour</w:t>
            </w:r>
          </w:p>
        </w:tc>
      </w:tr>
    </w:tbl>
    <w:p/>
    <w:p>
      <w:pPr>
        <w:pStyle w:val="Heading2"/>
      </w:pPr>
      <w:r>
        <w:t>Type scale (Docs, A4)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F4F4F4"/>
          </w:tcPr>
          <w:p>
            <w:pPr>
              <w:spacing w:after="0"/>
            </w:pPr>
            <w:r>
              <w:rPr>
                <w:b/>
                <w:sz w:val="19"/>
              </w:rPr>
              <w:t>Role</w:t>
            </w:r>
          </w:p>
        </w:tc>
        <w:tc>
          <w:tcPr>
            <w:tcW w:type="dxa" w:w="2353"/>
            <w:shd w:val="clear" w:color="auto" w:fill="F4F4F4"/>
          </w:tcPr>
          <w:p>
            <w:pPr>
              <w:spacing w:after="0"/>
            </w:pPr>
            <w:r>
              <w:rPr>
                <w:b/>
                <w:sz w:val="19"/>
              </w:rPr>
              <w:t>Font</w:t>
            </w:r>
          </w:p>
        </w:tc>
        <w:tc>
          <w:tcPr>
            <w:tcW w:type="dxa" w:w="2353"/>
            <w:shd w:val="clear" w:color="auto" w:fill="F4F4F4"/>
          </w:tcPr>
          <w:p>
            <w:pPr>
              <w:spacing w:after="0"/>
            </w:pPr>
            <w:r>
              <w:rPr>
                <w:b/>
                <w:sz w:val="19"/>
              </w:rPr>
              <w:t>Weight</w:t>
            </w:r>
          </w:p>
        </w:tc>
        <w:tc>
          <w:tcPr>
            <w:tcW w:type="dxa" w:w="2353"/>
            <w:shd w:val="clear" w:color="auto" w:fill="F4F4F4"/>
          </w:tcPr>
          <w:p>
            <w:pPr>
              <w:spacing w:after="0"/>
            </w:pPr>
            <w:r>
              <w:rPr>
                <w:b/>
                <w:sz w:val="19"/>
              </w:rPr>
              <w:t>Size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sz w:val="19"/>
              </w:rPr>
              <w:t>Title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9"/>
              </w:rPr>
              <w:t>Jost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9"/>
              </w:rPr>
              <w:t>Bold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9"/>
              </w:rPr>
              <w:t>26 pt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sz w:val="19"/>
              </w:rPr>
              <w:t>Heading 1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9"/>
              </w:rPr>
              <w:t>Jost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9"/>
              </w:rPr>
              <w:t>Bold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9"/>
              </w:rPr>
              <w:t>18 pt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sz w:val="19"/>
              </w:rPr>
              <w:t>Heading 2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9"/>
              </w:rPr>
              <w:t>Jost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9"/>
              </w:rPr>
              <w:t>Bold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9"/>
              </w:rPr>
              <w:t>14 pt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sz w:val="19"/>
              </w:rPr>
              <w:t>Heading 3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9"/>
              </w:rPr>
              <w:t xml:space="preserve">Jost, </w:t>
            </w:r>
            <w:r>
              <w:rPr>
                <w:color w:val="C4421D"/>
                <w:sz w:val="19"/>
              </w:rPr>
              <w:t>accent_text</w:t>
            </w:r>
            <w:r>
              <w:rPr>
                <w:sz w:val="19"/>
              </w:rPr>
              <w:t xml:space="preserve"> colour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9"/>
              </w:rPr>
              <w:t>Bold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9"/>
              </w:rPr>
              <w:t>11 pt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sz w:val="19"/>
              </w:rPr>
              <w:t>Normal text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9"/>
              </w:rPr>
              <w:t>Nunito Sans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9"/>
              </w:rPr>
              <w:t>Regular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9"/>
              </w:rPr>
              <w:t>11 pt, line spacing 1.3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sz w:val="19"/>
              </w:rPr>
              <w:t>Caption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9"/>
              </w:rPr>
              <w:t>Nunito Sans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9"/>
              </w:rPr>
              <w:t>Regular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sz w:val="19"/>
              </w:rPr>
              <w:t>9 pt</w:t>
            </w:r>
          </w:p>
        </w:tc>
      </w:tr>
    </w:tbl>
    <w:p/>
    <w:p>
      <w:pPr>
        <w:pStyle w:val="Heading1"/>
      </w:pPr>
      <w:r>
        <w:t>2. Colour</w:t>
      </w:r>
    </w:p>
    <w:p>
      <w:r>
        <w:t xml:space="preserve">Neutral base plus </w:t>
      </w:r>
      <w:r>
        <w:rPr>
          <w:b/>
        </w:rPr>
        <w:t>one</w:t>
      </w:r>
      <w:r>
        <w:t xml:space="preserve"> accent: a warm vermilion that echoes the geometric, Bauhaus-era roots of Futura. Use it sparingly — roughly 10 % of any page or slide.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F4F4F4"/>
          </w:tcPr>
          <w:p>
            <w:pPr>
              <w:spacing w:after="0"/>
            </w:pPr>
            <w:r>
              <w:rPr>
                <w:b/>
                <w:sz w:val="19"/>
              </w:rPr>
              <w:t>Token</w:t>
            </w:r>
          </w:p>
        </w:tc>
        <w:tc>
          <w:tcPr>
            <w:tcW w:type="dxa" w:w="3137"/>
            <w:shd w:val="clear" w:color="auto" w:fill="F4F4F4"/>
          </w:tcPr>
          <w:p>
            <w:pPr>
              <w:spacing w:after="0"/>
            </w:pPr>
            <w:r>
              <w:rPr>
                <w:b/>
                <w:sz w:val="19"/>
              </w:rPr>
              <w:t>Hex</w:t>
            </w:r>
          </w:p>
        </w:tc>
        <w:tc>
          <w:tcPr>
            <w:tcW w:type="dxa" w:w="3137"/>
            <w:shd w:val="clear" w:color="auto" w:fill="F4F4F4"/>
          </w:tcPr>
          <w:p>
            <w:pPr>
              <w:spacing w:after="0"/>
            </w:pPr>
            <w:r>
              <w:rPr>
                <w:b/>
                <w:sz w:val="19"/>
              </w:rPr>
              <w:t>Use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color w:val="C4421D"/>
                <w:sz w:val="19"/>
              </w:rPr>
              <w:t>ink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color w:val="C4421D"/>
                <w:sz w:val="19"/>
              </w:rPr>
              <w:t>#1A1A1A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9"/>
              </w:rPr>
              <w:t>Text, headlines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color w:val="C4421D"/>
                <w:sz w:val="19"/>
              </w:rPr>
              <w:t>paper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color w:val="C4421D"/>
                <w:sz w:val="19"/>
              </w:rPr>
              <w:t>#FFFFFF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9"/>
              </w:rPr>
              <w:t>Backgrounds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color w:val="C4421D"/>
                <w:sz w:val="19"/>
              </w:rPr>
              <w:t>muted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color w:val="C4421D"/>
                <w:sz w:val="19"/>
              </w:rPr>
              <w:t>#6B6B6B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9"/>
              </w:rPr>
              <w:t>Captions, secondary text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color w:val="C4421D"/>
                <w:sz w:val="19"/>
              </w:rPr>
              <w:t>line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color w:val="C4421D"/>
                <w:sz w:val="19"/>
              </w:rPr>
              <w:t>#E3E3E3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9"/>
              </w:rPr>
              <w:t>Rules, table borders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color w:val="C4421D"/>
                <w:sz w:val="19"/>
              </w:rPr>
              <w:t>accent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color w:val="C4421D"/>
                <w:sz w:val="19"/>
              </w:rPr>
              <w:t>#E4572E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9"/>
              </w:rPr>
              <w:t>Brand colour: title-slide mark, section slides, big numbers, the one highlighted diagram element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color w:val="C4421D"/>
                <w:sz w:val="19"/>
              </w:rPr>
              <w:t>accent_text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color w:val="C4421D"/>
                <w:sz w:val="19"/>
              </w:rPr>
              <w:t>#C4421D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sz w:val="19"/>
              </w:rPr>
              <w:t>Small accent text on white (labels, links, doc sub-headings)</w:t>
            </w:r>
          </w:p>
        </w:tc>
      </w:tr>
    </w:tbl>
    <w:p/>
    <w:p>
      <w:r>
        <w:rPr>
          <w:b/>
        </w:rPr>
        <w:t>Contrast rule.</w:t>
      </w:r>
      <w:r>
        <w:t xml:space="preserve"> </w:t>
      </w:r>
      <w:r>
        <w:rPr>
          <w:color w:val="C4421D"/>
        </w:rPr>
        <w:t>accent</w:t>
      </w:r>
      <w:r>
        <w:t xml:space="preserve"> on white is 3.7 : 1 — fine for shapes and large text (≥ 18 pt bold or ≥ 24 pt), too light for small text. For anything smaller use </w:t>
      </w:r>
      <w:r>
        <w:rPr>
          <w:color w:val="C4421D"/>
        </w:rPr>
        <w:t>accent_text</w:t>
      </w:r>
      <w:r>
        <w:t xml:space="preserve"> (5.1 : 1, meets WCAG AA). White text on an </w:t>
      </w:r>
      <w:r>
        <w:rPr>
          <w:color w:val="C4421D"/>
        </w:rPr>
        <w:t>accent</w:t>
      </w:r>
      <w:r>
        <w:t xml:space="preserve"> background only at ≥ 18 pt bold; </w:t>
      </w:r>
      <w:r>
        <w:rPr>
          <w:color w:val="C4421D"/>
        </w:rPr>
        <w:t>ink</w:t>
      </w:r>
      <w:r>
        <w:t xml:space="preserve"> on </w:t>
      </w:r>
      <w:r>
        <w:rPr>
          <w:color w:val="C4421D"/>
        </w:rPr>
        <w:t>accent</w:t>
      </w:r>
      <w:r>
        <w:t xml:space="preserve"> works at any size (4.7 : 1).</w:t>
      </w:r>
    </w:p>
    <w:p>
      <w:pPr>
        <w:pStyle w:val="Heading1"/>
      </w:pPr>
      <w:r>
        <w:t>3. Layout principles (starting set)</w:t>
      </w:r>
    </w:p>
    <w:p>
      <w:pPr>
        <w:spacing w:after="60"/>
        <w:ind w:left="340" w:hanging="340"/>
      </w:pPr>
      <w:r>
        <w:t>1.</w:t>
        <w:tab/>
        <w:t>One idea per slide; a headline that states the takeaway.</w:t>
      </w:r>
    </w:p>
    <w:p>
      <w:pPr>
        <w:spacing w:after="60"/>
        <w:ind w:left="340" w:hanging="340"/>
      </w:pPr>
      <w:r>
        <w:t>2.</w:t>
        <w:tab/>
        <w:t>Generous white space — margins ≥ 5 % of slide width.</w:t>
      </w:r>
    </w:p>
    <w:p>
      <w:pPr>
        <w:spacing w:after="60"/>
        <w:ind w:left="340" w:hanging="340"/>
      </w:pPr>
      <w:r>
        <w:t>3.</w:t>
        <w:tab/>
        <w:t>Left-aligned text; no centred body copy.</w:t>
      </w:r>
    </w:p>
    <w:p>
      <w:pPr>
        <w:spacing w:after="60"/>
        <w:ind w:left="340" w:hanging="340"/>
      </w:pPr>
      <w:r>
        <w:t>4.</w:t>
        <w:tab/>
        <w:t>Max two typefaces (Jost + Nunito Sans). No third font.</w:t>
      </w:r>
    </w:p>
    <w:p>
      <w:pPr>
        <w:spacing w:after="60"/>
        <w:ind w:left="340" w:hanging="340"/>
      </w:pPr>
      <w:r>
        <w:t>5.</w:t>
        <w:tab/>
        <w:t xml:space="preserve">Diagrams: flat shapes, 1 px </w:t>
      </w:r>
      <w:r>
        <w:rPr>
          <w:color w:val="C4421D"/>
        </w:rPr>
        <w:t>line</w:t>
      </w:r>
      <w:r>
        <w:t xml:space="preserve"> strokes, labels in Nunito Sans, accent colour for the single element that matters.</w:t>
      </w:r>
    </w:p>
    <w:p>
      <w:pPr>
        <w:pStyle w:val="Heading1"/>
      </w:pPr>
      <w:r>
        <w:t>4. Setting it up in Google Workspace</w:t>
      </w:r>
    </w:p>
    <w:p>
      <w:pPr>
        <w:pStyle w:val="Heading3"/>
      </w:pPr>
      <w:r>
        <w:t>Google Slides — create a master theme once</w:t>
      </w:r>
    </w:p>
    <w:p>
      <w:pPr>
        <w:spacing w:after="60"/>
        <w:ind w:left="340" w:hanging="340"/>
      </w:pPr>
      <w:r>
        <w:t>1.</w:t>
        <w:tab/>
        <w:t xml:space="preserve">New presentation → </w:t>
      </w:r>
      <w:r>
        <w:rPr>
          <w:i/>
        </w:rPr>
        <w:t>Slide → Edit theme</w:t>
      </w:r>
      <w:r>
        <w:t>.</w:t>
      </w:r>
    </w:p>
    <w:p>
      <w:pPr>
        <w:spacing w:after="60"/>
        <w:ind w:left="340" w:hanging="340"/>
      </w:pPr>
      <w:r>
        <w:t>2.</w:t>
        <w:tab/>
        <w:t xml:space="preserve">Font menu → </w:t>
      </w:r>
      <w:r>
        <w:rPr>
          <w:i/>
        </w:rPr>
        <w:t>More fonts</w:t>
      </w:r>
      <w:r>
        <w:t xml:space="preserve"> → add </w:t>
      </w:r>
      <w:r>
        <w:rPr>
          <w:b/>
        </w:rPr>
        <w:t>Jost</w:t>
      </w:r>
      <w:r>
        <w:t xml:space="preserve"> and </w:t>
      </w:r>
      <w:r>
        <w:rPr>
          <w:b/>
        </w:rPr>
        <w:t>Nunito Sans</w:t>
      </w:r>
      <w:r>
        <w:t>.</w:t>
      </w:r>
    </w:p>
    <w:p>
      <w:pPr>
        <w:spacing w:after="60"/>
        <w:ind w:left="340" w:hanging="340"/>
      </w:pPr>
      <w:r>
        <w:t>3.</w:t>
        <w:tab/>
        <w:t>Set the Title placeholder to Jost Bold, body placeholders to Nunito Sans.</w:t>
      </w:r>
    </w:p>
    <w:p>
      <w:pPr>
        <w:spacing w:after="60"/>
        <w:ind w:left="340" w:hanging="340"/>
      </w:pPr>
      <w:r>
        <w:t>4.</w:t>
        <w:tab/>
      </w:r>
      <w:r>
        <w:rPr>
          <w:i/>
        </w:rPr>
        <w:t>Theme colours</w:t>
      </w:r>
      <w:r>
        <w:t xml:space="preserve"> → Accent 1 </w:t>
      </w:r>
      <w:r>
        <w:rPr>
          <w:color w:val="C4421D"/>
        </w:rPr>
        <w:t>#E4572E</w:t>
      </w:r>
      <w:r>
        <w:t xml:space="preserve">, Dark 1 </w:t>
      </w:r>
      <w:r>
        <w:rPr>
          <w:color w:val="C4421D"/>
        </w:rPr>
        <w:t>#1A1A1A</w:t>
      </w:r>
      <w:r>
        <w:t xml:space="preserve">, Light 1 </w:t>
      </w:r>
      <w:r>
        <w:rPr>
          <w:color w:val="C4421D"/>
        </w:rPr>
        <w:t>#FFFFFF</w:t>
      </w:r>
      <w:r>
        <w:t>.</w:t>
      </w:r>
    </w:p>
    <w:p>
      <w:pPr>
        <w:spacing w:after="60"/>
        <w:ind w:left="340" w:hanging="340"/>
      </w:pPr>
      <w:r>
        <w:t>5.</w:t>
        <w:tab/>
        <w:t xml:space="preserve">Rename the theme (e.g. "Brand v0.2"), save the file as </w:t>
      </w:r>
      <w:r>
        <w:rPr>
          <w:color w:val="C4421D"/>
        </w:rPr>
        <w:t>TEMPLATE – Slides</w:t>
      </w:r>
      <w:r>
        <w:t xml:space="preserve">. New decks: </w:t>
      </w:r>
      <w:r>
        <w:rPr>
          <w:i/>
        </w:rPr>
        <w:t>File → Make a copy</w:t>
      </w:r>
      <w:r>
        <w:t xml:space="preserve">, or </w:t>
      </w:r>
      <w:r>
        <w:rPr>
          <w:i/>
        </w:rPr>
        <w:t>Slide → Change theme → Import theme</w:t>
      </w:r>
      <w:r>
        <w:t>.</w:t>
      </w:r>
    </w:p>
    <w:p>
      <w:pPr>
        <w:pStyle w:val="Heading3"/>
      </w:pPr>
      <w:r>
        <w:t>Google Docs — set default styles</w:t>
      </w:r>
    </w:p>
    <w:p>
      <w:pPr>
        <w:spacing w:after="60"/>
        <w:ind w:left="340" w:hanging="340"/>
      </w:pPr>
      <w:r>
        <w:t>1.</w:t>
        <w:tab/>
        <w:t>Format the Title / H1 / H2 / Normal text as in the table above.</w:t>
      </w:r>
    </w:p>
    <w:p>
      <w:pPr>
        <w:spacing w:after="60"/>
        <w:ind w:left="340" w:hanging="340"/>
      </w:pPr>
      <w:r>
        <w:t>2.</w:t>
        <w:tab/>
        <w:t xml:space="preserve">For each: </w:t>
      </w:r>
      <w:r>
        <w:rPr>
          <w:i/>
        </w:rPr>
        <w:t>Format → Paragraph styles → [style] → Update to match</w:t>
      </w:r>
      <w:r>
        <w:t>.</w:t>
      </w:r>
    </w:p>
    <w:p>
      <w:pPr>
        <w:spacing w:after="60"/>
        <w:ind w:left="340" w:hanging="340"/>
      </w:pPr>
      <w:r>
        <w:t>3.</w:t>
        <w:tab/>
      </w:r>
      <w:r>
        <w:rPr>
          <w:i/>
        </w:rPr>
        <w:t>Options → Save as my default styles</w:t>
      </w:r>
      <w:r>
        <w:t xml:space="preserve"> — every new Doc now uses them.</w:t>
      </w:r>
    </w:p>
    <w:p>
      <w:r>
        <w:rPr>
          <w:b/>
        </w:rPr>
        <w:t>Diagrams</w:t>
      </w:r>
      <w:r>
        <w:t xml:space="preserve"> (Google Drawings, Excalidraw, Mermaid, etc.): use Jost for titles, Nunito Sans for labels; export as SVG/PNG and place into Slides/Docs.</w:t>
      </w:r>
    </w:p>
    <w:p>
      <w:r>
        <w:rPr>
          <w:b/>
        </w:rPr>
        <w:t>PPTX / DOCX files coming from outside:</w:t>
      </w:r>
      <w:r>
        <w:t xml:space="preserve"> before importing into Workspace, replace Futura → Jost and Avenir → Nunito Sans (PowerPoint: </w:t>
      </w:r>
      <w:r>
        <w:rPr>
          <w:i/>
        </w:rPr>
        <w:t>Home → Replace → Replace Fonts</w:t>
      </w:r>
      <w:r>
        <w:t>), then upload.</w:t>
      </w:r>
    </w:p>
    <w:p>
      <w:pPr>
        <w:pStyle w:val="Heading1"/>
      </w:pPr>
      <w:r>
        <w:t>5. Templates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4F4F4"/>
          </w:tcPr>
          <w:p>
            <w:pPr>
              <w:spacing w:after="0"/>
            </w:pPr>
            <w:r>
              <w:rPr>
                <w:b/>
                <w:sz w:val="19"/>
              </w:rPr>
              <w:t>File</w:t>
            </w:r>
          </w:p>
        </w:tc>
        <w:tc>
          <w:tcPr>
            <w:tcW w:type="dxa" w:w="4706"/>
            <w:shd w:val="clear" w:color="auto" w:fill="F4F4F4"/>
          </w:tcPr>
          <w:p>
            <w:pPr>
              <w:spacing w:after="0"/>
            </w:pPr>
            <w:r>
              <w:rPr>
                <w:b/>
                <w:sz w:val="19"/>
              </w:rPr>
              <w:t>Use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color w:val="C4421D"/>
                <w:sz w:val="19"/>
              </w:rPr>
              <w:t>templates/brand-slides-template.pptx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9"/>
              </w:rPr>
              <w:t>Upload to Drive, then open as Google Slides. Includes Title, Section and Content layouts plus example slides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color w:val="C4421D"/>
                <w:sz w:val="19"/>
              </w:rPr>
              <w:t>templates/brand-docs-template.docx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9"/>
              </w:rPr>
              <w:t>Upload to Drive, then open as Google Docs. Heading styles are pre-set and the file contains this guide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color w:val="C4421D"/>
                <w:sz w:val="19"/>
              </w:rPr>
              <w:t>templates/build_slides.js</w:t>
            </w:r>
            <w:r>
              <w:rPr>
                <w:sz w:val="19"/>
              </w:rPr>
              <w:t xml:space="preserve">, </w:t>
            </w:r>
            <w:r>
              <w:rPr>
                <w:color w:val="C4421D"/>
                <w:sz w:val="19"/>
              </w:rPr>
              <w:t>templates/build_docs.py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sz w:val="19"/>
              </w:rPr>
              <w:t xml:space="preserve">Rebuild the templates from </w:t>
            </w:r>
            <w:r>
              <w:rPr>
                <w:color w:val="C4421D"/>
                <w:sz w:val="19"/>
              </w:rPr>
              <w:t>tokens.json</w:t>
            </w:r>
            <w:r>
              <w:rPr>
                <w:sz w:val="19"/>
              </w:rPr>
              <w:t xml:space="preserve"> and this guide</w:t>
            </w:r>
          </w:p>
        </w:tc>
      </w:tr>
    </w:tbl>
    <w:p/>
    <w:p>
      <w:r>
        <w:t xml:space="preserve">On GitHub, the </w:t>
      </w:r>
      <w:r>
        <w:rPr>
          <w:b/>
        </w:rPr>
        <w:t>Build brand templates</w:t>
      </w:r>
      <w:r>
        <w:t xml:space="preserve"> workflow reruns both scripts whenever </w:t>
      </w:r>
      <w:r>
        <w:rPr>
          <w:color w:val="C4421D"/>
        </w:rPr>
        <w:t>tokens.json</w:t>
      </w:r>
      <w:r>
        <w:t xml:space="preserve">, this guide or the build scripts change, and commits the fresh templates. Locally: </w:t>
      </w:r>
      <w:r>
        <w:rPr>
          <w:color w:val="C4421D"/>
        </w:rPr>
        <w:t>cd brand/templates &amp;&amp; npm ci &amp;&amp; pip install -r requirements.txt</w:t>
      </w:r>
      <w:r>
        <w:t xml:space="preserve">, then </w:t>
      </w:r>
      <w:r>
        <w:rPr>
          <w:color w:val="C4421D"/>
        </w:rPr>
        <w:t>node build_slides.js &amp;&amp; python3 build_docs.py</w:t>
      </w:r>
      <w:r>
        <w:t>.</w:t>
      </w:r>
    </w:p>
    <w:p>
      <w:pPr>
        <w:pStyle w:val="Heading1"/>
      </w:pPr>
      <w:r>
        <w:t>6. Licensing note</w:t>
      </w:r>
    </w:p>
    <w:p>
      <w:r>
        <w:t>Futura and Avenir Next ship with macOS, but that licence covers use on that Mac — not web embedding or redistribution. Jost and Nunito Sans are under the SIL Open Font License: free for any use, including commercial and embedding.</w:t>
      </w:r>
    </w:p>
    <w:p>
      <w:pPr>
        <w:pStyle w:val="Heading1"/>
      </w:pPr>
      <w:r>
        <w:t>Changelog</w:t>
      </w:r>
    </w:p>
    <w:p>
      <w:pPr>
        <w:pStyle w:val="ListBullet"/>
      </w:pPr>
      <w:r>
        <w:rPr>
          <w:b/>
        </w:rPr>
        <w:t>v0.2</w:t>
      </w:r>
      <w:r>
        <w:t xml:space="preserve"> — Accent </w:t>
      </w:r>
      <w:r>
        <w:rPr>
          <w:color w:val="C4421D"/>
        </w:rPr>
        <w:t>#E4572E</w:t>
      </w:r>
      <w:r>
        <w:t xml:space="preserve"> confirmed as brand colour; added </w:t>
      </w:r>
      <w:r>
        <w:rPr>
          <w:color w:val="C4421D"/>
        </w:rPr>
        <w:t>accent_text</w:t>
      </w:r>
      <w:r>
        <w:t xml:space="preserve"> and contrast rule.</w:t>
      </w:r>
    </w:p>
    <w:p>
      <w:pPr>
        <w:pStyle w:val="ListBullet"/>
      </w:pPr>
      <w:r>
        <w:rPr>
          <w:b/>
        </w:rPr>
        <w:t>v0.1</w:t>
      </w:r>
      <w:r>
        <w:t xml:space="preserve"> — Typography tiers, type scales, provisional accent, Workspace setup, Slides + Docs templates.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12" w:lineRule="auto"/>
    </w:pPr>
    <w:rPr>
      <w:rFonts w:ascii="Nunito Sans" w:hAnsi="Nunito Sans" w:eastAsia="Nunito Sans" w:cs="Nunito Sans"/>
      <w:b w:val="0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64" w:lineRule="auto"/>
      <w:outlineLvl w:val="0"/>
    </w:pPr>
    <w:rPr>
      <w:rFonts w:ascii="Jost" w:hAnsi="Jost" w:eastAsia="Jost" w:cs="Jost"/>
      <w:b/>
      <w:bCs/>
      <w:color w:val="1A1A1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64" w:lineRule="auto"/>
      <w:outlineLvl w:val="1"/>
    </w:pPr>
    <w:rPr>
      <w:rFonts w:ascii="Jost" w:hAnsi="Jost" w:eastAsia="Jost" w:cs="Jost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 w:line="264" w:lineRule="auto"/>
      <w:outlineLvl w:val="2"/>
    </w:pPr>
    <w:rPr>
      <w:rFonts w:ascii="Jost" w:hAnsi="Jost" w:eastAsia="Jost" w:cs="Jost"/>
      <w:b/>
      <w:bCs/>
      <w:color w:val="C4421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64" w:lineRule="auto" w:before="0"/>
      <w:contextualSpacing/>
    </w:pPr>
    <w:rPr>
      <w:rFonts w:ascii="Jost" w:hAnsi="Jost" w:eastAsia="Jost" w:cs="Jost"/>
      <w:b/>
      <w:color w:val="1A1A1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 w:line="312" w:lineRule="auto"/>
    </w:pPr>
    <w:rPr>
      <w:rFonts w:ascii="Nunito Sans" w:hAnsi="Nunito Sans" w:eastAsia="Nunito Sans" w:cs="Nunito Sans"/>
      <w:b w:val="0"/>
      <w:i/>
      <w:iCs/>
      <w:color w:val="6B6B6B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312" w:lineRule="auto"/>
      <w:contextualSpacing/>
    </w:pPr>
    <w:rPr>
      <w:rFonts w:ascii="Nunito Sans" w:hAnsi="Nunito Sans" w:eastAsia="Nunito Sans" w:cs="Nunito Sans"/>
      <w:b w:val="0"/>
      <w:color w:val="1A1A1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0" w:after="120" w:line="312" w:lineRule="auto"/>
    </w:pPr>
    <w:rPr>
      <w:rFonts w:ascii="Nunito Sans" w:hAnsi="Nunito Sans" w:eastAsia="Nunito Sans" w:cs="Nunito Sans"/>
      <w:b w:val="0"/>
      <w:i/>
      <w:iCs/>
      <w:color w:val="6B6B6B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12" w:lineRule="auto" w:before="0" w:after="120"/>
    </w:pPr>
    <w:rPr>
      <w:rFonts w:ascii="Nunito Sans" w:hAnsi="Nunito Sans" w:eastAsia="Nunito Sans" w:cs="Nunito Sans"/>
      <w:b w:val="0"/>
      <w:bCs/>
      <w:color w:val="6B6B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