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Brand Style Guide — v0.3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 xml:space="preserve">Jost, </w:t>
            </w:r>
            <w:r>
              <w:rPr>
                <w:color w:val="C4421D"/>
                <w:sz w:val="19"/>
              </w:rPr>
              <w:t>accent_text</w:t>
            </w:r>
            <w:r>
              <w:rPr>
                <w:sz w:val="19"/>
              </w:rPr>
              <w:t xml:space="preserve"> colour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2. Colour</w:t>
      </w:r>
    </w:p>
    <w:p>
      <w:r>
        <w:t xml:space="preserve">Neutral base plus </w:t>
      </w:r>
      <w:r>
        <w:rPr>
          <w:b/>
        </w:rPr>
        <w:t>one</w:t>
      </w:r>
      <w:r>
        <w:t xml:space="preserve"> accent: a warm vermilion that echoes the geometric, Bauhaus-era roots of Futura. Use it sparingly — roughly 10 % of any page or slide.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Brand colour: title-slide mark, section slides, big numbers, the one highlighted diagram element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accent_text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#C4421D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Small accent text on white (labels, links, doc sub-headings)</w:t>
            </w:r>
          </w:p>
        </w:tc>
      </w:tr>
    </w:tbl>
    <w:p/>
    <w:p>
      <w:r>
        <w:rPr>
          <w:b/>
        </w:rPr>
        <w:t>Contrast rule.</w:t>
      </w:r>
      <w:r>
        <w:t xml:space="preserve"> </w:t>
      </w:r>
      <w:r>
        <w:rPr>
          <w:color w:val="C4421D"/>
        </w:rPr>
        <w:t>accent</w:t>
      </w:r>
      <w:r>
        <w:t xml:space="preserve"> on white is 3.7 : 1 — fine for shapes and large text (≥ 18 pt bold or ≥ 24 pt), too light for small text. For anything smaller use </w:t>
      </w:r>
      <w:r>
        <w:rPr>
          <w:color w:val="C4421D"/>
        </w:rPr>
        <w:t>accent_text</w:t>
      </w:r>
      <w:r>
        <w:t xml:space="preserve"> (5.1 : 1, meets WCAG AA). White text on an </w:t>
      </w:r>
      <w:r>
        <w:rPr>
          <w:color w:val="C4421D"/>
        </w:rPr>
        <w:t>accent</w:t>
      </w:r>
      <w:r>
        <w:t xml:space="preserve"> background only at ≥ 18 pt bold; </w:t>
      </w:r>
      <w:r>
        <w:rPr>
          <w:color w:val="C4421D"/>
        </w:rPr>
        <w:t>ink</w:t>
      </w:r>
      <w:r>
        <w:t xml:space="preserve"> on </w:t>
      </w:r>
      <w:r>
        <w:rPr>
          <w:color w:val="C4421D"/>
        </w:rPr>
        <w:t>accent</w:t>
      </w:r>
      <w:r>
        <w:t xml:space="preserve"> works at any size (4.7 : 1).</w:t>
      </w:r>
    </w:p>
    <w:p>
      <w:pPr>
        <w:pStyle w:val="Heading1"/>
      </w:pPr>
      <w:r>
        <w:t>3. Charts &amp; diagrams</w:t>
      </w:r>
    </w:p>
    <w:p>
      <w:r>
        <w:t>Charts use the same two typefaces and the same accent. Colours below were checked with a colour-vision-deficiency validator (adjacent series stay distinguishable for the common forms of colour blindness), in light and dark.</w:t>
      </w:r>
    </w:p>
    <w:p>
      <w:pPr>
        <w:pStyle w:val="Heading2"/>
      </w:pPr>
      <w:r>
        <w:t>Highlight first, palette second</w:t>
      </w:r>
    </w:p>
    <w:p>
      <w:r>
        <w:t xml:space="preserve">Most charts should be </w:t>
      </w:r>
      <w:r>
        <w:rPr>
          <w:b/>
        </w:rPr>
        <w:t>grey plus one accent</w:t>
      </w:r>
      <w:r>
        <w:t xml:space="preserve">: the series or bar you are talking about in </w:t>
      </w:r>
      <w:r>
        <w:rPr>
          <w:color w:val="C4421D"/>
        </w:rPr>
        <w:t>accent</w:t>
      </w:r>
      <w:r>
        <w:t xml:space="preserve">, everything else in </w:t>
      </w:r>
      <w:r>
        <w:rPr>
          <w:color w:val="C4421D"/>
        </w:rPr>
        <w:t>neutral_series</w:t>
      </w:r>
      <w:r>
        <w:t xml:space="preserve"> </w:t>
      </w:r>
      <w:r>
        <w:rPr>
          <w:color w:val="C4421D"/>
        </w:rPr>
        <w:t>#BDBDBD</w:t>
      </w:r>
      <w:r>
        <w:t>. Reach for the full palette only when several series really need their own identity.</w:t>
      </w:r>
    </w:p>
    <w:p>
      <w:pPr>
        <w:pStyle w:val="Heading2"/>
      </w:pPr>
      <w:r>
        <w:t>Series colours (categorical)</w:t>
      </w:r>
    </w:p>
    <w:p>
      <w:r>
        <w:t>Always assign in this order, never skip or shuffle. Slot 1 is the brand accent.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Slot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Light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Dark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vermilion (accent)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#2A78D6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#3987E5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blue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#1BAF7A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#199E70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aqua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#EDA100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#C98500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ochre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#4A3AA7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#9085E9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violet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#E87BA4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#D55181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pink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green</w:t>
            </w:r>
          </w:p>
        </w:tc>
      </w:tr>
    </w:tbl>
    <w:p/>
    <w:p>
      <w:pPr>
        <w:pStyle w:val="ListBullet"/>
      </w:pPr>
      <w:r>
        <w:rPr>
          <w:b/>
        </w:rPr>
        <w:t>Lines, bars, stacks:</w:t>
      </w:r>
      <w:r>
        <w:t xml:space="preserve"> up to 7 series. More than 7 → group the rest as "Other" or split into small charts.</w:t>
      </w:r>
    </w:p>
    <w:p>
      <w:pPr>
        <w:pStyle w:val="ListBullet"/>
      </w:pPr>
      <w:r>
        <w:rPr>
          <w:b/>
        </w:rPr>
        <w:t>Scatter plots, maps, anything where every colour sits next to every other:</w:t>
      </w:r>
      <w:r>
        <w:t xml:space="preserve"> max </w:t>
      </w:r>
      <w:r>
        <w:rPr>
          <w:b/>
        </w:rPr>
        <w:t>3</w:t>
      </w:r>
      <w:r>
        <w:t xml:space="preserve"> series (slot 4 ochre is too close to the vermilion accent there).</w:t>
      </w:r>
    </w:p>
    <w:p>
      <w:pPr>
        <w:pStyle w:val="ListBullet"/>
      </w:pPr>
      <w:r>
        <w:t>Slots 3, 4 and 6 are light on white: label those series directly or add a table.</w:t>
      </w:r>
    </w:p>
    <w:p>
      <w:pPr>
        <w:pStyle w:val="ListBullet"/>
      </w:pPr>
      <w:r>
        <w:t>A series keeps its colour when filters change; colour follows the thing, not its rank.</w:t>
      </w:r>
    </w:p>
    <w:p>
      <w:pPr>
        <w:pStyle w:val="Heading2"/>
      </w:pPr>
      <w:r>
        <w:t>Magnitude (sequential) and above/below (diverging)</w:t>
      </w:r>
    </w:p>
    <w:p>
      <w:pPr>
        <w:pStyle w:val="ListBullet"/>
      </w:pPr>
      <w:r>
        <w:rPr>
          <w:b/>
        </w:rPr>
        <w:t>Sequential</w:t>
      </w:r>
      <w:r>
        <w:t xml:space="preserve"> (heatmaps, "how much"): one hue, vermilion from light to dark: </w:t>
      </w:r>
      <w:r>
        <w:rPr>
          <w:color w:val="C4421D"/>
        </w:rPr>
        <w:t>#FBE3DA</w:t>
      </w:r>
      <w:r>
        <w:t xml:space="preserve">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#EA7B55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 xml:space="preserve"> </w:t>
      </w:r>
      <w:r>
        <w:rPr>
          <w:color w:val="C4421D"/>
        </w:rPr>
        <w:t>#9C3417</w:t>
      </w:r>
      <w:r>
        <w:t xml:space="preserve"> </w:t>
      </w:r>
      <w:r>
        <w:rPr>
          <w:color w:val="C4421D"/>
        </w:rPr>
        <w:t>#742712</w:t>
      </w:r>
      <w:r>
        <w:t xml:space="preserve">. For discrete ordered steps (tiers, funnel stages) start at </w:t>
      </w:r>
      <w:r>
        <w:rPr>
          <w:color w:val="C4421D"/>
        </w:rPr>
        <w:t>#F0A084</w:t>
      </w:r>
      <w:r>
        <w:t xml:space="preserve"> or darker.</w:t>
      </w:r>
    </w:p>
    <w:p>
      <w:pPr>
        <w:pStyle w:val="ListBullet"/>
      </w:pPr>
      <w:r>
        <w:rPr>
          <w:b/>
        </w:rPr>
        <w:t>Diverging</w:t>
      </w:r>
      <w:r>
        <w:t xml:space="preserve"> (above/below target, gain/loss): blue ← grey </w:t>
      </w:r>
      <w:r>
        <w:rPr>
          <w:color w:val="C4421D"/>
        </w:rPr>
        <w:t>#EFEFEF</w:t>
      </w:r>
      <w:r>
        <w:t xml:space="preserve"> → vermilion. Blue arm </w:t>
      </w:r>
      <w:r>
        <w:rPr>
          <w:color w:val="C4421D"/>
        </w:rPr>
        <w:t>#1F5FAD</w:t>
      </w:r>
      <w:r>
        <w:t xml:space="preserve"> </w:t>
      </w:r>
      <w:r>
        <w:rPr>
          <w:color w:val="C4421D"/>
        </w:rPr>
        <w:t>#2A78D6</w:t>
      </w:r>
      <w:r>
        <w:t xml:space="preserve"> </w:t>
      </w:r>
      <w:r>
        <w:rPr>
          <w:color w:val="C4421D"/>
        </w:rPr>
        <w:t>#86B3EA</w:t>
      </w:r>
      <w:r>
        <w:t xml:space="preserve"> </w:t>
      </w:r>
      <w:r>
        <w:rPr>
          <w:color w:val="C4421D"/>
        </w:rPr>
        <w:t>#B3CFF2</w:t>
      </w:r>
      <w:r>
        <w:t xml:space="preserve">; vermilion arm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>. The midpoint is always grey.</w:t>
      </w:r>
    </w:p>
    <w:p>
      <w:pPr>
        <w:pStyle w:val="Heading2"/>
      </w:pPr>
      <w:r>
        <w:t>Chart anatomy</w:t>
      </w:r>
    </w:p>
    <w:p>
      <w:pPr>
        <w:pStyle w:val="ListBullet"/>
      </w:pPr>
      <w:r>
        <w:t>One y-axis only; never two scales on one chart.</w:t>
      </w:r>
    </w:p>
    <w:p>
      <w:pPr>
        <w:pStyle w:val="ListBullet"/>
      </w:pPr>
      <w:r>
        <w:t xml:space="preserve">Gridlines hairline </w:t>
      </w:r>
      <w:r>
        <w:rPr>
          <w:color w:val="C4421D"/>
        </w:rPr>
        <w:t>#E3E3E3</w:t>
      </w:r>
      <w:r>
        <w:t xml:space="preserve">, axis line </w:t>
      </w:r>
      <w:r>
        <w:rPr>
          <w:color w:val="C4421D"/>
        </w:rPr>
        <w:t>#BDBDBD</w:t>
      </w:r>
      <w:r>
        <w:t xml:space="preserve">, labels Nunito Sans 11 pt in </w:t>
      </w:r>
      <w:r>
        <w:rPr>
          <w:color w:val="C4421D"/>
        </w:rPr>
        <w:t>muted</w:t>
      </w:r>
      <w:r>
        <w:t>.</w:t>
      </w:r>
    </w:p>
    <w:p>
      <w:pPr>
        <w:pStyle w:val="ListBullet"/>
      </w:pPr>
      <w:r>
        <w:t>Chart title = the takeaway, in Jost Bold; source line in caption style.</w:t>
      </w:r>
    </w:p>
    <w:p>
      <w:pPr>
        <w:pStyle w:val="ListBullet"/>
      </w:pPr>
      <w:r>
        <w:t>Values and labels are set in ink/muted text colours, not in the series colour.</w:t>
      </w:r>
    </w:p>
    <w:p>
      <w:pPr>
        <w:pStyle w:val="ListBullet"/>
      </w:pPr>
      <w:r>
        <w:t>Legend whenever there are 2+ series; with 4 or fewer, also label the lines directly.</w:t>
      </w:r>
    </w:p>
    <w:p>
      <w:pPr>
        <w:pStyle w:val="ListBullet"/>
      </w:pPr>
      <w:r>
        <w:t xml:space="preserve">Status colours (good / warning / critical) are </w:t>
      </w:r>
      <w:r>
        <w:rPr>
          <w:i/>
        </w:rPr>
        <w:t>not</w:t>
      </w:r>
      <w:r>
        <w:t xml:space="preserve"> series colours; if you need them, pair them with an icon and a word.</w:t>
      </w:r>
    </w:p>
    <w:p>
      <w:pPr>
        <w:pStyle w:val="Heading2"/>
      </w:pPr>
      <w:r>
        <w:t>Diagrams</w:t>
      </w:r>
    </w:p>
    <w:p>
      <w:pPr>
        <w:pStyle w:val="ListBullet"/>
      </w:pPr>
      <w:r>
        <w:t xml:space="preserve">Flat shapes, 1 px strokes in </w:t>
      </w:r>
      <w:r>
        <w:rPr>
          <w:color w:val="C4421D"/>
        </w:rPr>
        <w:t>ink</w:t>
      </w:r>
      <w:r>
        <w:t>, labels in Nunito Sans, titles in Jost.</w:t>
      </w:r>
    </w:p>
    <w:p>
      <w:pPr>
        <w:pStyle w:val="ListBullet"/>
      </w:pPr>
      <w:r>
        <w:t xml:space="preserve">Fill: </w:t>
      </w:r>
      <w:r>
        <w:rPr>
          <w:color w:val="C4421D"/>
        </w:rPr>
        <w:t>paper</w:t>
      </w:r>
      <w:r>
        <w:t xml:space="preserve"> (white) by default; the one element that matters in </w:t>
      </w:r>
      <w:r>
        <w:rPr>
          <w:color w:val="C4421D"/>
        </w:rPr>
        <w:t>accent</w:t>
      </w:r>
      <w:r>
        <w:t xml:space="preserve"> with white bold text (≥ 14 pt).</w:t>
      </w:r>
    </w:p>
    <w:p>
      <w:pPr>
        <w:pStyle w:val="ListBullet"/>
      </w:pPr>
      <w:r>
        <w:t>Grouping: a light grey panel (</w:t>
      </w:r>
      <w:r>
        <w:rPr>
          <w:color w:val="C4421D"/>
        </w:rPr>
        <w:t>#F4F4F4</w:t>
      </w:r>
      <w:r>
        <w:t>), not coloured borders.</w:t>
      </w:r>
    </w:p>
    <w:p>
      <w:pPr>
        <w:pStyle w:val="ListBullet"/>
      </w:pPr>
      <w:r>
        <w:t>If a diagram needs categories, use series slots 2 and 3 (blue, aqua) — keep vermilion for the highlight.</w:t>
      </w:r>
    </w:p>
    <w:p>
      <w:pPr>
        <w:pStyle w:val="Heading1"/>
      </w:pPr>
      <w:r>
        <w:t>4.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C4421D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5.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Accent 1 </w:t>
      </w:r>
      <w:r>
        <w:rPr>
          <w:color w:val="C4421D"/>
        </w:rPr>
        <w:t>#E4572E</w:t>
      </w:r>
      <w:r>
        <w:t xml:space="preserve">, Dark 1 </w:t>
      </w:r>
      <w:r>
        <w:rPr>
          <w:color w:val="C4421D"/>
        </w:rPr>
        <w:t>#1A1A1A</w:t>
      </w:r>
      <w:r>
        <w:t xml:space="preserve">, Light 1 </w:t>
      </w:r>
      <w:r>
        <w:rPr>
          <w:color w:val="C4421D"/>
        </w:rPr>
        <w:t>#FFFFFF</w:t>
      </w:r>
      <w:r>
        <w:t>.</w:t>
      </w:r>
    </w:p>
    <w:p>
      <w:pPr>
        <w:spacing w:after="60"/>
        <w:ind w:left="340" w:hanging="340"/>
      </w:pPr>
      <w:r>
        <w:t>5.</w:t>
        <w:tab/>
        <w:t xml:space="preserve">Rename the theme (e.g. "Brand v0.2"), save the file as </w:t>
      </w:r>
      <w:r>
        <w:rPr>
          <w:color w:val="C4421D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6.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C4421D"/>
                <w:sz w:val="19"/>
              </w:rPr>
              <w:t>tokens.json</w:t>
            </w:r>
            <w:r>
              <w:rPr>
                <w:sz w:val="19"/>
              </w:rPr>
              <w:t xml:space="preserve"> and this guide</w:t>
            </w:r>
          </w:p>
        </w:tc>
      </w:tr>
    </w:tbl>
    <w:p/>
    <w:p>
      <w:r>
        <w:t xml:space="preserve">On GitHub, the </w:t>
      </w:r>
      <w:r>
        <w:rPr>
          <w:b/>
        </w:rPr>
        <w:t>Build brand templates</w:t>
      </w:r>
      <w:r>
        <w:t xml:space="preserve"> workflow reruns both scripts whenever </w:t>
      </w:r>
      <w:r>
        <w:rPr>
          <w:color w:val="C4421D"/>
        </w:rPr>
        <w:t>tokens.json</w:t>
      </w:r>
      <w:r>
        <w:t xml:space="preserve">, this guide or the build scripts change, and commits the fresh templates. Locally: </w:t>
      </w:r>
      <w:r>
        <w:rPr>
          <w:color w:val="C4421D"/>
        </w:rPr>
        <w:t>cd brand/templates &amp;&amp; npm ci &amp;&amp; pip install -r requirements.txt</w:t>
      </w:r>
      <w:r>
        <w:t xml:space="preserve">, then </w:t>
      </w:r>
      <w:r>
        <w:rPr>
          <w:color w:val="C4421D"/>
        </w:rPr>
        <w:t>node build_slides.js &amp;&amp; python3 build_docs.py</w:t>
      </w:r>
      <w:r>
        <w:t>.</w:t>
      </w:r>
    </w:p>
    <w:p>
      <w:pPr>
        <w:pStyle w:val="Heading1"/>
      </w:pPr>
      <w:r>
        <w:t>7.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v0.3</w:t>
      </w:r>
      <w:r>
        <w:t xml:space="preserve"> — Chart &amp; diagram colours (validated for colour-blind readers), chart anatomy rules.</w:t>
      </w:r>
    </w:p>
    <w:p>
      <w:pPr>
        <w:pStyle w:val="ListBullet"/>
      </w:pPr>
      <w:r>
        <w:rPr>
          <w:b/>
        </w:rPr>
        <w:t>v0.2</w:t>
      </w:r>
      <w:r>
        <w:t xml:space="preserve"> — Accent </w:t>
      </w:r>
      <w:r>
        <w:rPr>
          <w:color w:val="C4421D"/>
        </w:rPr>
        <w:t>#E4572E</w:t>
      </w:r>
      <w:r>
        <w:t xml:space="preserve"> confirmed as brand colour; added </w:t>
      </w:r>
      <w:r>
        <w:rPr>
          <w:color w:val="C4421D"/>
        </w:rPr>
        <w:t>accent_text</w:t>
      </w:r>
      <w:r>
        <w:t xml:space="preserve"> and contrast rule.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C442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