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E4360"/>
          <w:sz w:val="50"/>
        </w:rPr>
        <w:t>RV Interchange</w:t>
      </w:r>
    </w:p>
    <w:p>
      <w:pPr>
        <w:jc w:val="center"/>
      </w:pPr>
      <w:r>
        <w:rPr>
          <w:rFonts w:ascii="Aptos Display" w:hAnsi="Aptos Display"/>
          <w:b/>
          <w:sz w:val="36"/>
        </w:rPr>
        <w:t>Project Status Review</w:t>
      </w:r>
    </w:p>
    <w:p>
      <w:pPr>
        <w:jc w:val="center"/>
      </w:pPr>
      <w:r>
        <w:rPr>
          <w:color w:val="5A5A5A"/>
          <w:sz w:val="20"/>
        </w:rPr>
        <w:t>Repository reviewed: github.com/tokendad/RV_Interchange</w:t>
        <w:br/>
        <w:t>Assessment date: August 5, 2026</w:t>
      </w:r>
    </w:p>
    <w:tbl>
      <w:tblPr>
        <w:tblW w:type="auto" w:w="0"/>
        <w:jc w:val="center"/>
        <w:tblLayout w:type="autofit"/>
        <w:tblLook w:firstColumn="1" w:firstRow="1" w:lastColumn="0" w:lastRow="0" w:noHBand="0" w:noVBand="1" w:val="04A0"/>
      </w:tblPr>
      <w:tblGrid>
        <w:gridCol w:w="10080"/>
      </w:tblGrid>
      <w:tr>
        <w:tc>
          <w:tcPr>
            <w:tcW w:type="dxa" w:w="10080"/>
            <w:shd w:fill="EAF2F8"/>
            <w:vAlign w:val="center"/>
          </w:tcPr>
          <w:p>
            <w:pPr>
              <w:spacing w:after="0"/>
            </w:pPr>
            <w:r>
              <w:rPr>
                <w:b/>
                <w:color w:val="1E4360"/>
                <w:sz w:val="24"/>
              </w:rPr>
              <w:t>Executive assessment</w:t>
            </w:r>
          </w:p>
          <w:p>
            <w:pPr>
              <w:spacing w:after="0"/>
            </w:pPr>
            <w:r>
              <w:t>RV Interchange has crossed the line from architecture exercise to working evidence-to-lookup system. The project now has a credible data pipeline, a growing relationship graph, tests that exercise real domain cases, and an early public API/UI. Its next challenge is operational hardening: one reproducible build path, current documentation, strict edge-type validation, and end-to-end deployment confidence.</w:t>
            </w:r>
          </w:p>
        </w:tc>
      </w:tr>
    </w:tbl>
    <w:p>
      <w:pPr>
        <w:pStyle w:val="Heading1"/>
      </w:pPr>
      <w:r>
        <w:t>Overall assessment</w:t>
      </w:r>
    </w:p>
    <w:tbl>
      <w:tblPr>
        <w:tblStyle w:val="TableGrid"/>
        <w:tblW w:type="auto" w:w="0"/>
        <w:jc w:val="center"/>
        <w:tblLook w:firstColumn="1" w:firstRow="1" w:lastColumn="0" w:lastRow="0" w:noHBand="0" w:noVBand="1" w:val="04A0"/>
      </w:tblPr>
      <w:tblGrid>
        <w:gridCol w:w="5040"/>
        <w:gridCol w:w="5040"/>
      </w:tblGrid>
      <w:tr>
        <w:tc>
          <w:tcPr>
            <w:tcW w:type="dxa" w:w="5040"/>
            <w:shd w:fill="1E4360"/>
          </w:tcPr>
          <w:p>
            <w:r>
              <w:rPr>
                <w:b/>
                <w:color w:val="FFFFFF"/>
              </w:rPr>
              <w:t>Area</w:t>
            </w:r>
          </w:p>
        </w:tc>
        <w:tc>
          <w:tcPr>
            <w:tcW w:type="dxa" w:w="5040"/>
            <w:shd w:fill="1E4360"/>
          </w:tcPr>
          <w:p>
            <w:r>
              <w:rPr>
                <w:b/>
                <w:color w:val="FFFFFF"/>
              </w:rPr>
              <w:t>Assessment</w:t>
            </w:r>
          </w:p>
        </w:tc>
      </w:tr>
      <w:tr>
        <w:tc>
          <w:tcPr>
            <w:tcW w:type="dxa" w:w="5040"/>
          </w:tcPr>
          <w:p>
            <w:r>
              <w:t>Concept</w:t>
            </w:r>
          </w:p>
        </w:tc>
        <w:tc>
          <w:tcPr>
            <w:tcW w:type="dxa" w:w="5040"/>
          </w:tcPr>
          <w:p>
            <w:r>
              <w:t>Very strong</w:t>
            </w:r>
          </w:p>
        </w:tc>
      </w:tr>
      <w:tr>
        <w:tc>
          <w:tcPr>
            <w:tcW w:type="dxa" w:w="5040"/>
          </w:tcPr>
          <w:p>
            <w:r>
              <w:t>Architecture</w:t>
            </w:r>
          </w:p>
        </w:tc>
        <w:tc>
          <w:tcPr>
            <w:tcW w:type="dxa" w:w="5040"/>
          </w:tcPr>
          <w:p>
            <w:r>
              <w:t>Strong and increasingly validated by real data</w:t>
            </w:r>
          </w:p>
        </w:tc>
      </w:tr>
      <w:tr>
        <w:tc>
          <w:tcPr>
            <w:tcW w:type="dxa" w:w="5040"/>
          </w:tcPr>
          <w:p>
            <w:r>
              <w:t>Implementation maturity</w:t>
            </w:r>
          </w:p>
        </w:tc>
        <w:tc>
          <w:tcPr>
            <w:tcW w:type="dxa" w:w="5040"/>
          </w:tcPr>
          <w:p>
            <w:r>
              <w:t>Early but credible</w:t>
            </w:r>
          </w:p>
        </w:tc>
      </w:tr>
      <w:tr>
        <w:tc>
          <w:tcPr>
            <w:tcW w:type="dxa" w:w="5040"/>
          </w:tcPr>
          <w:p>
            <w:r>
              <w:t>Product readiness</w:t>
            </w:r>
          </w:p>
        </w:tc>
        <w:tc>
          <w:tcPr>
            <w:tcW w:type="dxa" w:w="5040"/>
          </w:tcPr>
          <w:p>
            <w:r>
              <w:t>Internal alpha</w:t>
            </w:r>
          </w:p>
        </w:tc>
      </w:tr>
      <w:tr>
        <w:tc>
          <w:tcPr>
            <w:tcW w:type="dxa" w:w="5040"/>
          </w:tcPr>
          <w:p>
            <w:r>
              <w:t>Primary risk</w:t>
            </w:r>
          </w:p>
        </w:tc>
        <w:tc>
          <w:tcPr>
            <w:tcW w:type="dxa" w:w="5040"/>
          </w:tcPr>
          <w:p>
            <w:r>
              <w:t>Scope growth outrunning operational hardening</w:t>
            </w:r>
          </w:p>
        </w:tc>
      </w:tr>
    </w:tbl>
    <w:p>
      <w:r>
        <w:rPr>
          <w:b/>
        </w:rPr>
        <w:t xml:space="preserve">Current shape: </w:t>
      </w:r>
      <w:r>
        <w:t>Evidence capture → resolved component graph → public lookup API/UI</w:t>
      </w:r>
    </w:p>
    <w:p>
      <w:pPr>
        <w:pStyle w:val="Heading1"/>
      </w:pPr>
      <w:r>
        <w:t>What is going especially well</w:t>
      </w:r>
    </w:p>
    <w:p>
      <w:pPr>
        <w:pStyle w:val="Heading2"/>
      </w:pPr>
      <w:r>
        <w:t>1. The evidence-first approach is proving itself</w:t>
      </w:r>
    </w:p>
    <w:p>
      <w:r>
        <w:t>The project is repeatedly revising earlier conclusions when stronger evidence appears, without collapsing history or forcing certainty. That is exactly what the observation-and-claim model was intended to support.</w:t>
      </w:r>
    </w:p>
    <w:p>
      <w:pPr>
        <w:pStyle w:val="Heading2"/>
      </w:pPr>
      <w:r>
        <w:t>2. The graph vocabulary is being tested by real cases</w:t>
      </w:r>
    </w:p>
    <w:p>
      <w:r>
        <w:t>The relationship model is now being shaped by actual vendor material rather than theory. Substitutes, supersedes, contains, controls, identifier-equivalence candidates, and the newer fits relationship each capture genuinely different semantics.</w:t>
      </w:r>
    </w:p>
    <w:p>
      <w:pPr>
        <w:pStyle w:val="Heading2"/>
      </w:pPr>
      <w:r>
        <w:t>3. The resolver has become testable and reproducible</w:t>
      </w:r>
    </w:p>
    <w:p>
      <w:r>
        <w:t>Recent work repeatedly reports zero fixture mismatches and a fully passing test suite. The fixture is functioning as an executable domain specification, which is excellent discipline for a data-quality project.</w:t>
      </w:r>
    </w:p>
    <w:p>
      <w:pPr>
        <w:pStyle w:val="Heading2"/>
      </w:pPr>
      <w:r>
        <w:t>4. Stage 2 is no longer hypothetical</w:t>
      </w:r>
    </w:p>
    <w:p>
      <w:r>
        <w:t>The repository now includes public search, replacement lookup, namespace-correct labels, supersession results, query escaping, read-only SQLite connections, rotating logs, a search-first interface, a debug/admin page, and Docker wiring.</w:t>
      </w:r>
    </w:p>
    <w:p>
      <w:pPr>
        <w:pStyle w:val="Heading1"/>
      </w:pPr>
      <w:r>
        <w:t>Main concerns</w:t>
      </w:r>
    </w:p>
    <w:p>
      <w:pPr>
        <w:pStyle w:val="Heading2"/>
      </w:pPr>
      <w:r>
        <w:t>1. The README is stale</w:t>
      </w:r>
    </w:p>
    <w:p>
      <w:r>
        <w:t>The README still reflects an earlier Stage 1 snapshot and does not fully represent the newer Atwood work, expanded Coleman data, public frontend, newer edge types, or current test status. For this project, stale status documentation is especially costly because implementation state and evidence state must remain clearly separated.</w:t>
      </w:r>
    </w:p>
    <w:p>
      <w:pPr>
        <w:pStyle w:val="Heading2"/>
      </w:pPr>
      <w:r>
        <w:t>2. The persistent database build path may still be the most serious gap</w:t>
      </w:r>
    </w:p>
    <w:p>
      <w:r>
        <w:t>The repository documentation states that a fresh checkout does not automatically populate the real on-disk component database. If that remains true, the UI and API are not yet fully connected to a reproducible production data pipeline.</w:t>
      </w:r>
    </w:p>
    <w:p>
      <w:pPr>
        <w:pStyle w:val="Heading2"/>
      </w:pPr>
      <w:r>
        <w:t>3. Free-text edge types are becoming risky</w:t>
      </w:r>
    </w:p>
    <w:p>
      <w:r>
        <w:t>The newer fits relationship was easy to add because the type column accepts arbitrary text. That flexibility is useful during exploration, but the vocabulary now affects query routing, endpoint semantics, UI behavior, and resolver validation. A central enum or registry is warranted.</w:t>
      </w:r>
    </w:p>
    <w:p>
      <w:pPr>
        <w:pStyle w:val="Heading2"/>
      </w:pPr>
      <w:r>
        <w:t>4. The project is broadening quickly</w:t>
      </w:r>
    </w:p>
    <w:p>
      <w:r>
        <w:t>Suburban, Coleman-Mach, Atwood, repair parts, API, UI, Docker, vendor discovery, and debug tooling have all advanced rapidly. The pace is impressive, but vendor expansion should briefly yield to stabilization of one complete production path.</w:t>
      </w:r>
    </w:p>
    <w:p>
      <w:pPr>
        <w:pStyle w:val="Heading2"/>
      </w:pPr>
      <w:r>
        <w:t>5. Planning is not visible through open issues</w:t>
      </w:r>
    </w:p>
    <w:p>
      <w:r>
        <w:t>There were no open issues or pull requests at the time of review. For a project with this many moving parts, a lightweight issue backlog would help distinguish bugs, unresolved evidence questions, schema decisions, vendor research gaps, and product milestones.</w:t>
      </w:r>
    </w:p>
    <w:p>
      <w:pPr>
        <w:pStyle w:val="Heading1"/>
      </w:pPr>
      <w:r>
        <w:t>Where the project stands</w:t>
      </w:r>
    </w:p>
    <w:p>
      <w:pPr>
        <w:pStyle w:val="Heading2"/>
      </w:pPr>
      <w:r>
        <w:t>Stage 1: largely demonstrated, not fully operationalized</w:t>
      </w:r>
    </w:p>
    <w:p>
      <w:r>
        <w:t>The system can create and validate a meaningful graph from real evidence across multiple vendors and relationship types. The remaining work is making the rebuild process canonical, repeatable, and deployable.</w:t>
      </w:r>
    </w:p>
    <w:p>
      <w:pPr>
        <w:pStyle w:val="Heading2"/>
      </w:pPr>
      <w:r>
        <w:t>Stage 2: internal alpha</w:t>
      </w:r>
    </w:p>
    <w:p>
      <w:r>
        <w:t>The API and UI exist and exercise the intended lookup flow. Public beta readiness should wait until database generation is automated, fresh-checkout integration is proven, error states are polished, provenance explanations are consistently surfaced, and result tiers behave predictably across all current edge types.</w:t>
      </w:r>
    </w:p>
    <w:p>
      <w:pPr>
        <w:pStyle w:val="Heading1"/>
      </w:pPr>
      <w:r>
        <w:t>Recommended next five priorities</w:t>
      </w:r>
    </w:p>
    <w:p>
      <w:pPr>
        <w:ind w:left="216"/>
      </w:pPr>
      <w:r>
        <w:rPr>
          <w:b/>
        </w:rPr>
        <w:t>1. Create one canonical full rebuild command</w:t>
      </w:r>
      <w:r>
        <w:t xml:space="preserve"> — Highest-value engineering task. It should build into a temporary database, run resolver and integrity checks, and atomically replace the production database only when validation passes.</w:t>
      </w:r>
    </w:p>
    <w:p>
      <w:pPr>
        <w:ind w:left="216"/>
      </w:pPr>
      <w:r>
        <w:rPr>
          <w:b/>
        </w:rPr>
        <w:t>2. Update the README and project-status documentation</w:t>
      </w:r>
      <w:r>
        <w:t xml:space="preserve"> — Reflect Atwood, Stage 2, current test counts, database-generation behavior, and current known gaps.</w:t>
      </w:r>
    </w:p>
    <w:p>
      <w:pPr>
        <w:ind w:left="216"/>
      </w:pPr>
      <w:r>
        <w:rPr>
          <w:b/>
        </w:rPr>
        <w:t>3. Create an edge-type registry and typed validation</w:t>
      </w:r>
      <w:r>
        <w:t xml:space="preserve"> — Keep the database column textual if desired, but make every resolver, serializer, API query, and test use one authoritative vocabulary.</w:t>
      </w:r>
    </w:p>
    <w:p>
      <w:pPr>
        <w:ind w:left="216"/>
      </w:pPr>
      <w:r>
        <w:rPr>
          <w:b/>
        </w:rPr>
        <w:t>4. Add end-to-end tests against a temporary persisted database</w:t>
      </w:r>
      <w:r>
        <w:t xml:space="preserve"> — Start from observations, build the database, call the public API, and verify user-visible results for golden cases.</w:t>
      </w:r>
    </w:p>
    <w:p>
      <w:pPr>
        <w:ind w:left="216"/>
      </w:pPr>
      <w:r>
        <w:rPr>
          <w:b/>
        </w:rPr>
        <w:t>5. Pause vendor expansion for one short stabilization cycle</w:t>
      </w:r>
      <w:r>
        <w:t xml:space="preserve"> — Harden Suburban, Coleman-Mach, and Atwood before opening additional major vendor arcs.</w:t>
      </w:r>
    </w:p>
    <w:p>
      <w:pPr>
        <w:pStyle w:val="Heading1"/>
      </w:pPr>
      <w:r>
        <w:t>Suggested stabilization set</w:t>
      </w:r>
    </w:p>
    <w:p>
      <w:r>
        <w:t>Use a small number of golden end-to-end cases to validate the complete pipeline:</w:t>
      </w:r>
    </w:p>
    <w:p>
      <w:pPr>
        <w:pStyle w:val="ListBullet"/>
      </w:pPr>
      <w:r>
        <w:t>SW6DEL / SW6DE directional replacement behavior</w:t>
      </w:r>
    </w:p>
    <w:p>
      <w:pPr>
        <w:pStyle w:val="ListBullet"/>
      </w:pPr>
      <w:r>
        <w:t>One Coleman-Mach thermostat supersession chain</w:t>
      </w:r>
    </w:p>
    <w:p>
      <w:pPr>
        <w:pStyle w:val="ListBullet"/>
      </w:pPr>
      <w:r>
        <w:t>One Atwood repair part with multiple fits edges</w:t>
      </w:r>
    </w:p>
    <w:p>
      <w:pPr>
        <w:pStyle w:val="ListBullet"/>
      </w:pPr>
      <w:r>
        <w:t>One identifier-equivalence candidate that remains unresolved</w:t>
      </w:r>
    </w:p>
    <w:p>
      <w:pPr>
        <w:pStyle w:val="Heading1"/>
      </w:pPr>
      <w:r>
        <w:t>Bottom line</w:t>
      </w:r>
    </w:p>
    <w:p>
      <w:r>
        <w:rPr>
          <w:b/>
        </w:rPr>
        <w:t xml:space="preserve">RV Interchange is in very good shape. </w:t>
      </w:r>
      <w:r>
        <w:t>The original thesis has survived contact with real data, and the architecture is helping preserve vendor complexity instead of flattening it. The central question is no longer whether the model works. The next milestone is proving that the entire evidence-to-lookup pipeline can be rebuilt and deployed reliably through one documented command.</w:t>
      </w:r>
    </w:p>
    <w:p>
      <w:pPr>
        <w:spacing w:before="240"/>
      </w:pPr>
      <w:r>
        <w:rPr>
          <w:b/>
        </w:rPr>
        <w:t xml:space="preserve">Review basis: </w:t>
      </w:r>
      <w:r>
        <w:t>Current repository metadata, README, recent commit history, and open issue/pull-request status reviewed on August 5, 2026. This document is an engineering and product-maturity assessment, not a formal code audit or security review.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RV Interchange Project Status Review — August 5,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