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Design Review #003</w:t>
      </w:r>
    </w:p>
    <w:p>
      <w:pPr>
        <w:jc w:val="center"/>
      </w:pPr>
      <w:r>
        <w:rPr>
          <w:b/>
          <w:sz w:val="36"/>
        </w:rPr>
        <w:t>The RV Component Knowledge Graph</w:t>
      </w:r>
    </w:p>
    <w:p>
      <w:pPr>
        <w:jc w:val="center"/>
      </w:pPr>
      <w:r>
        <w:rPr>
          <w:i/>
          <w:sz w:val="22"/>
        </w:rPr>
        <w:t>A relationship-driven foundation for interchange, identification, and marketplace services</w:t>
      </w:r>
    </w:p>
    <w:p>
      <w:pPr>
        <w:jc w:val="center"/>
      </w:pPr>
      <w:r>
        <w:rPr>
          <w:sz w:val="18"/>
        </w:rPr>
        <w:t>Date: July 29, 2026  |  Status: Concept and Architecture Review</w:t>
      </w:r>
    </w:p>
    <w:p/>
    <w:p>
      <w:pPr>
        <w:pStyle w:val="Heading1"/>
      </w:pPr>
      <w:r>
        <w:t>Executive Summary</w:t>
      </w:r>
    </w:p>
    <w:p>
      <w:r>
        <w:t>The proposed RV interchange system is already evolving beyond a conventional catalog. Its components, identifiers, assemblies, manuals, observations, listings, and compatibility decisions form a network of relationships. That network can be modeled as an RV Component Knowledge Graph.</w:t>
      </w:r>
    </w:p>
    <w:p>
      <w:r>
        <w:t>The public interchange number remains useful as a short, stable reference. However, the real long-term asset is the graph behind that number: a living evidence network that explains what a component is, what it connects to, what can replace it, under what conditions, and why the system believes that conclusion.</w:t>
      </w:r>
    </w:p>
    <w:p>
      <w:pPr>
        <w:pStyle w:val="Heading1"/>
      </w:pPr>
      <w:r>
        <w:t>What “Graph” Means</w:t>
      </w:r>
    </w:p>
    <w:p>
      <w:r>
        <w:t>In this context, a graph is not a chart. It is a data model made of nodes and relationships.</w:t>
      </w:r>
    </w:p>
    <w:p>
      <w:pPr>
        <w:spacing w:before="60" w:after="120"/>
        <w:ind w:left="504"/>
      </w:pPr>
      <w:r>
        <w:rPr>
          <w:rFonts w:ascii="Liberation Mono" w:hAnsi="Liberation Mono"/>
          <w:sz w:val="18"/>
        </w:rPr>
        <w:t>Node  -- relationship --&gt;  Node</w:t>
      </w:r>
    </w:p>
    <w:p>
      <w:r>
        <w:t>Examples:</w:t>
      </w:r>
    </w:p>
    <w:p>
      <w:pPr>
        <w:spacing w:before="60" w:after="120"/>
        <w:ind w:left="504"/>
      </w:pPr>
      <w:r>
        <w:rPr>
          <w:rFonts w:ascii="Liberation Mono" w:hAnsi="Liberation Mono"/>
          <w:sz w:val="18"/>
        </w:rPr>
        <w:t>SW6DEL -- alias --&gt; 5240A</w:t>
        <w:br/>
        <w:t>SW6DEL -- substitutes --&gt; SW6DE</w:t>
        <w:br/>
        <w:t>Wall Switch -- controls --&gt; SW6DEL</w:t>
        <w:br/>
        <w:t>SW6DEL -- installed_in --&gt; RV Model</w:t>
        <w:br/>
        <w:t>Manual -- mentions --&gt; SW6DEL</w:t>
        <w:br/>
        <w:t>Observation -- supports --&gt; substitution claim</w:t>
      </w:r>
    </w:p>
    <w:p>
      <w:r>
        <w:t>A traditional relational database can still store this information. The term “graph” describes the way the domain is modeled and queried: by traversing relationships rather than relying only on flat lookup tables.</w:t>
      </w:r>
    </w:p>
    <w:p>
      <w:pPr>
        <w:pStyle w:val="Heading1"/>
      </w:pPr>
      <w:r>
        <w:t>Traditional Catalog vs. Knowledge Graph</w:t>
      </w:r>
    </w:p>
    <w:p>
      <w:pPr>
        <w:pStyle w:val="Heading2"/>
      </w:pPr>
      <w:r>
        <w:t>Traditional Catalog</w:t>
      </w:r>
    </w:p>
    <w:p>
      <w:pPr>
        <w:spacing w:before="60" w:after="120"/>
        <w:ind w:left="504"/>
      </w:pPr>
      <w:r>
        <w:rPr>
          <w:rFonts w:ascii="Liberation Mono" w:hAnsi="Liberation Mono"/>
          <w:sz w:val="18"/>
        </w:rPr>
        <w:t>Part Number</w:t>
        <w:br/>
        <w:t xml:space="preserve">   ↓</w:t>
        <w:br/>
        <w:t>Interchange Number</w:t>
        <w:br/>
        <w:t xml:space="preserve">   ↓</w:t>
        <w:br/>
        <w:t>Compatible Parts</w:t>
      </w:r>
    </w:p>
    <w:p>
      <w:r>
        <w:t>This is useful, but it usually answers only one question: “What else replaces this part?”</w:t>
      </w:r>
    </w:p>
    <w:p>
      <w:pPr>
        <w:pStyle w:val="Heading2"/>
      </w:pPr>
      <w:r>
        <w:t>Knowledge Graph</w:t>
      </w:r>
    </w:p>
    <w:p>
      <w:pPr>
        <w:spacing w:before="60" w:after="120"/>
        <w:ind w:left="504"/>
      </w:pPr>
      <w:r>
        <w:rPr>
          <w:rFonts w:ascii="Liberation Mono" w:hAnsi="Liberation Mono"/>
          <w:sz w:val="18"/>
        </w:rPr>
        <w:t>Component</w:t>
        <w:br/>
        <w:t xml:space="preserve"> ├─ alias → Manufacturer Number</w:t>
        <w:br/>
        <w:t xml:space="preserve"> ├─ superseded_by → New Component</w:t>
        <w:br/>
        <w:t xml:space="preserve"> ├─ substitutes → Alternative Component</w:t>
        <w:br/>
        <w:t xml:space="preserve"> ├─ controlled_by → Switch or Panel</w:t>
        <w:br/>
        <w:t xml:space="preserve"> ├─ contains → Subassembly</w:t>
        <w:br/>
        <w:t xml:space="preserve"> ├─ requires → Wiring / Relay / Control System</w:t>
        <w:br/>
        <w:t xml:space="preserve"> ├─ installed_in → RV Model or Assembly</w:t>
        <w:br/>
        <w:t xml:space="preserve"> ├─ documented_by → Manual</w:t>
        <w:br/>
        <w:t xml:space="preserve"> ├─ supported_by → Observation</w:t>
        <w:br/>
        <w:t xml:space="preserve"> └─ offered_as → Marketplace Listing</w:t>
      </w:r>
    </w:p>
    <w:p>
      <w:r>
        <w:t>The graph answers broader questions and preserves the reasons behind the answers.</w:t>
      </w:r>
    </w:p>
    <w:p>
      <w:pPr>
        <w:pStyle w:val="Heading1"/>
      </w:pPr>
      <w:r>
        <w:t>Core Node Types</w:t>
      </w:r>
    </w:p>
    <w:p>
      <w:r>
        <w:t>The following objects can become nodes in the graph:</w:t>
      </w:r>
    </w:p>
    <w:p>
      <w:pPr>
        <w:pStyle w:val="ListBullet"/>
      </w:pPr>
      <w:r>
        <w:t>Component design</w:t>
      </w:r>
    </w:p>
    <w:p>
      <w:pPr>
        <w:pStyle w:val="ListBullet"/>
      </w:pPr>
      <w:r>
        <w:t>Manufacturer identifier or SKU</w:t>
      </w:r>
    </w:p>
    <w:p>
      <w:pPr>
        <w:pStyle w:val="ListBullet"/>
      </w:pPr>
      <w:r>
        <w:t>Component variant</w:t>
      </w:r>
    </w:p>
    <w:p>
      <w:pPr>
        <w:pStyle w:val="ListBullet"/>
      </w:pPr>
      <w:r>
        <w:t>Assembly and subassembly</w:t>
      </w:r>
    </w:p>
    <w:p>
      <w:pPr>
        <w:pStyle w:val="ListBullet"/>
      </w:pPr>
      <w:r>
        <w:t>Part type</w:t>
      </w:r>
    </w:p>
    <w:p>
      <w:pPr>
        <w:pStyle w:val="ListBullet"/>
      </w:pPr>
      <w:r>
        <w:t>Manufacturer or brand</w:t>
      </w:r>
    </w:p>
    <w:p>
      <w:pPr>
        <w:pStyle w:val="ListBullet"/>
      </w:pPr>
      <w:r>
        <w:t>RV model, floorplan, or production range</w:t>
      </w:r>
    </w:p>
    <w:p>
      <w:pPr>
        <w:pStyle w:val="ListBullet"/>
      </w:pPr>
      <w:r>
        <w:t>Manual, service bulletin, and wiring diagram</w:t>
      </w:r>
    </w:p>
    <w:p>
      <w:pPr>
        <w:pStyle w:val="ListBullet"/>
      </w:pPr>
      <w:r>
        <w:t>Measurement and specification claim</w:t>
      </w:r>
    </w:p>
    <w:p>
      <w:pPr>
        <w:pStyle w:val="ListBullet"/>
      </w:pPr>
      <w:r>
        <w:t>Photo, dataplate image, and OCR result</w:t>
      </w:r>
    </w:p>
    <w:p>
      <w:pPr>
        <w:pStyle w:val="ListBullet"/>
      </w:pPr>
      <w:r>
        <w:t>Observation or evidence source</w:t>
      </w:r>
    </w:p>
    <w:p>
      <w:pPr>
        <w:pStyle w:val="ListBullet"/>
      </w:pPr>
      <w:r>
        <w:t>Installation report and failure report</w:t>
      </w:r>
    </w:p>
    <w:p>
      <w:pPr>
        <w:pStyle w:val="ListBullet"/>
      </w:pPr>
      <w:r>
        <w:t>Marketplace listing and inventory item</w:t>
      </w:r>
    </w:p>
    <w:p>
      <w:pPr>
        <w:pStyle w:val="ListBullet"/>
      </w:pPr>
      <w:r>
        <w:t>Dealer, salvage yard, supplier, or seller</w:t>
      </w:r>
    </w:p>
    <w:p>
      <w:pPr>
        <w:pStyle w:val="Heading1"/>
      </w:pPr>
      <w:r>
        <w:t>Core Relationship Types</w:t>
      </w:r>
    </w:p>
    <w:p>
      <w:r>
        <w:t>Relationships carry the useful meaning of the system. Examples include:</w:t>
      </w:r>
    </w:p>
    <w:p>
      <w:pPr>
        <w:pStyle w:val="ListBullet"/>
      </w:pPr>
      <w:r>
        <w:t>alias_of</w:t>
      </w:r>
    </w:p>
    <w:p>
      <w:pPr>
        <w:pStyle w:val="ListBullet"/>
      </w:pPr>
      <w:r>
        <w:t>supersedes / superseded_by</w:t>
      </w:r>
    </w:p>
    <w:p>
      <w:pPr>
        <w:pStyle w:val="ListBullet"/>
      </w:pPr>
      <w:r>
        <w:t>substitutes_for</w:t>
      </w:r>
    </w:p>
    <w:p>
      <w:pPr>
        <w:pStyle w:val="ListBullet"/>
      </w:pPr>
      <w:r>
        <w:t>drop_in_replacement_for</w:t>
      </w:r>
    </w:p>
    <w:p>
      <w:pPr>
        <w:pStyle w:val="ListBullet"/>
      </w:pPr>
      <w:r>
        <w:t>fits_with_caveat</w:t>
      </w:r>
    </w:p>
    <w:p>
      <w:pPr>
        <w:pStyle w:val="ListBullet"/>
      </w:pPr>
      <w:r>
        <w:t>contains / part_of</w:t>
      </w:r>
    </w:p>
    <w:p>
      <w:pPr>
        <w:pStyle w:val="ListBullet"/>
      </w:pPr>
      <w:r>
        <w:t>controls / controlled_by</w:t>
      </w:r>
    </w:p>
    <w:p>
      <w:pPr>
        <w:pStyle w:val="ListBullet"/>
      </w:pPr>
      <w:r>
        <w:t>requires_system</w:t>
      </w:r>
    </w:p>
    <w:p>
      <w:pPr>
        <w:pStyle w:val="ListBullet"/>
      </w:pPr>
      <w:r>
        <w:t>shares_subassembly_with</w:t>
      </w:r>
    </w:p>
    <w:p>
      <w:pPr>
        <w:pStyle w:val="ListBullet"/>
      </w:pPr>
      <w:r>
        <w:t>installed_in</w:t>
      </w:r>
    </w:p>
    <w:p>
      <w:pPr>
        <w:pStyle w:val="ListBullet"/>
      </w:pPr>
      <w:r>
        <w:t>documented_by</w:t>
      </w:r>
    </w:p>
    <w:p>
      <w:pPr>
        <w:pStyle w:val="ListBullet"/>
      </w:pPr>
      <w:r>
        <w:t>mentions</w:t>
      </w:r>
    </w:p>
    <w:p>
      <w:pPr>
        <w:pStyle w:val="ListBullet"/>
      </w:pPr>
      <w:r>
        <w:t>supports_claim</w:t>
      </w:r>
    </w:p>
    <w:p>
      <w:pPr>
        <w:pStyle w:val="ListBullet"/>
      </w:pPr>
      <w:r>
        <w:t>contradicts_claim</w:t>
      </w:r>
    </w:p>
    <w:p>
      <w:pPr>
        <w:pStyle w:val="ListBullet"/>
      </w:pPr>
      <w:r>
        <w:t>listed_as</w:t>
      </w:r>
    </w:p>
    <w:p>
      <w:pPr>
        <w:pStyle w:val="ListBullet"/>
      </w:pPr>
      <w:r>
        <w:t>manufactured_by</w:t>
      </w:r>
    </w:p>
    <w:p>
      <w:pPr>
        <w:pStyle w:val="Heading1"/>
      </w:pPr>
      <w:r>
        <w:t>Why Direction Matters</w:t>
      </w:r>
    </w:p>
    <w:p>
      <w:r>
        <w:t>Compatibility is frequently asymmetric. A replacement that works in one direction may lose functionality in the reverse direction.</w:t>
      </w:r>
    </w:p>
    <w:p>
      <w:pPr>
        <w:spacing w:before="60" w:after="120"/>
        <w:ind w:left="504"/>
      </w:pPr>
      <w:r>
        <w:rPr>
          <w:rFonts w:ascii="Liberation Mono" w:hAnsi="Liberation Mono"/>
          <w:sz w:val="18"/>
        </w:rPr>
        <w:t>SW6DE → SW6DEL</w:t>
        <w:br/>
        <w:t>Verdict: Drop-in upgrade</w:t>
        <w:br/>
        <w:br/>
        <w:t>SW6DEL → SW6DE</w:t>
        <w:br/>
        <w:t>Verdict: Fits with caveat</w:t>
        <w:br/>
        <w:t>Effect: Interior electric switching may no longer function</w:t>
      </w:r>
    </w:p>
    <w:p>
      <w:r>
        <w:t>A graph naturally supports two separate directed relationships with different evidence, confidence, caveats, and installation instructions.</w:t>
      </w:r>
    </w:p>
    <w:p>
      <w:pPr>
        <w:pStyle w:val="Heading1"/>
      </w:pPr>
      <w:r>
        <w:t>The Role of the Interchange Number</w:t>
      </w:r>
    </w:p>
    <w:p>
      <w:r>
        <w:t>The interchange number remains the public shorthand for a replacement family. It should not contain the full compatibility logic.</w:t>
      </w:r>
    </w:p>
    <w:p>
      <w:pPr>
        <w:spacing w:before="60" w:after="120"/>
        <w:ind w:left="504"/>
      </w:pPr>
      <w:r>
        <w:rPr>
          <w:rFonts w:ascii="Liberation Mono" w:hAnsi="Liberation Mono"/>
          <w:sz w:val="18"/>
        </w:rPr>
        <w:t>Public handle: 412-0087-B</w:t>
        <w:br/>
        <w:br/>
        <w:t>Graph truth:</w:t>
        <w:br/>
        <w:t>Component identity</w:t>
        <w:br/>
        <w:t>+ aliases</w:t>
        <w:br/>
        <w:t>+ specifications</w:t>
        <w:br/>
        <w:t>+ directional substitution edges</w:t>
        <w:br/>
        <w:t>+ caveats</w:t>
        <w:br/>
        <w:t>+ supporting observations</w:t>
      </w:r>
    </w:p>
    <w:p>
      <w:r>
        <w:t>The number is useful for labels, phone calls, inventory exports, and dealer communication. The graph explains what the number actually means.</w:t>
      </w:r>
    </w:p>
    <w:p>
      <w:pPr>
        <w:pStyle w:val="Heading1"/>
      </w:pPr>
      <w:r>
        <w:t>Example: Search for SW6DEL</w:t>
      </w:r>
    </w:p>
    <w:p>
      <w:r>
        <w:t>A traditional lookup may return a short compatibility list. A graph-backed lookup can return:</w:t>
      </w:r>
    </w:p>
    <w:p>
      <w:pPr>
        <w:pStyle w:val="ListBullet"/>
      </w:pPr>
      <w:r>
        <w:t>Exact component identity</w:t>
      </w:r>
    </w:p>
    <w:p>
      <w:pPr>
        <w:pStyle w:val="ListBullet"/>
      </w:pPr>
      <w:r>
        <w:t>Current and historical manufacturer numbers</w:t>
      </w:r>
    </w:p>
    <w:p>
      <w:pPr>
        <w:pStyle w:val="ListBullet"/>
      </w:pPr>
      <w:r>
        <w:t>Interchange family and variant</w:t>
      </w:r>
    </w:p>
    <w:p>
      <w:pPr>
        <w:pStyle w:val="ListBullet"/>
      </w:pPr>
      <w:r>
        <w:t>Verified drop-in replacements</w:t>
      </w:r>
    </w:p>
    <w:p>
      <w:pPr>
        <w:pStyle w:val="ListBullet"/>
      </w:pPr>
      <w:r>
        <w:t>Caveated replacements in each direction</w:t>
      </w:r>
    </w:p>
    <w:p>
      <w:pPr>
        <w:pStyle w:val="ListBullet"/>
      </w:pPr>
      <w:r>
        <w:t>Required switch, relay, or control system</w:t>
      </w:r>
    </w:p>
    <w:p>
      <w:pPr>
        <w:pStyle w:val="ListBullet"/>
      </w:pPr>
      <w:r>
        <w:t>Shared control boards and repair parts</w:t>
      </w:r>
    </w:p>
    <w:p>
      <w:pPr>
        <w:pStyle w:val="ListBullet"/>
      </w:pPr>
      <w:r>
        <w:t>Known RV installations</w:t>
      </w:r>
    </w:p>
    <w:p>
      <w:pPr>
        <w:pStyle w:val="ListBullet"/>
      </w:pPr>
      <w:r>
        <w:t>Manuals and wiring diagrams</w:t>
      </w:r>
    </w:p>
    <w:p>
      <w:pPr>
        <w:pStyle w:val="ListBullet"/>
      </w:pPr>
      <w:r>
        <w:t>Confidence and evidence behind each conclusion</w:t>
      </w:r>
    </w:p>
    <w:p>
      <w:pPr>
        <w:pStyle w:val="ListBullet"/>
      </w:pPr>
      <w:r>
        <w:t>Available marketplace listings for exact and compatible parts</w:t>
      </w:r>
    </w:p>
    <w:p>
      <w:pPr>
        <w:pStyle w:val="Heading1"/>
      </w:pPr>
      <w:r>
        <w:t>Graph-Based Identification</w:t>
      </w:r>
    </w:p>
    <w:p>
      <w:r>
        <w:t>The graph becomes especially valuable when a user does not know the part number. A photo, measurement, connector, dataplate fragment, or mounting pattern can each contribute evidence.</w:t>
      </w:r>
    </w:p>
    <w:p>
      <w:pPr>
        <w:spacing w:before="60" w:after="120"/>
        <w:ind w:left="504"/>
      </w:pPr>
      <w:r>
        <w:rPr>
          <w:rFonts w:ascii="Liberation Mono" w:hAnsi="Liberation Mono"/>
          <w:sz w:val="18"/>
        </w:rPr>
        <w:t>Uploaded Photo</w:t>
        <w:br/>
        <w:t xml:space="preserve">   ↓ identifies features</w:t>
        <w:br/>
        <w:t>Door shape + vent pattern + dataplate text + connector</w:t>
        <w:br/>
        <w:t xml:space="preserve">   ↓ supports candidates</w:t>
        <w:br/>
        <w:t>SW6DEL: 92%</w:t>
        <w:br/>
        <w:t>SW6DE: 88%</w:t>
        <w:br/>
        <w:t xml:space="preserve">   ↓ asks next best question</w:t>
        <w:br/>
        <w:t>“What is the cabinet depth?”</w:t>
      </w:r>
    </w:p>
    <w:p>
      <w:r>
        <w:t>This allows the identification tool to reason through multiple connected clues instead of depending on one perfect lookup key.</w:t>
      </w:r>
    </w:p>
    <w:p>
      <w:pPr>
        <w:pStyle w:val="Heading1"/>
      </w:pPr>
      <w:r>
        <w:t>Evidence and Confidence</w:t>
      </w:r>
    </w:p>
    <w:p>
      <w:r>
        <w:t>Every important relationship should link back to evidence. A substitution edge should not merely exist; it should be explainable.</w:t>
      </w:r>
    </w:p>
    <w:p>
      <w:pPr>
        <w:spacing w:before="60" w:after="120"/>
        <w:ind w:left="504"/>
      </w:pPr>
      <w:r>
        <w:rPr>
          <w:rFonts w:ascii="Liberation Mono" w:hAnsi="Liberation Mono"/>
          <w:sz w:val="18"/>
        </w:rPr>
        <w:t>Component A -- fits_with_caveat --&gt; Component B</w:t>
        <w:br/>
        <w:t xml:space="preserve">        ├─ supported_by → Service bulletin</w:t>
        <w:br/>
        <w:t xml:space="preserve">        ├─ supported_by → 12 successful installs</w:t>
        <w:br/>
        <w:t xml:space="preserve">        ├─ contradicted_by → 1 failed installation</w:t>
        <w:br/>
        <w:t xml:space="preserve">        ├─ requires → Relay configuration</w:t>
        <w:br/>
        <w:t xml:space="preserve">        └─ confidence → 0.94</w:t>
      </w:r>
    </w:p>
    <w:p>
      <w:r>
        <w:t>This makes the database auditable, correctable, and capable of improving as new evidence arrives.</w:t>
      </w:r>
    </w:p>
    <w:p>
      <w:pPr>
        <w:pStyle w:val="Heading1"/>
      </w:pPr>
      <w:r>
        <w:t>Marketplace as an Application on the Graph</w:t>
      </w:r>
    </w:p>
    <w:p>
      <w:r>
        <w:t>The marketplace should be one application built on top of the knowledge graph rather than the core product.</w:t>
      </w:r>
    </w:p>
    <w:p>
      <w:pPr>
        <w:spacing w:before="60" w:after="120"/>
        <w:ind w:left="504"/>
      </w:pPr>
      <w:r>
        <w:rPr>
          <w:rFonts w:ascii="Liberation Mono" w:hAnsi="Liberation Mono"/>
          <w:sz w:val="18"/>
        </w:rPr>
        <w:t>Knowledge Graph</w:t>
        <w:br/>
        <w:t xml:space="preserve"> ├─ Free part lookup</w:t>
        <w:br/>
        <w:t xml:space="preserve"> ├─ Photo-assisted identification</w:t>
        <w:br/>
        <w:t xml:space="preserve"> ├─ Dealer catalog tools</w:t>
        <w:br/>
        <w:t xml:space="preserve"> ├─ Salvage-yard inventory matching</w:t>
        <w:br/>
        <w:t xml:space="preserve"> ├─ Repair guidance</w:t>
        <w:br/>
        <w:t xml:space="preserve"> └─ Marketplace listings</w:t>
      </w:r>
    </w:p>
    <w:p>
      <w:r>
        <w:t>A listing connects a real sellable item to an exact component or variant. The graph then determines which buyers should see it and what caveats must be shown.</w:t>
      </w:r>
    </w:p>
    <w:p>
      <w:pPr>
        <w:pStyle w:val="Heading1"/>
      </w:pPr>
      <w:r>
        <w:t>Potential Competitive Advantage</w:t>
      </w:r>
    </w:p>
    <w:p>
      <w:r>
        <w:t>Most competitors maintain catalogs. A graph-backed platform can maintain a continuously improving body of connected evidence.</w:t>
      </w:r>
    </w:p>
    <w:p>
      <w:pPr>
        <w:pStyle w:val="ListBullet"/>
      </w:pPr>
      <w:r>
        <w:t>Every search can reveal missing identifiers.</w:t>
      </w:r>
    </w:p>
    <w:p>
      <w:pPr>
        <w:pStyle w:val="ListBullet"/>
      </w:pPr>
      <w:r>
        <w:t>Every uploaded photo can strengthen recognition.</w:t>
      </w:r>
    </w:p>
    <w:p>
      <w:pPr>
        <w:pStyle w:val="ListBullet"/>
      </w:pPr>
      <w:r>
        <w:t>Every successful installation can strengthen an edge.</w:t>
      </w:r>
    </w:p>
    <w:p>
      <w:pPr>
        <w:pStyle w:val="ListBullet"/>
      </w:pPr>
      <w:r>
        <w:t>Every failed installation can expose a caveat or incorrect grouping.</w:t>
      </w:r>
    </w:p>
    <w:p>
      <w:pPr>
        <w:pStyle w:val="ListBullet"/>
      </w:pPr>
      <w:r>
        <w:t>Every listing can improve availability data.</w:t>
      </w:r>
    </w:p>
    <w:p>
      <w:pPr>
        <w:pStyle w:val="ListBullet"/>
      </w:pPr>
      <w:r>
        <w:t>Every manual can connect additional components and assemblies.</w:t>
      </w:r>
    </w:p>
    <w:p>
      <w:r>
        <w:t>Over time, the difficult-to-copy asset is not the user interface or the marketplace. It is the accumulated network of verified relationships and evidence.</w:t>
      </w:r>
    </w:p>
    <w:p>
      <w:pPr>
        <w:pStyle w:val="Heading1"/>
      </w:pPr>
      <w:r>
        <w:t>Implementation Recommendation</w:t>
      </w:r>
    </w:p>
    <w:p>
      <w:r>
        <w:t>The project does not need to adopt a dedicated graph database immediately. PostgreSQL can support the first implementation with explicit node and edge tables.</w:t>
      </w:r>
    </w:p>
    <w:p>
      <w:pPr>
        <w:spacing w:before="60" w:after="120"/>
        <w:ind w:left="504"/>
      </w:pPr>
      <w:r>
        <w:rPr>
          <w:rFonts w:ascii="Liberation Mono" w:hAnsi="Liberation Mono"/>
          <w:sz w:val="18"/>
        </w:rPr>
        <w:t>components</w:t>
        <w:br/>
        <w:t>identifiers</w:t>
        <w:br/>
        <w:t>observations</w:t>
        <w:br/>
        <w:t>claims</w:t>
        <w:br/>
        <w:t>relationships</w:t>
        <w:br/>
        <w:t>relationship_evidence</w:t>
        <w:br/>
        <w:t>interchange_groups</w:t>
        <w:br/>
        <w:t>listings</w:t>
      </w:r>
    </w:p>
    <w:p>
      <w:r>
        <w:t>The important decision is to preserve graph semantics in the schema: directed edges, typed relationships, evidence links, and independent confidence by direction. A dedicated graph engine can be evaluated later if traversal complexity or scale justifies it.</w:t>
      </w:r>
    </w:p>
    <w:p>
      <w:pPr>
        <w:pStyle w:val="Heading1"/>
      </w:pPr>
      <w:r>
        <w:t>Recommended First Graph Slice</w:t>
      </w:r>
    </w:p>
    <w:p>
      <w:r>
        <w:t>Start with one deeply modeled product family rather than attempting the entire RV domain.</w:t>
      </w:r>
    </w:p>
    <w:p>
      <w:pPr>
        <w:pStyle w:val="ListBullet"/>
      </w:pPr>
      <w:r>
        <w:t>Suburban SW-series water heater components</w:t>
      </w:r>
    </w:p>
    <w:p>
      <w:pPr>
        <w:pStyle w:val="ListBullet"/>
      </w:pPr>
      <w:r>
        <w:t>Manufacturer identifiers and aliases</w:t>
      </w:r>
    </w:p>
    <w:p>
      <w:pPr>
        <w:pStyle w:val="ListBullet"/>
      </w:pPr>
      <w:r>
        <w:t>Exact and caveated substitutions</w:t>
      </w:r>
    </w:p>
    <w:p>
      <w:pPr>
        <w:pStyle w:val="ListBullet"/>
      </w:pPr>
      <w:r>
        <w:t>Switch and relay relationships</w:t>
      </w:r>
    </w:p>
    <w:p>
      <w:pPr>
        <w:pStyle w:val="ListBullet"/>
      </w:pPr>
      <w:r>
        <w:t>Service parts and contained subassemblies</w:t>
      </w:r>
    </w:p>
    <w:p>
      <w:pPr>
        <w:pStyle w:val="ListBullet"/>
      </w:pPr>
      <w:r>
        <w:t>Manuals, measurements, and evidence observations</w:t>
      </w:r>
    </w:p>
    <w:p>
      <w:pPr>
        <w:pStyle w:val="ListBullet"/>
      </w:pPr>
      <w:r>
        <w:t>A small set of known RV installations</w:t>
      </w:r>
    </w:p>
    <w:p>
      <w:r>
        <w:t>This first slice should prove that a lookup result can be generated entirely by traversing the graph rather than through hardcoded UI logic.</w:t>
      </w:r>
    </w:p>
    <w:p>
      <w:pPr>
        <w:pStyle w:val="Heading1"/>
      </w:pPr>
      <w:r>
        <w:t>Final Recommendation</w:t>
      </w:r>
    </w:p>
    <w:p>
      <w:r>
        <w:t>Continue using the interchange number as the stable public reference, but design the underlying product as an RV Component Knowledge Graph.</w:t>
      </w:r>
    </w:p>
    <w:p>
      <w:r>
        <w:t>The graph should become the authoritative layer that connects identity, compatibility, evidence, assemblies, documentation, installations, and marketplace inventory. That approach preserves the practical strengths of Hollander-style numbering while adding the richer reasoning required for RV components.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RV Parts Marketplace — Design Review #003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Review #003 - The RV Component Knowledge Graph</dc:title>
  <dc:subject>RV parts interchange architecture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