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37C5" w:rsidRDefault="003637C5" w:rsidP="003637C5">
      <w:pPr>
        <w:pStyle w:val="ListParagraph"/>
        <w:numPr>
          <w:ilvl w:val="0"/>
          <w:numId w:val="1"/>
        </w:numPr>
      </w:pPr>
      <w:bookmarkStart w:id="0" w:name="_Hlk34568720"/>
      <w:bookmarkEnd w:id="0"/>
      <w:r>
        <w:t>Analytical Calculations</w:t>
      </w:r>
      <w:r w:rsidR="000D1418">
        <w:t xml:space="preserve"> </w:t>
      </w:r>
    </w:p>
    <w:p w:rsidR="00E80334" w:rsidRDefault="00E80334" w:rsidP="00E80334">
      <w:r>
        <w:t>a)</w:t>
      </w:r>
    </w:p>
    <w:p w:rsidR="0023087D" w:rsidRPr="00320DC7" w:rsidRDefault="0023087D" w:rsidP="00E80334">
      <w:r>
        <w:tab/>
        <w:t>In order to ease analytical calculation</w:t>
      </w:r>
      <w:r w:rsidR="00320DC7">
        <w:t xml:space="preserve">s, it is assumed that there is no fringing flux, flux is distributed homogenously and the core is infinitely permeable. The reluctance and inductance values of the motor is calculated in two rotor positions which are </w:t>
      </w:r>
      <w:r w:rsidR="00320DC7">
        <w:rPr>
          <w:rFonts w:cstheme="minorHAnsi"/>
        </w:rPr>
        <w:t xml:space="preserve">θ is equal to 0 and 90 degrees. The reluctance and inductance at </w:t>
      </w:r>
      <w:r w:rsidR="00320DC7">
        <w:rPr>
          <w:rFonts w:cstheme="minorHAnsi"/>
        </w:rPr>
        <w:t>θ</w:t>
      </w:r>
      <w:r w:rsidR="00320DC7">
        <w:rPr>
          <w:rFonts w:cstheme="minorHAnsi"/>
        </w:rPr>
        <w:t xml:space="preserve"> is equal to 0 is called as R</w:t>
      </w:r>
      <w:r w:rsidR="00320DC7">
        <w:rPr>
          <w:rFonts w:cstheme="minorHAnsi"/>
          <w:vertAlign w:val="subscript"/>
        </w:rPr>
        <w:t>d</w:t>
      </w:r>
      <w:r w:rsidR="00320DC7">
        <w:rPr>
          <w:rFonts w:cstheme="minorHAnsi"/>
        </w:rPr>
        <w:t xml:space="preserve"> and L</w:t>
      </w:r>
      <w:r w:rsidR="00320DC7">
        <w:rPr>
          <w:rFonts w:cstheme="minorHAnsi"/>
          <w:vertAlign w:val="subscript"/>
        </w:rPr>
        <w:t>d</w:t>
      </w:r>
      <w:r w:rsidR="00320DC7">
        <w:rPr>
          <w:rFonts w:cstheme="minorHAnsi"/>
        </w:rPr>
        <w:t xml:space="preserve"> whereas the reluctance and inductance at </w:t>
      </w:r>
      <w:r w:rsidR="00320DC7">
        <w:rPr>
          <w:rFonts w:cstheme="minorHAnsi"/>
        </w:rPr>
        <w:t xml:space="preserve">θ is equal to </w:t>
      </w:r>
      <w:r w:rsidR="00320DC7">
        <w:rPr>
          <w:rFonts w:cstheme="minorHAnsi"/>
        </w:rPr>
        <w:t>9</w:t>
      </w:r>
      <w:r w:rsidR="00320DC7">
        <w:rPr>
          <w:rFonts w:cstheme="minorHAnsi"/>
        </w:rPr>
        <w:t>0 is called as R</w:t>
      </w:r>
      <w:r w:rsidR="00320DC7">
        <w:rPr>
          <w:rFonts w:cstheme="minorHAnsi"/>
          <w:vertAlign w:val="subscript"/>
        </w:rPr>
        <w:t>q</w:t>
      </w:r>
      <w:r w:rsidR="00320DC7">
        <w:rPr>
          <w:rFonts w:cstheme="minorHAnsi"/>
        </w:rPr>
        <w:t xml:space="preserve"> and L</w:t>
      </w:r>
      <w:r w:rsidR="00320DC7">
        <w:rPr>
          <w:rFonts w:cstheme="minorHAnsi"/>
          <w:vertAlign w:val="subscript"/>
        </w:rPr>
        <w:t>q</w:t>
      </w:r>
      <w:r w:rsidR="00320DC7">
        <w:rPr>
          <w:rFonts w:cstheme="minorHAnsi"/>
        </w:rPr>
        <w:t>. The reluctance formula was straightforward. Air gap at 0 degrees is 0.5 mm and the cross-sectional area is calculated from multiplying whole cylinder area with the portion of the rotor which is in position with the core. The reluctances at these two positions are calculated as follows:</w:t>
      </w:r>
    </w:p>
    <w:p w:rsidR="00CA79B2" w:rsidRPr="00CA79B2" w:rsidRDefault="00CE3FC1" w:rsidP="00CA79B2">
      <w:pPr>
        <w:rPr>
          <w:rFonts w:eastAsiaTheme="minorEastAsia"/>
        </w:rPr>
      </w:pPr>
      <m:oMathPara>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d</m:t>
              </m:r>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d</m:t>
                  </m:r>
                </m:sub>
              </m:sSub>
              <m:ctrlPr>
                <w:rPr>
                  <w:rFonts w:ascii="Cambria Math" w:hAnsi="Cambria Math"/>
                  <w:i/>
                </w:rPr>
              </m:ctrlPr>
            </m:num>
            <m:den>
              <m:sSub>
                <m:sSubPr>
                  <m:ctrlPr>
                    <w:rPr>
                      <w:rFonts w:ascii="Cambria Math" w:hAnsi="Cambria Math"/>
                      <w:i/>
                    </w:rPr>
                  </m:ctrlPr>
                </m:sSubPr>
                <m:e>
                  <m:r>
                    <m:rPr>
                      <m:sty m:val="p"/>
                    </m:rPr>
                    <w:rPr>
                      <w:rFonts w:ascii="Cambria Math" w:hAnsi="Cambria Math"/>
                    </w:rPr>
                    <m:t>u</m:t>
                  </m:r>
                </m:e>
                <m:sub>
                  <m:r>
                    <w:rPr>
                      <w:rFonts w:ascii="Cambria Math" w:hAnsi="Cambria Math"/>
                    </w:rPr>
                    <m:t>0</m:t>
                  </m:r>
                </m:sub>
              </m:sSub>
              <m:sSub>
                <m:sSubPr>
                  <m:ctrlPr>
                    <w:rPr>
                      <w:rFonts w:ascii="Cambria Math" w:hAnsi="Cambria Math"/>
                      <w:i/>
                    </w:rPr>
                  </m:ctrlPr>
                </m:sSubPr>
                <m:e>
                  <m:r>
                    <m:rPr>
                      <m:sty m:val="p"/>
                    </m:rPr>
                    <w:rPr>
                      <w:rFonts w:ascii="Cambria Math" w:hAnsi="Cambria Math"/>
                    </w:rPr>
                    <m:t>A</m:t>
                  </m:r>
                  <m:ctrlPr>
                    <w:rPr>
                      <w:rFonts w:ascii="Cambria Math" w:hAnsi="Cambria Math"/>
                    </w:rPr>
                  </m:ctrlPr>
                </m:e>
                <m:sub>
                  <m:r>
                    <m:rPr>
                      <m:sty m:val="p"/>
                    </m:rPr>
                    <w:rPr>
                      <w:rFonts w:ascii="Cambria Math" w:hAnsi="Cambria Math"/>
                    </w:rPr>
                    <m:t>d</m:t>
                  </m:r>
                </m:sub>
              </m:sSub>
              <m:ctrlPr>
                <w:rPr>
                  <w:rFonts w:ascii="Cambria Math" w:hAnsi="Cambria Math"/>
                  <w:i/>
                </w:rPr>
              </m:ctrlPr>
            </m:den>
          </m:f>
          <m: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i/>
                    </w:rPr>
                  </m:ctrlPr>
                </m:sSupPr>
                <m:e>
                  <m:r>
                    <w:rPr>
                      <w:rFonts w:ascii="Cambria Math" w:eastAsiaTheme="minorEastAsia" w:hAnsi="Cambria Math"/>
                    </w:rPr>
                    <m:t>2.0,5.10</m:t>
                  </m:r>
                </m:e>
                <m:sup>
                  <m:d>
                    <m:dPr>
                      <m:ctrlPr>
                        <w:rPr>
                          <w:rFonts w:ascii="Cambria Math" w:eastAsiaTheme="minorEastAsia" w:hAnsi="Cambria Math"/>
                          <w:i/>
                        </w:rPr>
                      </m:ctrlPr>
                    </m:dPr>
                    <m:e>
                      <m:r>
                        <w:rPr>
                          <w:rFonts w:ascii="Cambria Math" w:eastAsiaTheme="minorEastAsia" w:hAnsi="Cambria Math"/>
                        </w:rPr>
                        <m:t>-3</m:t>
                      </m:r>
                    </m:e>
                  </m:d>
                </m:sup>
              </m:sSup>
              <m:ctrlPr>
                <w:rPr>
                  <w:rFonts w:ascii="Cambria Math" w:eastAsiaTheme="minorEastAsia" w:hAnsi="Cambria Math"/>
                  <w:i/>
                </w:rPr>
              </m:ctrlPr>
            </m:num>
            <m:den>
              <m:r>
                <w:rPr>
                  <w:rFonts w:ascii="Cambria Math" w:eastAsiaTheme="minorEastAsia" w:hAnsi="Cambria Math"/>
                </w:rPr>
                <m:t>4</m:t>
              </m:r>
              <m:r>
                <m:rPr>
                  <m:sty m:val="p"/>
                </m:rPr>
                <w:rPr>
                  <w:rFonts w:ascii="Cambria Math" w:eastAsiaTheme="minorEastAsia" w:hAnsi="Cambria Math"/>
                </w:rPr>
                <m:t>π</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d>
                    <m:dPr>
                      <m:ctrlPr>
                        <w:rPr>
                          <w:rFonts w:ascii="Cambria Math" w:eastAsiaTheme="minorEastAsia" w:hAnsi="Cambria Math"/>
                          <w:i/>
                        </w:rPr>
                      </m:ctrlPr>
                    </m:dPr>
                    <m:e>
                      <m:r>
                        <w:rPr>
                          <w:rFonts w:ascii="Cambria Math" w:eastAsiaTheme="minorEastAsia" w:hAnsi="Cambria Math"/>
                        </w:rPr>
                        <m:t>-7</m:t>
                      </m:r>
                    </m:e>
                  </m:d>
                </m:sup>
              </m:sSup>
              <m:r>
                <w:rPr>
                  <w:rFonts w:ascii="Cambria Math" w:eastAsiaTheme="minorEastAsia" w:hAnsi="Cambria Math"/>
                </w:rPr>
                <m:t>.2</m:t>
              </m:r>
              <m:r>
                <m:rPr>
                  <m:sty m:val="p"/>
                </m:rPr>
                <w:rPr>
                  <w:rFonts w:ascii="Cambria Math" w:eastAsiaTheme="minorEastAsia" w:hAnsi="Cambria Math"/>
                </w:rPr>
                <m:t>π</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12.20.10</m:t>
                  </m:r>
                </m:e>
                <m:sup>
                  <m:d>
                    <m:dPr>
                      <m:ctrlPr>
                        <w:rPr>
                          <w:rFonts w:ascii="Cambria Math" w:eastAsiaTheme="minorEastAsia" w:hAnsi="Cambria Math"/>
                          <w:i/>
                        </w:rPr>
                      </m:ctrlPr>
                    </m:dPr>
                    <m:e>
                      <m:r>
                        <w:rPr>
                          <w:rFonts w:ascii="Cambria Math" w:eastAsiaTheme="minorEastAsia" w:hAnsi="Cambria Math"/>
                        </w:rPr>
                        <m:t>-6</m:t>
                      </m:r>
                    </m:e>
                  </m:d>
                </m:sup>
              </m:sSup>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77,364</m:t>
                  </m:r>
                  <m:ctrlPr>
                    <w:rPr>
                      <w:rFonts w:ascii="Cambria Math" w:eastAsiaTheme="minorEastAsia" w:hAnsi="Cambria Math"/>
                      <w:i/>
                    </w:rPr>
                  </m:ctrlPr>
                </m:num>
                <m:den>
                  <m:r>
                    <w:rPr>
                      <w:rFonts w:ascii="Cambria Math" w:eastAsiaTheme="minorEastAsia" w:hAnsi="Cambria Math"/>
                    </w:rPr>
                    <m:t>360</m:t>
                  </m:r>
                  <m:ctrlPr>
                    <w:rPr>
                      <w:rFonts w:ascii="Cambria Math" w:eastAsiaTheme="minorEastAsia" w:hAnsi="Cambria Math"/>
                      <w:i/>
                    </w:rPr>
                  </m:ctrlPr>
                </m:den>
              </m:f>
              <m:ctrlPr>
                <w:rPr>
                  <w:rFonts w:ascii="Cambria Math" w:eastAsiaTheme="minorEastAsia" w:hAnsi="Cambria Math"/>
                  <w:i/>
                </w:rPr>
              </m:ctrlPr>
            </m:den>
          </m:f>
          <m:r>
            <w:rPr>
              <w:rFonts w:ascii="Cambria Math" w:eastAsiaTheme="minorEastAsia" w:hAnsi="Cambria Math"/>
            </w:rPr>
            <m:t xml:space="preserve">=2.455.628,19 </m:t>
          </m:r>
          <m:sSup>
            <m:sSupPr>
              <m:ctrlPr>
                <w:rPr>
                  <w:rFonts w:ascii="Cambria Math" w:eastAsiaTheme="minorEastAsia" w:hAnsi="Cambria Math" w:cstheme="minorHAnsi"/>
                </w:rPr>
              </m:ctrlPr>
            </m:sSupPr>
            <m:e>
              <m:r>
                <m:rPr>
                  <m:sty m:val="p"/>
                </m:rPr>
                <w:rPr>
                  <w:rFonts w:ascii="Cambria Math" w:eastAsiaTheme="minorEastAsia" w:hAnsi="Cambria Math" w:cstheme="minorHAnsi"/>
                </w:rPr>
                <m:t>H</m:t>
              </m:r>
              <m:ctrlPr>
                <w:rPr>
                  <w:rFonts w:ascii="Cambria Math" w:eastAsiaTheme="minorEastAsia" w:hAnsi="Cambria Math"/>
                  <w:i/>
                </w:rPr>
              </m:ctrlPr>
            </m:e>
            <m:sup>
              <m:d>
                <m:dPr>
                  <m:ctrlPr>
                    <w:rPr>
                      <w:rFonts w:ascii="Cambria Math" w:eastAsiaTheme="minorEastAsia" w:hAnsi="Cambria Math" w:cstheme="minorHAnsi"/>
                    </w:rPr>
                  </m:ctrlPr>
                </m:dPr>
                <m:e>
                  <m:r>
                    <m:rPr>
                      <m:sty m:val="p"/>
                    </m:rPr>
                    <w:rPr>
                      <w:rFonts w:ascii="Cambria Math" w:eastAsiaTheme="minorEastAsia" w:hAnsi="Cambria Math" w:cstheme="minorHAnsi"/>
                    </w:rPr>
                    <m:t>-1</m:t>
                  </m:r>
                  <m:ctrlPr>
                    <w:rPr>
                      <w:rFonts w:ascii="Cambria Math" w:eastAsiaTheme="minorEastAsia" w:hAnsi="Cambria Math"/>
                      <w:i/>
                    </w:rPr>
                  </m:ctrlPr>
                </m:e>
              </m:d>
            </m:sup>
          </m:sSup>
        </m:oMath>
      </m:oMathPara>
    </w:p>
    <w:p w:rsidR="000D1418" w:rsidRPr="00320DC7" w:rsidRDefault="00CE3FC1" w:rsidP="00CA79B2">
      <w:pPr>
        <w:rPr>
          <w:rFonts w:eastAsiaTheme="minorEastAsia"/>
        </w:rPr>
      </w:pPr>
      <m:oMathPara>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q</m:t>
              </m:r>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q</m:t>
                  </m:r>
                </m:sub>
              </m:sSub>
              <m:ctrlPr>
                <w:rPr>
                  <w:rFonts w:ascii="Cambria Math" w:hAnsi="Cambria Math"/>
                  <w:i/>
                </w:rPr>
              </m:ctrlPr>
            </m:num>
            <m:den>
              <m:sSub>
                <m:sSubPr>
                  <m:ctrlPr>
                    <w:rPr>
                      <w:rFonts w:ascii="Cambria Math" w:hAnsi="Cambria Math"/>
                      <w:i/>
                    </w:rPr>
                  </m:ctrlPr>
                </m:sSubPr>
                <m:e>
                  <m:r>
                    <m:rPr>
                      <m:sty m:val="p"/>
                    </m:rPr>
                    <w:rPr>
                      <w:rFonts w:ascii="Cambria Math" w:hAnsi="Cambria Math"/>
                    </w:rPr>
                    <m:t>u</m:t>
                  </m:r>
                </m:e>
                <m:sub>
                  <m:r>
                    <w:rPr>
                      <w:rFonts w:ascii="Cambria Math" w:hAnsi="Cambria Math"/>
                    </w:rPr>
                    <m:t>0</m:t>
                  </m:r>
                </m:sub>
              </m:sSub>
              <m:sSub>
                <m:sSubPr>
                  <m:ctrlPr>
                    <w:rPr>
                      <w:rFonts w:ascii="Cambria Math" w:hAnsi="Cambria Math"/>
                      <w:i/>
                    </w:rPr>
                  </m:ctrlPr>
                </m:sSubPr>
                <m:e>
                  <m:r>
                    <m:rPr>
                      <m:sty m:val="p"/>
                    </m:rPr>
                    <w:rPr>
                      <w:rFonts w:ascii="Cambria Math" w:hAnsi="Cambria Math"/>
                    </w:rPr>
                    <m:t>A</m:t>
                  </m:r>
                  <m:ctrlPr>
                    <w:rPr>
                      <w:rFonts w:ascii="Cambria Math" w:hAnsi="Cambria Math"/>
                    </w:rPr>
                  </m:ctrlPr>
                </m:e>
                <m:sub>
                  <m:r>
                    <m:rPr>
                      <m:sty m:val="p"/>
                    </m:rPr>
                    <w:rPr>
                      <w:rFonts w:ascii="Cambria Math" w:hAnsi="Cambria Math"/>
                    </w:rPr>
                    <m:t>q</m:t>
                  </m:r>
                </m:sub>
              </m:sSub>
              <m:ctrlPr>
                <w:rPr>
                  <w:rFonts w:ascii="Cambria Math" w:hAnsi="Cambria Math"/>
                  <w:i/>
                </w:rPr>
              </m:ctrlPr>
            </m:den>
          </m:f>
          <m: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i/>
                    </w:rPr>
                  </m:ctrlPr>
                </m:sSupPr>
                <m:e>
                  <m:r>
                    <w:rPr>
                      <w:rFonts w:ascii="Cambria Math" w:eastAsiaTheme="minorEastAsia" w:hAnsi="Cambria Math"/>
                    </w:rPr>
                    <m:t>2.2,5.10</m:t>
                  </m:r>
                </m:e>
                <m:sup>
                  <m:d>
                    <m:dPr>
                      <m:ctrlPr>
                        <w:rPr>
                          <w:rFonts w:ascii="Cambria Math" w:eastAsiaTheme="minorEastAsia" w:hAnsi="Cambria Math"/>
                          <w:i/>
                        </w:rPr>
                      </m:ctrlPr>
                    </m:dPr>
                    <m:e>
                      <m:r>
                        <w:rPr>
                          <w:rFonts w:ascii="Cambria Math" w:eastAsiaTheme="minorEastAsia" w:hAnsi="Cambria Math"/>
                        </w:rPr>
                        <m:t>-3</m:t>
                      </m:r>
                    </m:e>
                  </m:d>
                </m:sup>
              </m:sSup>
              <m:ctrlPr>
                <w:rPr>
                  <w:rFonts w:ascii="Cambria Math" w:eastAsiaTheme="minorEastAsia" w:hAnsi="Cambria Math"/>
                  <w:i/>
                </w:rPr>
              </m:ctrlPr>
            </m:num>
            <m:den>
              <m:r>
                <w:rPr>
                  <w:rFonts w:ascii="Cambria Math" w:eastAsiaTheme="minorEastAsia" w:hAnsi="Cambria Math"/>
                </w:rPr>
                <m:t>4</m:t>
              </m:r>
              <m:r>
                <m:rPr>
                  <m:sty m:val="p"/>
                </m:rPr>
                <w:rPr>
                  <w:rFonts w:ascii="Cambria Math" w:eastAsiaTheme="minorEastAsia" w:hAnsi="Cambria Math"/>
                </w:rPr>
                <m:t>π</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d>
                    <m:dPr>
                      <m:ctrlPr>
                        <w:rPr>
                          <w:rFonts w:ascii="Cambria Math" w:eastAsiaTheme="minorEastAsia" w:hAnsi="Cambria Math"/>
                          <w:i/>
                        </w:rPr>
                      </m:ctrlPr>
                    </m:dPr>
                    <m:e>
                      <m:r>
                        <w:rPr>
                          <w:rFonts w:ascii="Cambria Math" w:eastAsiaTheme="minorEastAsia" w:hAnsi="Cambria Math"/>
                        </w:rPr>
                        <m:t>-7</m:t>
                      </m:r>
                    </m:e>
                  </m:d>
                </m:sup>
              </m:sSup>
              <m:r>
                <w:rPr>
                  <w:rFonts w:ascii="Cambria Math" w:eastAsiaTheme="minorEastAsia" w:hAnsi="Cambria Math"/>
                </w:rPr>
                <m:t>.2</m:t>
              </m:r>
              <m:r>
                <m:rPr>
                  <m:sty m:val="p"/>
                </m:rPr>
                <w:rPr>
                  <w:rFonts w:ascii="Cambria Math" w:eastAsiaTheme="minorEastAsia" w:hAnsi="Cambria Math"/>
                </w:rPr>
                <m:t>π</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10.20.10</m:t>
                  </m:r>
                </m:e>
                <m:sup>
                  <m:d>
                    <m:dPr>
                      <m:ctrlPr>
                        <w:rPr>
                          <w:rFonts w:ascii="Cambria Math" w:eastAsiaTheme="minorEastAsia" w:hAnsi="Cambria Math"/>
                          <w:i/>
                        </w:rPr>
                      </m:ctrlPr>
                    </m:dPr>
                    <m:e>
                      <m:r>
                        <w:rPr>
                          <w:rFonts w:ascii="Cambria Math" w:eastAsiaTheme="minorEastAsia" w:hAnsi="Cambria Math"/>
                        </w:rPr>
                        <m:t>-6</m:t>
                      </m:r>
                    </m:e>
                  </m:d>
                </m:sup>
              </m:sSup>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97.18</m:t>
                  </m:r>
                  <m:ctrlPr>
                    <w:rPr>
                      <w:rFonts w:ascii="Cambria Math" w:eastAsiaTheme="minorEastAsia" w:hAnsi="Cambria Math"/>
                      <w:i/>
                    </w:rPr>
                  </m:ctrlPr>
                </m:num>
                <m:den>
                  <m:r>
                    <w:rPr>
                      <w:rFonts w:ascii="Cambria Math" w:eastAsiaTheme="minorEastAsia" w:hAnsi="Cambria Math"/>
                    </w:rPr>
                    <m:t>360</m:t>
                  </m:r>
                  <m:ctrlPr>
                    <w:rPr>
                      <w:rFonts w:ascii="Cambria Math" w:eastAsiaTheme="minorEastAsia" w:hAnsi="Cambria Math"/>
                      <w:i/>
                    </w:rPr>
                  </m:ctrlPr>
                </m:den>
              </m:f>
              <m:ctrlPr>
                <w:rPr>
                  <w:rFonts w:ascii="Cambria Math" w:eastAsiaTheme="minorEastAsia" w:hAnsi="Cambria Math"/>
                  <w:i/>
                </w:rPr>
              </m:ctrlPr>
            </m:den>
          </m:f>
          <m:r>
            <w:rPr>
              <w:rFonts w:ascii="Cambria Math" w:eastAsiaTheme="minorEastAsia" w:hAnsi="Cambria Math"/>
            </w:rPr>
            <m:t xml:space="preserve">=11.729.402,3 </m:t>
          </m:r>
          <m:sSup>
            <m:sSupPr>
              <m:ctrlPr>
                <w:rPr>
                  <w:rFonts w:ascii="Cambria Math" w:eastAsiaTheme="minorEastAsia" w:hAnsi="Cambria Math" w:cstheme="minorHAnsi"/>
                </w:rPr>
              </m:ctrlPr>
            </m:sSupPr>
            <m:e>
              <m:r>
                <m:rPr>
                  <m:sty m:val="p"/>
                </m:rPr>
                <w:rPr>
                  <w:rFonts w:ascii="Cambria Math" w:eastAsiaTheme="minorEastAsia" w:hAnsi="Cambria Math" w:cstheme="minorHAnsi"/>
                </w:rPr>
                <m:t>H</m:t>
              </m:r>
              <m:ctrlPr>
                <w:rPr>
                  <w:rFonts w:ascii="Cambria Math" w:eastAsiaTheme="minorEastAsia" w:hAnsi="Cambria Math"/>
                  <w:i/>
                </w:rPr>
              </m:ctrlPr>
            </m:e>
            <m:sup>
              <m:d>
                <m:dPr>
                  <m:ctrlPr>
                    <w:rPr>
                      <w:rFonts w:ascii="Cambria Math" w:eastAsiaTheme="minorEastAsia" w:hAnsi="Cambria Math" w:cstheme="minorHAnsi"/>
                    </w:rPr>
                  </m:ctrlPr>
                </m:dPr>
                <m:e>
                  <m:r>
                    <m:rPr>
                      <m:sty m:val="p"/>
                    </m:rPr>
                    <w:rPr>
                      <w:rFonts w:ascii="Cambria Math" w:eastAsiaTheme="minorEastAsia" w:hAnsi="Cambria Math" w:cstheme="minorHAnsi"/>
                    </w:rPr>
                    <m:t>-1</m:t>
                  </m:r>
                  <m:ctrlPr>
                    <w:rPr>
                      <w:rFonts w:ascii="Cambria Math" w:eastAsiaTheme="minorEastAsia" w:hAnsi="Cambria Math"/>
                      <w:i/>
                    </w:rPr>
                  </m:ctrlPr>
                </m:e>
              </m:d>
            </m:sup>
          </m:sSup>
        </m:oMath>
      </m:oMathPara>
    </w:p>
    <w:p w:rsidR="00320DC7" w:rsidRPr="000D1418" w:rsidRDefault="00320DC7" w:rsidP="00CA79B2">
      <w:pPr>
        <w:rPr>
          <w:rFonts w:eastAsiaTheme="minorEastAsia"/>
        </w:rPr>
      </w:pPr>
      <w:r>
        <w:rPr>
          <w:rFonts w:eastAsiaTheme="minorEastAsia"/>
        </w:rPr>
        <w:tab/>
        <w:t xml:space="preserve">Next thing to do was calculating inductance values. After calculating reluctance, inductance calculations are done as follows: </w:t>
      </w:r>
    </w:p>
    <w:p w:rsidR="000D1418" w:rsidRPr="008078FB" w:rsidRDefault="00CE3FC1" w:rsidP="00CA79B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m:t>
                  </m:r>
                </m:sub>
              </m:sSub>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i/>
                    </w:rPr>
                  </m:ctrlPr>
                </m:sSupPr>
                <m:e>
                  <m:r>
                    <w:rPr>
                      <w:rFonts w:ascii="Cambria Math" w:eastAsiaTheme="minorEastAsia" w:hAnsi="Cambria Math"/>
                    </w:rPr>
                    <m:t>250</m:t>
                  </m:r>
                </m:e>
                <m:sup>
                  <m:r>
                    <w:rPr>
                      <w:rFonts w:ascii="Cambria Math" w:eastAsiaTheme="minorEastAsia" w:hAnsi="Cambria Math"/>
                    </w:rPr>
                    <m:t>2</m:t>
                  </m:r>
                </m:sup>
              </m:sSup>
              <m:ctrlPr>
                <w:rPr>
                  <w:rFonts w:ascii="Cambria Math" w:eastAsiaTheme="minorEastAsia" w:hAnsi="Cambria Math"/>
                  <w:i/>
                </w:rPr>
              </m:ctrlPr>
            </m:num>
            <m:den>
              <m:r>
                <w:rPr>
                  <w:rFonts w:ascii="Cambria Math" w:eastAsiaTheme="minorEastAsia" w:hAnsi="Cambria Math"/>
                </w:rPr>
                <m:t>2455628,19</m:t>
              </m:r>
              <m:ctrlPr>
                <w:rPr>
                  <w:rFonts w:ascii="Cambria Math" w:eastAsiaTheme="minorEastAsia" w:hAnsi="Cambria Math"/>
                  <w:i/>
                </w:rPr>
              </m:ctrlPr>
            </m:den>
          </m:f>
          <m:r>
            <w:rPr>
              <w:rFonts w:ascii="Cambria Math" w:eastAsiaTheme="minorEastAsia" w:hAnsi="Cambria Math"/>
            </w:rPr>
            <m:t>=25.45mH</m:t>
          </m:r>
        </m:oMath>
      </m:oMathPara>
    </w:p>
    <w:p w:rsidR="008078FB" w:rsidRPr="008078FB" w:rsidRDefault="00CE3FC1" w:rsidP="008078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q</m:t>
                  </m:r>
                </m:sub>
              </m:sSub>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i/>
                    </w:rPr>
                  </m:ctrlPr>
                </m:sSupPr>
                <m:e>
                  <m:r>
                    <w:rPr>
                      <w:rFonts w:ascii="Cambria Math" w:eastAsiaTheme="minorEastAsia" w:hAnsi="Cambria Math"/>
                    </w:rPr>
                    <m:t>250</m:t>
                  </m:r>
                </m:e>
                <m:sup>
                  <m:r>
                    <w:rPr>
                      <w:rFonts w:ascii="Cambria Math" w:eastAsiaTheme="minorEastAsia" w:hAnsi="Cambria Math"/>
                    </w:rPr>
                    <m:t>2</m:t>
                  </m:r>
                </m:sup>
              </m:sSup>
              <m:ctrlPr>
                <w:rPr>
                  <w:rFonts w:ascii="Cambria Math" w:eastAsiaTheme="minorEastAsia" w:hAnsi="Cambria Math"/>
                  <w:i/>
                </w:rPr>
              </m:ctrlPr>
            </m:num>
            <m:den>
              <m:r>
                <w:rPr>
                  <w:rFonts w:ascii="Cambria Math" w:eastAsiaTheme="minorEastAsia" w:hAnsi="Cambria Math"/>
                </w:rPr>
                <m:t>11729402,3</m:t>
              </m:r>
              <m:ctrlPr>
                <w:rPr>
                  <w:rFonts w:ascii="Cambria Math" w:eastAsiaTheme="minorEastAsia" w:hAnsi="Cambria Math"/>
                  <w:i/>
                </w:rPr>
              </m:ctrlPr>
            </m:den>
          </m:f>
          <m:r>
            <w:rPr>
              <w:rFonts w:ascii="Cambria Math" w:eastAsiaTheme="minorEastAsia" w:hAnsi="Cambria Math"/>
            </w:rPr>
            <m:t>=5.33mH</m:t>
          </m:r>
        </m:oMath>
      </m:oMathPara>
    </w:p>
    <w:p w:rsidR="008078FB" w:rsidRDefault="008078FB" w:rsidP="003637C5">
      <w:pPr>
        <w:rPr>
          <w:rFonts w:eastAsiaTheme="minorEastAsia"/>
        </w:rPr>
      </w:pPr>
      <w:r>
        <w:rPr>
          <w:rFonts w:eastAsiaTheme="minorEastAsia"/>
        </w:rPr>
        <w:tab/>
        <w:t>Assuming sinusoidal inductance waveform, inductance formul</w:t>
      </w:r>
      <w:r w:rsidR="00320DC7">
        <w:rPr>
          <w:rFonts w:eastAsiaTheme="minorEastAsia"/>
        </w:rPr>
        <w:t>a is found as follows:</w:t>
      </w:r>
    </w:p>
    <w:p w:rsidR="008078FB" w:rsidRPr="00E80334" w:rsidRDefault="008078FB" w:rsidP="003637C5">
      <w:pPr>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m:rPr>
                  <m:sty m:val="p"/>
                </m:rPr>
                <w:rPr>
                  <w:rFonts w:ascii="Cambria Math" w:eastAsiaTheme="minorEastAsia" w:hAnsi="Cambria Math"/>
                </w:rPr>
                <m:t>θ</m:t>
              </m:r>
            </m:e>
          </m:d>
          <m:r>
            <w:rPr>
              <w:rFonts w:ascii="Cambria Math" w:eastAsiaTheme="minorEastAsia" w:hAnsi="Cambria Math"/>
            </w:rPr>
            <m:t>=15,39+10,06.</m:t>
          </m:r>
          <m:func>
            <m:funcPr>
              <m:ctrlPr>
                <w:rPr>
                  <w:rFonts w:ascii="Cambria Math" w:eastAsiaTheme="minorEastAsia" w:hAnsi="Cambria Math"/>
                </w:rPr>
              </m:ctrlPr>
            </m:funcPr>
            <m:fName>
              <m: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m:t>
                  </m:r>
                  <m:r>
                    <m:rPr>
                      <m:sty m:val="p"/>
                    </m:rPr>
                    <w:rPr>
                      <w:rFonts w:ascii="Cambria Math" w:eastAsiaTheme="minorEastAsia" w:hAnsi="Cambria Math"/>
                    </w:rPr>
                    <m:t>θ</m:t>
                  </m:r>
                </m:e>
              </m:d>
            </m:e>
          </m:func>
          <m:r>
            <w:rPr>
              <w:rFonts w:ascii="Cambria Math" w:eastAsiaTheme="minorEastAsia" w:hAnsi="Cambria Math"/>
            </w:rPr>
            <m:t>mH</m:t>
          </m:r>
        </m:oMath>
      </m:oMathPara>
    </w:p>
    <w:p w:rsidR="00E80334" w:rsidRDefault="00E80334" w:rsidP="003637C5">
      <w:pPr>
        <w:rPr>
          <w:rFonts w:eastAsiaTheme="minorEastAsia"/>
        </w:rPr>
      </w:pPr>
      <w:r>
        <w:rPr>
          <w:rFonts w:eastAsiaTheme="minorEastAsia"/>
        </w:rPr>
        <w:t>b)</w:t>
      </w:r>
    </w:p>
    <w:p w:rsidR="00320DC7" w:rsidRPr="008078FB" w:rsidRDefault="00320DC7" w:rsidP="003637C5">
      <w:pPr>
        <w:rPr>
          <w:rFonts w:eastAsiaTheme="minorEastAsia"/>
        </w:rPr>
      </w:pPr>
      <w:r>
        <w:rPr>
          <w:rFonts w:eastAsiaTheme="minorEastAsia"/>
        </w:rPr>
        <w:tab/>
        <w:t>In order to calculate torque formula, the first thing to do was to calculate energy</w:t>
      </w:r>
      <w:r w:rsidR="00B21E8E">
        <w:rPr>
          <w:rFonts w:eastAsiaTheme="minorEastAsia"/>
        </w:rPr>
        <w:t xml:space="preserve"> which is calculated as follows:</w:t>
      </w:r>
    </w:p>
    <w:p w:rsidR="008078FB" w:rsidRPr="00B21E8E" w:rsidRDefault="00036F79" w:rsidP="003637C5">
      <w:pPr>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m:rPr>
                  <m:sty m:val="p"/>
                </m:rPr>
                <w:rPr>
                  <w:rFonts w:ascii="Cambria Math" w:eastAsiaTheme="minorEastAsia" w:hAnsi="Cambria Math"/>
                </w:rPr>
                <m:t>θ</m:t>
              </m:r>
            </m:e>
          </m:d>
          <m:r>
            <w:rPr>
              <w:rFonts w:ascii="Cambria Math" w:eastAsiaTheme="minorEastAsia" w:hAnsi="Cambria Math"/>
            </w:rPr>
            <m:t>=0,5.L</m:t>
          </m:r>
          <m:d>
            <m:dPr>
              <m:ctrlPr>
                <w:rPr>
                  <w:rFonts w:ascii="Cambria Math" w:eastAsiaTheme="minorEastAsia" w:hAnsi="Cambria Math"/>
                  <w:i/>
                </w:rPr>
              </m:ctrlPr>
            </m:dPr>
            <m:e>
              <m:r>
                <m:rPr>
                  <m:sty m:val="p"/>
                </m:rPr>
                <w:rPr>
                  <w:rFonts w:ascii="Cambria Math" w:eastAsiaTheme="minorEastAsia" w:hAnsi="Cambria Math"/>
                </w:rPr>
                <m:t>θ</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=0,5.</m:t>
          </m:r>
          <m:d>
            <m:dPr>
              <m:ctrlPr>
                <w:rPr>
                  <w:rFonts w:ascii="Cambria Math" w:eastAsiaTheme="minorEastAsia" w:hAnsi="Cambria Math"/>
                  <w:i/>
                </w:rPr>
              </m:ctrlPr>
            </m:dPr>
            <m:e>
              <m:r>
                <w:rPr>
                  <w:rFonts w:ascii="Cambria Math" w:eastAsiaTheme="minorEastAsia" w:hAnsi="Cambria Math"/>
                </w:rPr>
                <m:t>15,39+10,06.co</m:t>
              </m:r>
              <m:func>
                <m:funcPr>
                  <m:ctrlPr>
                    <w:rPr>
                      <w:rFonts w:ascii="Cambria Math" w:eastAsiaTheme="minorEastAsia" w:hAnsi="Cambria Math"/>
                    </w:rPr>
                  </m:ctrlPr>
                </m:funcPr>
                <m:fName>
                  <m:r>
                    <w:rPr>
                      <w:rFonts w:ascii="Cambria Math" w:eastAsiaTheme="minorEastAsia" w:hAnsi="Cambria Math"/>
                    </w:rPr>
                    <m:t>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m:t>
                      </m:r>
                      <m:r>
                        <m:rPr>
                          <m:sty m:val="p"/>
                        </m:rPr>
                        <w:rPr>
                          <w:rFonts w:ascii="Cambria Math" w:eastAsiaTheme="minorEastAsia" w:hAnsi="Cambria Math"/>
                        </w:rPr>
                        <m:t>θ</m:t>
                      </m:r>
                    </m:e>
                  </m:d>
                </m:e>
              </m:func>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2</m:t>
              </m:r>
            </m:sup>
          </m:sSup>
          <m:r>
            <w:rPr>
              <w:rFonts w:ascii="Cambria Math" w:eastAsiaTheme="minorEastAsia" w:hAnsi="Cambria Math"/>
            </w:rPr>
            <m:t>=69,255+45,27.cos</m:t>
          </m:r>
          <m:r>
            <m:rPr>
              <m:sty m:val="p"/>
            </m:rPr>
            <w:rPr>
              <w:rFonts w:ascii="Cambria Math" w:eastAsiaTheme="minorEastAsia" w:hAnsi="Cambria Math"/>
            </w:rPr>
            <m:t>⁡</m:t>
          </m:r>
          <m:r>
            <w:rPr>
              <w:rFonts w:ascii="Cambria Math" w:eastAsiaTheme="minorEastAsia" w:hAnsi="Cambria Math"/>
            </w:rPr>
            <m:t>(2</m:t>
          </m:r>
          <m:r>
            <m:rPr>
              <m:sty m:val="p"/>
            </m:rPr>
            <w:rPr>
              <w:rFonts w:ascii="Cambria Math" w:eastAsiaTheme="minorEastAsia" w:hAnsi="Cambria Math"/>
            </w:rPr>
            <m:t>θ</m:t>
          </m:r>
          <m:r>
            <w:rPr>
              <w:rFonts w:ascii="Cambria Math" w:eastAsiaTheme="minorEastAsia" w:hAnsi="Cambria Math"/>
            </w:rPr>
            <m:t>) mJ</m:t>
          </m:r>
        </m:oMath>
      </m:oMathPara>
    </w:p>
    <w:p w:rsidR="00B21E8E" w:rsidRPr="00EC70E2" w:rsidRDefault="00B21E8E" w:rsidP="003637C5">
      <w:pPr>
        <w:rPr>
          <w:rFonts w:eastAsiaTheme="minorEastAsia"/>
        </w:rPr>
      </w:pPr>
      <w:r>
        <w:rPr>
          <w:rFonts w:eastAsiaTheme="minorEastAsia"/>
        </w:rPr>
        <w:tab/>
        <w:t>The torque is the derivative of the energy which is found in following formula:</w:t>
      </w:r>
    </w:p>
    <w:p w:rsidR="00B21E8E" w:rsidRPr="00EC70E2" w:rsidRDefault="00EC70E2" w:rsidP="003637C5">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m:rPr>
                  <m:sty m:val="p"/>
                </m:rPr>
                <w:rPr>
                  <w:rFonts w:ascii="Cambria Math" w:eastAsiaTheme="minorEastAsia" w:hAnsi="Cambria Math"/>
                </w:rPr>
                <m:t>θ</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dE</m:t>
              </m:r>
              <m:ctrlPr>
                <w:rPr>
                  <w:rFonts w:ascii="Cambria Math" w:eastAsiaTheme="minorEastAsia" w:hAnsi="Cambria Math"/>
                  <w:i/>
                </w:rPr>
              </m:ctrlPr>
            </m:num>
            <m:den>
              <m:r>
                <w:rPr>
                  <w:rFonts w:ascii="Cambria Math" w:eastAsiaTheme="minorEastAsia" w:hAnsi="Cambria Math"/>
                </w:rPr>
                <m:t>d</m:t>
              </m:r>
              <m:r>
                <m:rPr>
                  <m:sty m:val="p"/>
                </m:rPr>
                <w:rPr>
                  <w:rFonts w:ascii="Cambria Math" w:eastAsiaTheme="minorEastAsia" w:hAnsi="Cambria Math"/>
                </w:rPr>
                <m:t>θ</m:t>
              </m:r>
              <m:ctrlPr>
                <w:rPr>
                  <w:rFonts w:ascii="Cambria Math" w:eastAsiaTheme="minorEastAsia" w:hAnsi="Cambria Math"/>
                  <w:i/>
                </w:rPr>
              </m:ctrlPr>
            </m:den>
          </m:f>
          <m:r>
            <w:rPr>
              <w:rFonts w:ascii="Cambria Math" w:eastAsiaTheme="minorEastAsia" w:hAnsi="Cambria Math"/>
            </w:rPr>
            <m:t>=-90,54.</m:t>
          </m:r>
          <m:func>
            <m:funcPr>
              <m:ctrlPr>
                <w:rPr>
                  <w:rFonts w:ascii="Cambria Math" w:eastAsiaTheme="minorEastAsia" w:hAnsi="Cambria Math"/>
                </w:rPr>
              </m:ctrlPr>
            </m:funcPr>
            <m:fName>
              <m: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m:t>
                  </m:r>
                  <m:r>
                    <m:rPr>
                      <m:sty m:val="p"/>
                    </m:rPr>
                    <w:rPr>
                      <w:rFonts w:ascii="Cambria Math" w:eastAsiaTheme="minorEastAsia" w:hAnsi="Cambria Math"/>
                    </w:rPr>
                    <m:t>θ</m:t>
                  </m:r>
                </m:e>
              </m:d>
            </m:e>
          </m:func>
          <m:r>
            <w:rPr>
              <w:rFonts w:ascii="Cambria Math" w:eastAsiaTheme="minorEastAsia" w:hAnsi="Cambria Math"/>
            </w:rPr>
            <m:t>mN.m</m:t>
          </m:r>
        </m:oMath>
      </m:oMathPara>
    </w:p>
    <w:p w:rsidR="00D9368C" w:rsidRDefault="00D9368C" w:rsidP="00D9368C">
      <w:pPr>
        <w:keepNext/>
        <w:jc w:val="center"/>
      </w:pPr>
      <w:r w:rsidRPr="00D9368C">
        <w:rPr>
          <w:rFonts w:eastAsiaTheme="minorEastAsia"/>
        </w:rPr>
        <w:lastRenderedPageBreak/>
        <w:drawing>
          <wp:inline distT="0" distB="0" distL="0" distR="0" wp14:anchorId="7CBC11EE" wp14:editId="54C0DCAB">
            <wp:extent cx="5482793" cy="2905406"/>
            <wp:effectExtent l="0" t="0" r="3810" b="952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96DAC541-7B7A-43D3-8B79-37D633B846F1}">
                          <asvg:svgBlip xmlns:asvg="http://schemas.microsoft.com/office/drawing/2016/SVG/main" r:embed="rId7"/>
                        </a:ext>
                      </a:extLst>
                    </a:blip>
                    <a:stretch>
                      <a:fillRect/>
                    </a:stretch>
                  </pic:blipFill>
                  <pic:spPr>
                    <a:xfrm>
                      <a:off x="0" y="0"/>
                      <a:ext cx="5489259" cy="2908832"/>
                    </a:xfrm>
                    <a:prstGeom prst="rect">
                      <a:avLst/>
                    </a:prstGeom>
                  </pic:spPr>
                </pic:pic>
              </a:graphicData>
            </a:graphic>
          </wp:inline>
        </w:drawing>
      </w:r>
    </w:p>
    <w:p w:rsidR="00EC70E2" w:rsidRPr="00EC70E2" w:rsidRDefault="00D9368C" w:rsidP="00D9368C">
      <w:pPr>
        <w:pStyle w:val="Caption"/>
        <w:jc w:val="center"/>
        <w:rPr>
          <w:rFonts w:eastAsiaTheme="minorEastAsia"/>
        </w:rPr>
      </w:pPr>
      <w:r>
        <w:t xml:space="preserve">Figure </w:t>
      </w:r>
      <w:fldSimple w:instr=" SEQ Figure \* ARABIC ">
        <w:r>
          <w:rPr>
            <w:noProof/>
          </w:rPr>
          <w:t>1</w:t>
        </w:r>
      </w:fldSimple>
      <w:r>
        <w:t>. Waveform of the calculated torque formula.</w:t>
      </w:r>
    </w:p>
    <w:p w:rsidR="008078FB" w:rsidRDefault="00E80334" w:rsidP="003637C5">
      <w:pPr>
        <w:rPr>
          <w:rFonts w:eastAsiaTheme="minorEastAsia"/>
        </w:rPr>
      </w:pPr>
      <w:r>
        <w:rPr>
          <w:rFonts w:eastAsiaTheme="minorEastAsia"/>
        </w:rPr>
        <w:t xml:space="preserve">c) </w:t>
      </w:r>
    </w:p>
    <w:p w:rsidR="00E80334" w:rsidRDefault="00E80334" w:rsidP="00B21E8E">
      <w:pPr>
        <w:ind w:firstLine="720"/>
        <w:rPr>
          <w:rFonts w:eastAsiaTheme="minorEastAsia"/>
        </w:rPr>
      </w:pPr>
      <w:r>
        <w:rPr>
          <w:rFonts w:eastAsiaTheme="minorEastAsia"/>
        </w:rPr>
        <w:t>In order to model the whole system parameters with high accuracy finite element analysis programs can be used. These programs include the effects which are not being taken into the calculations such as fringing flux, non-homogenous flux distribution</w:t>
      </w:r>
      <w:r w:rsidR="00B21E8E">
        <w:rPr>
          <w:rFonts w:eastAsiaTheme="minorEastAsia"/>
        </w:rPr>
        <w:t xml:space="preserve"> and</w:t>
      </w:r>
      <w:r>
        <w:rPr>
          <w:rFonts w:eastAsiaTheme="minorEastAsia"/>
        </w:rPr>
        <w:t xml:space="preserve"> saturation</w:t>
      </w:r>
      <w:r w:rsidR="00B21E8E">
        <w:rPr>
          <w:rFonts w:eastAsiaTheme="minorEastAsia"/>
        </w:rPr>
        <w:t xml:space="preserve"> of the core material</w:t>
      </w:r>
      <w:r>
        <w:rPr>
          <w:rFonts w:eastAsiaTheme="minorEastAsia"/>
        </w:rPr>
        <w:t>.</w:t>
      </w:r>
    </w:p>
    <w:p w:rsidR="00B21E8E" w:rsidRDefault="00B21E8E" w:rsidP="00B21E8E">
      <w:pPr>
        <w:ind w:firstLine="720"/>
        <w:rPr>
          <w:rFonts w:eastAsiaTheme="minorEastAsia"/>
        </w:rPr>
      </w:pPr>
    </w:p>
    <w:p w:rsidR="00B21E8E" w:rsidRDefault="00B21E8E" w:rsidP="00B21E8E">
      <w:pPr>
        <w:ind w:firstLine="720"/>
        <w:rPr>
          <w:rFonts w:eastAsiaTheme="minorEastAsia"/>
        </w:rPr>
      </w:pPr>
      <w:r>
        <w:rPr>
          <w:rFonts w:eastAsiaTheme="minorEastAsia"/>
        </w:rPr>
        <w:t>2)</w:t>
      </w:r>
    </w:p>
    <w:p w:rsidR="00B21E8E" w:rsidRDefault="00B21E8E" w:rsidP="00B21E8E">
      <w:pPr>
        <w:ind w:firstLine="720"/>
        <w:rPr>
          <w:rFonts w:eastAsiaTheme="minorEastAsia"/>
        </w:rPr>
      </w:pPr>
      <w:r>
        <w:rPr>
          <w:rFonts w:eastAsiaTheme="minorEastAsia"/>
        </w:rPr>
        <w:t>a)</w:t>
      </w:r>
    </w:p>
    <w:p w:rsidR="00E80334" w:rsidRPr="00B21E8E" w:rsidRDefault="0016112A" w:rsidP="00B21E8E">
      <w:pPr>
        <w:jc w:val="center"/>
        <w:rPr>
          <w:rFonts w:eastAsiaTheme="minorEastAsia"/>
        </w:rPr>
      </w:pPr>
      <w:r>
        <w:rPr>
          <w:noProof/>
        </w:rPr>
        <w:drawing>
          <wp:inline distT="0" distB="0" distL="0" distR="0" wp14:anchorId="39526DD1" wp14:editId="439D949C">
            <wp:extent cx="5045293" cy="2948025"/>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6138" cy="2954362"/>
                    </a:xfrm>
                    <a:prstGeom prst="rect">
                      <a:avLst/>
                    </a:prstGeom>
                  </pic:spPr>
                </pic:pic>
              </a:graphicData>
            </a:graphic>
          </wp:inline>
        </w:drawing>
      </w:r>
    </w:p>
    <w:p w:rsidR="00BB6745" w:rsidRDefault="00E80334" w:rsidP="00E80334">
      <w:pPr>
        <w:pStyle w:val="Caption"/>
        <w:jc w:val="center"/>
      </w:pPr>
      <w:r>
        <w:t xml:space="preserve">Figure </w:t>
      </w:r>
      <w:r w:rsidR="00CE3FC1">
        <w:fldChar w:fldCharType="begin"/>
      </w:r>
      <w:r w:rsidR="00CE3FC1">
        <w:instrText xml:space="preserve"> SEQ Figure \* AR</w:instrText>
      </w:r>
      <w:r w:rsidR="00CE3FC1">
        <w:instrText xml:space="preserve">ABIC </w:instrText>
      </w:r>
      <w:r w:rsidR="00CE3FC1">
        <w:fldChar w:fldCharType="separate"/>
      </w:r>
      <w:r w:rsidR="00D9368C">
        <w:rPr>
          <w:noProof/>
        </w:rPr>
        <w:t>2</w:t>
      </w:r>
      <w:r w:rsidR="00CE3FC1">
        <w:rPr>
          <w:noProof/>
        </w:rPr>
        <w:fldChar w:fldCharType="end"/>
      </w:r>
      <w:r>
        <w:t>. Flux density distribution at theta is equal to 0 degrees.</w:t>
      </w:r>
    </w:p>
    <w:p w:rsidR="000814E8" w:rsidRDefault="000814E8"/>
    <w:p w:rsidR="00E80334" w:rsidRDefault="0016112A" w:rsidP="00E80334">
      <w:pPr>
        <w:keepNext/>
        <w:jc w:val="center"/>
      </w:pPr>
      <w:r>
        <w:rPr>
          <w:noProof/>
        </w:rPr>
        <w:lastRenderedPageBreak/>
        <w:drawing>
          <wp:inline distT="0" distB="0" distL="0" distR="0" wp14:anchorId="5288009E" wp14:editId="10039C04">
            <wp:extent cx="4957660" cy="2896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2342" cy="2905399"/>
                    </a:xfrm>
                    <a:prstGeom prst="rect">
                      <a:avLst/>
                    </a:prstGeom>
                  </pic:spPr>
                </pic:pic>
              </a:graphicData>
            </a:graphic>
          </wp:inline>
        </w:drawing>
      </w:r>
    </w:p>
    <w:p w:rsidR="000814E8" w:rsidRDefault="00E80334" w:rsidP="00E80334">
      <w:pPr>
        <w:pStyle w:val="Caption"/>
        <w:jc w:val="center"/>
      </w:pPr>
      <w:r>
        <w:t xml:space="preserve">Figure </w:t>
      </w:r>
      <w:r w:rsidR="00CE3FC1">
        <w:fldChar w:fldCharType="begin"/>
      </w:r>
      <w:r w:rsidR="00CE3FC1">
        <w:instrText xml:space="preserve"> SEQ Figure \* ARABIC </w:instrText>
      </w:r>
      <w:r w:rsidR="00CE3FC1">
        <w:fldChar w:fldCharType="separate"/>
      </w:r>
      <w:r w:rsidR="00D9368C">
        <w:rPr>
          <w:noProof/>
        </w:rPr>
        <w:t>3</w:t>
      </w:r>
      <w:r w:rsidR="00CE3FC1">
        <w:rPr>
          <w:noProof/>
        </w:rPr>
        <w:fldChar w:fldCharType="end"/>
      </w:r>
      <w:r>
        <w:t xml:space="preserve">. </w:t>
      </w:r>
      <w:r w:rsidRPr="00876B6C">
        <w:t xml:space="preserve">Flux density distribution at theta is equal to </w:t>
      </w:r>
      <w:r>
        <w:t>45</w:t>
      </w:r>
      <w:r w:rsidRPr="00876B6C">
        <w:t xml:space="preserve"> degrees.</w:t>
      </w:r>
    </w:p>
    <w:p w:rsidR="000814E8" w:rsidRDefault="000814E8"/>
    <w:p w:rsidR="00E80334" w:rsidRDefault="0016112A" w:rsidP="00E80334">
      <w:pPr>
        <w:keepNext/>
        <w:jc w:val="center"/>
      </w:pPr>
      <w:r>
        <w:rPr>
          <w:noProof/>
        </w:rPr>
        <w:drawing>
          <wp:inline distT="0" distB="0" distL="0" distR="0" wp14:anchorId="0DB55742" wp14:editId="7095055B">
            <wp:extent cx="5274259" cy="3081813"/>
            <wp:effectExtent l="0" t="0" r="317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2000" cy="3086336"/>
                    </a:xfrm>
                    <a:prstGeom prst="rect">
                      <a:avLst/>
                    </a:prstGeom>
                  </pic:spPr>
                </pic:pic>
              </a:graphicData>
            </a:graphic>
          </wp:inline>
        </w:drawing>
      </w:r>
    </w:p>
    <w:p w:rsidR="000814E8" w:rsidRDefault="00E80334" w:rsidP="00E80334">
      <w:pPr>
        <w:pStyle w:val="Caption"/>
        <w:jc w:val="center"/>
      </w:pPr>
      <w:r>
        <w:t xml:space="preserve">Figure </w:t>
      </w:r>
      <w:r w:rsidR="00CE3FC1">
        <w:fldChar w:fldCharType="begin"/>
      </w:r>
      <w:r w:rsidR="00CE3FC1">
        <w:instrText xml:space="preserve"> SEQ Figure \* ARABIC </w:instrText>
      </w:r>
      <w:r w:rsidR="00CE3FC1">
        <w:fldChar w:fldCharType="separate"/>
      </w:r>
      <w:r w:rsidR="00D9368C">
        <w:rPr>
          <w:noProof/>
        </w:rPr>
        <w:t>4</w:t>
      </w:r>
      <w:r w:rsidR="00CE3FC1">
        <w:rPr>
          <w:noProof/>
        </w:rPr>
        <w:fldChar w:fldCharType="end"/>
      </w:r>
      <w:r>
        <w:t xml:space="preserve">. </w:t>
      </w:r>
      <w:r w:rsidRPr="001A6CED">
        <w:t xml:space="preserve">Flux density distribution at theta is equal to </w:t>
      </w:r>
      <w:r>
        <w:t>9</w:t>
      </w:r>
      <w:r w:rsidRPr="001A6CED">
        <w:t>0 degrees.</w:t>
      </w:r>
    </w:p>
    <w:p w:rsidR="008E7C15" w:rsidRDefault="008E7C15" w:rsidP="008E7C15">
      <w:r>
        <w:t>b)</w:t>
      </w:r>
    </w:p>
    <w:p w:rsidR="00036F79" w:rsidRDefault="00E66C55" w:rsidP="00036F79">
      <w:pPr>
        <w:keepNext/>
      </w:pPr>
      <w:r w:rsidRPr="00E66C55">
        <w:rPr>
          <w:noProof/>
        </w:rPr>
        <w:lastRenderedPageBreak/>
        <w:drawing>
          <wp:inline distT="0" distB="0" distL="0" distR="0" wp14:anchorId="6033BDC6" wp14:editId="582EF127">
            <wp:extent cx="5731510" cy="3037205"/>
            <wp:effectExtent l="0" t="0" r="254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731510" cy="3037205"/>
                    </a:xfrm>
                    <a:prstGeom prst="rect">
                      <a:avLst/>
                    </a:prstGeom>
                  </pic:spPr>
                </pic:pic>
              </a:graphicData>
            </a:graphic>
          </wp:inline>
        </w:drawing>
      </w:r>
    </w:p>
    <w:p w:rsidR="00FA67EF" w:rsidRDefault="00036F79" w:rsidP="00D9368C">
      <w:pPr>
        <w:pStyle w:val="Caption"/>
        <w:jc w:val="center"/>
      </w:pPr>
      <w:r>
        <w:t xml:space="preserve">Figure </w:t>
      </w:r>
      <w:r w:rsidR="00CE3FC1">
        <w:fldChar w:fldCharType="begin"/>
      </w:r>
      <w:r w:rsidR="00CE3FC1">
        <w:instrText xml:space="preserve"> SEQ Figure \* ARABIC </w:instrText>
      </w:r>
      <w:r w:rsidR="00CE3FC1">
        <w:fldChar w:fldCharType="separate"/>
      </w:r>
      <w:r w:rsidR="00D9368C">
        <w:rPr>
          <w:noProof/>
        </w:rPr>
        <w:t>5</w:t>
      </w:r>
      <w:r w:rsidR="00CE3FC1">
        <w:rPr>
          <w:noProof/>
        </w:rPr>
        <w:fldChar w:fldCharType="end"/>
      </w:r>
      <w:r>
        <w:t>. Inductance vs theta waveform of the model with linear material</w:t>
      </w:r>
    </w:p>
    <w:p w:rsidR="00036F79" w:rsidRDefault="00E66C55" w:rsidP="00036F79">
      <w:pPr>
        <w:keepNext/>
      </w:pPr>
      <w:r w:rsidRPr="00E66C55">
        <w:rPr>
          <w:noProof/>
        </w:rPr>
        <w:drawing>
          <wp:inline distT="0" distB="0" distL="0" distR="0" wp14:anchorId="566F4F6E" wp14:editId="65EE7762">
            <wp:extent cx="5731510" cy="3037205"/>
            <wp:effectExtent l="0" t="0" r="254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731510" cy="3037205"/>
                    </a:xfrm>
                    <a:prstGeom prst="rect">
                      <a:avLst/>
                    </a:prstGeom>
                  </pic:spPr>
                </pic:pic>
              </a:graphicData>
            </a:graphic>
          </wp:inline>
        </w:drawing>
      </w:r>
    </w:p>
    <w:p w:rsidR="00E66C55" w:rsidRDefault="00036F79" w:rsidP="00D9368C">
      <w:pPr>
        <w:pStyle w:val="Caption"/>
        <w:jc w:val="center"/>
      </w:pPr>
      <w:r>
        <w:t xml:space="preserve">Figure </w:t>
      </w:r>
      <w:r w:rsidR="00CE3FC1">
        <w:fldChar w:fldCharType="begin"/>
      </w:r>
      <w:r w:rsidR="00CE3FC1">
        <w:instrText xml:space="preserve"> SEQ Figure \* ARABIC </w:instrText>
      </w:r>
      <w:r w:rsidR="00CE3FC1">
        <w:fldChar w:fldCharType="separate"/>
      </w:r>
      <w:r w:rsidR="00D9368C">
        <w:rPr>
          <w:noProof/>
        </w:rPr>
        <w:t>6</w:t>
      </w:r>
      <w:r w:rsidR="00CE3FC1">
        <w:rPr>
          <w:noProof/>
        </w:rPr>
        <w:fldChar w:fldCharType="end"/>
      </w:r>
      <w:r>
        <w:t>. Energy</w:t>
      </w:r>
      <w:r w:rsidRPr="007B7E4B">
        <w:t xml:space="preserve"> vs theta waveform of the model with linear material</w:t>
      </w:r>
    </w:p>
    <w:p w:rsidR="008E7C15" w:rsidRDefault="008E7C15" w:rsidP="008E7C15"/>
    <w:p w:rsidR="008E7C15" w:rsidRDefault="008E7C15" w:rsidP="008E7C15">
      <w:r>
        <w:t>c)</w:t>
      </w:r>
    </w:p>
    <w:p w:rsidR="00B21E8E" w:rsidRDefault="00B21E8E" w:rsidP="00B21E8E">
      <w:pPr>
        <w:ind w:firstLine="720"/>
      </w:pPr>
      <w:r>
        <w:t xml:space="preserve">The analytical calculations and finite element analysis results were close the each other but since I have assumed that the inductance of the system is sinusoidal, the waveform was different from what is calculated. Also, the inductance values </w:t>
      </w:r>
      <w:r w:rsidR="00D9368C">
        <w:t>are</w:t>
      </w:r>
      <w:r>
        <w:t xml:space="preserve"> found differently from analytical results because of all the assumptions that is made in the beginning in the question. In finite element analysis, fringing flux, non-homogenous distribution of the flux is taken into the </w:t>
      </w:r>
      <w:r w:rsidR="00D9368C">
        <w:t>account</w:t>
      </w:r>
      <w:r>
        <w:t xml:space="preserve"> which results in </w:t>
      </w:r>
      <w:r w:rsidR="00D9368C">
        <w:t>somewhat different outcomes of each calculation methods.</w:t>
      </w:r>
    </w:p>
    <w:p w:rsidR="00036F79" w:rsidRDefault="00E66C55" w:rsidP="00036F79">
      <w:pPr>
        <w:keepNext/>
      </w:pPr>
      <w:r w:rsidRPr="00E66C55">
        <w:rPr>
          <w:noProof/>
        </w:rPr>
        <w:lastRenderedPageBreak/>
        <w:drawing>
          <wp:inline distT="0" distB="0" distL="0" distR="0" wp14:anchorId="3FD99218" wp14:editId="7D63769C">
            <wp:extent cx="5731510" cy="3037205"/>
            <wp:effectExtent l="0" t="0" r="254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731510" cy="3037205"/>
                    </a:xfrm>
                    <a:prstGeom prst="rect">
                      <a:avLst/>
                    </a:prstGeom>
                  </pic:spPr>
                </pic:pic>
              </a:graphicData>
            </a:graphic>
          </wp:inline>
        </w:drawing>
      </w:r>
    </w:p>
    <w:p w:rsidR="00E66C55" w:rsidRDefault="00036F79" w:rsidP="00036F79">
      <w:pPr>
        <w:pStyle w:val="Caption"/>
        <w:jc w:val="center"/>
      </w:pPr>
      <w:r>
        <w:t xml:space="preserve">Figure </w:t>
      </w:r>
      <w:r w:rsidR="00CE3FC1">
        <w:fldChar w:fldCharType="begin"/>
      </w:r>
      <w:r w:rsidR="00CE3FC1">
        <w:instrText xml:space="preserve"> SEQ Figure \* ARABIC </w:instrText>
      </w:r>
      <w:r w:rsidR="00CE3FC1">
        <w:fldChar w:fldCharType="separate"/>
      </w:r>
      <w:r w:rsidR="00D9368C">
        <w:rPr>
          <w:noProof/>
        </w:rPr>
        <w:t>7</w:t>
      </w:r>
      <w:r w:rsidR="00CE3FC1">
        <w:rPr>
          <w:noProof/>
        </w:rPr>
        <w:fldChar w:fldCharType="end"/>
      </w:r>
      <w:r>
        <w:t>. Torque</w:t>
      </w:r>
      <w:r w:rsidRPr="009146BF">
        <w:t xml:space="preserve"> vs theta waveform of the model with linear material</w:t>
      </w:r>
    </w:p>
    <w:p w:rsidR="008E7C15" w:rsidRDefault="008E7C15" w:rsidP="008E7C15"/>
    <w:p w:rsidR="008E7C15" w:rsidRDefault="008E7C15" w:rsidP="008E7C15">
      <w:r>
        <w:t>3)</w:t>
      </w:r>
    </w:p>
    <w:p w:rsidR="008E7C15" w:rsidRPr="008E7C15" w:rsidRDefault="00E66C55" w:rsidP="008E7C15">
      <w:r>
        <w:t>a)</w:t>
      </w:r>
    </w:p>
    <w:p w:rsidR="00D2035B" w:rsidRDefault="00D2035B"/>
    <w:p w:rsidR="008E7C15" w:rsidRDefault="00D2035B" w:rsidP="008E7C15">
      <w:pPr>
        <w:keepNext/>
      </w:pPr>
      <w:r>
        <w:rPr>
          <w:noProof/>
        </w:rPr>
        <w:drawing>
          <wp:inline distT="0" distB="0" distL="0" distR="0" wp14:anchorId="531E3486" wp14:editId="72EA0037">
            <wp:extent cx="5731510" cy="29711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71165"/>
                    </a:xfrm>
                    <a:prstGeom prst="rect">
                      <a:avLst/>
                    </a:prstGeom>
                  </pic:spPr>
                </pic:pic>
              </a:graphicData>
            </a:graphic>
          </wp:inline>
        </w:drawing>
      </w:r>
    </w:p>
    <w:p w:rsidR="00D2035B" w:rsidRDefault="008E7C15" w:rsidP="008E7C15">
      <w:pPr>
        <w:pStyle w:val="Caption"/>
        <w:jc w:val="center"/>
      </w:pPr>
      <w:r>
        <w:t xml:space="preserve">Figure </w:t>
      </w:r>
      <w:r w:rsidR="00CE3FC1">
        <w:fldChar w:fldCharType="begin"/>
      </w:r>
      <w:r w:rsidR="00CE3FC1">
        <w:instrText xml:space="preserve"> SEQ Figure \* ARABIC </w:instrText>
      </w:r>
      <w:r w:rsidR="00CE3FC1">
        <w:fldChar w:fldCharType="separate"/>
      </w:r>
      <w:r w:rsidR="00D9368C">
        <w:rPr>
          <w:noProof/>
        </w:rPr>
        <w:t>8</w:t>
      </w:r>
      <w:r w:rsidR="00CE3FC1">
        <w:rPr>
          <w:noProof/>
        </w:rPr>
        <w:fldChar w:fldCharType="end"/>
      </w:r>
      <w:r>
        <w:t>.</w:t>
      </w:r>
      <w:r w:rsidRPr="00E015F8">
        <w:t>Flux density distribution</w:t>
      </w:r>
      <w:r>
        <w:t xml:space="preserve"> with non-ideal core</w:t>
      </w:r>
      <w:r w:rsidRPr="00E015F8">
        <w:t xml:space="preserve"> at theta is equal to 0 degrees.</w:t>
      </w:r>
    </w:p>
    <w:p w:rsidR="0016112A" w:rsidRDefault="0016112A"/>
    <w:p w:rsidR="008E7C15" w:rsidRDefault="0016112A" w:rsidP="008E7C15">
      <w:pPr>
        <w:keepNext/>
      </w:pPr>
      <w:r>
        <w:rPr>
          <w:noProof/>
        </w:rPr>
        <w:lastRenderedPageBreak/>
        <w:drawing>
          <wp:inline distT="0" distB="0" distL="0" distR="0" wp14:anchorId="7C1DDFE9" wp14:editId="30C30673">
            <wp:extent cx="5731510" cy="33489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48990"/>
                    </a:xfrm>
                    <a:prstGeom prst="rect">
                      <a:avLst/>
                    </a:prstGeom>
                  </pic:spPr>
                </pic:pic>
              </a:graphicData>
            </a:graphic>
          </wp:inline>
        </w:drawing>
      </w:r>
    </w:p>
    <w:p w:rsidR="0016112A" w:rsidRDefault="008E7C15" w:rsidP="008E7C15">
      <w:pPr>
        <w:pStyle w:val="Caption"/>
        <w:jc w:val="center"/>
      </w:pPr>
      <w:r>
        <w:t xml:space="preserve">Figure </w:t>
      </w:r>
      <w:r w:rsidR="00CE3FC1">
        <w:fldChar w:fldCharType="begin"/>
      </w:r>
      <w:r w:rsidR="00CE3FC1">
        <w:instrText xml:space="preserve"> SEQ Figure \* ARABIC </w:instrText>
      </w:r>
      <w:r w:rsidR="00CE3FC1">
        <w:fldChar w:fldCharType="separate"/>
      </w:r>
      <w:r w:rsidR="00D9368C">
        <w:rPr>
          <w:noProof/>
        </w:rPr>
        <w:t>9</w:t>
      </w:r>
      <w:r w:rsidR="00CE3FC1">
        <w:rPr>
          <w:noProof/>
        </w:rPr>
        <w:fldChar w:fldCharType="end"/>
      </w:r>
      <w:r w:rsidRPr="00B81A84">
        <w:t xml:space="preserve">.Flux density distribution with non-ideal core at theta is equal to </w:t>
      </w:r>
      <w:r>
        <w:t>45</w:t>
      </w:r>
      <w:r w:rsidRPr="00B81A84">
        <w:t xml:space="preserve"> degrees.</w:t>
      </w:r>
    </w:p>
    <w:p w:rsidR="0016112A" w:rsidRDefault="0016112A"/>
    <w:p w:rsidR="008E7C15" w:rsidRDefault="0016112A" w:rsidP="008E7C15">
      <w:pPr>
        <w:keepNext/>
        <w:jc w:val="center"/>
      </w:pPr>
      <w:r>
        <w:rPr>
          <w:noProof/>
        </w:rPr>
        <w:drawing>
          <wp:inline distT="0" distB="0" distL="0" distR="0" wp14:anchorId="6EA12BC9" wp14:editId="5870C723">
            <wp:extent cx="5731510" cy="33489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48990"/>
                    </a:xfrm>
                    <a:prstGeom prst="rect">
                      <a:avLst/>
                    </a:prstGeom>
                  </pic:spPr>
                </pic:pic>
              </a:graphicData>
            </a:graphic>
          </wp:inline>
        </w:drawing>
      </w:r>
    </w:p>
    <w:p w:rsidR="0016112A" w:rsidRDefault="008E7C15" w:rsidP="008E7C15">
      <w:pPr>
        <w:pStyle w:val="Caption"/>
        <w:jc w:val="center"/>
      </w:pPr>
      <w:r>
        <w:t xml:space="preserve">Figure </w:t>
      </w:r>
      <w:r w:rsidR="00CE3FC1">
        <w:fldChar w:fldCharType="begin"/>
      </w:r>
      <w:r w:rsidR="00CE3FC1">
        <w:instrText xml:space="preserve"> SEQ Figure \* ARABIC </w:instrText>
      </w:r>
      <w:r w:rsidR="00CE3FC1">
        <w:fldChar w:fldCharType="separate"/>
      </w:r>
      <w:r w:rsidR="00D9368C">
        <w:rPr>
          <w:noProof/>
        </w:rPr>
        <w:t>10</w:t>
      </w:r>
      <w:r w:rsidR="00CE3FC1">
        <w:rPr>
          <w:noProof/>
        </w:rPr>
        <w:fldChar w:fldCharType="end"/>
      </w:r>
      <w:r w:rsidRPr="008338C1">
        <w:t xml:space="preserve">.Flux density distribution with non-ideal core at theta is equal to </w:t>
      </w:r>
      <w:r>
        <w:t>9</w:t>
      </w:r>
      <w:r w:rsidRPr="008338C1">
        <w:t>0 degrees.</w:t>
      </w:r>
    </w:p>
    <w:p w:rsidR="008E7C15" w:rsidRDefault="00E66C55" w:rsidP="008E7C15">
      <w:r>
        <w:t>b)</w:t>
      </w:r>
    </w:p>
    <w:p w:rsidR="00036F79" w:rsidRDefault="00E66C55" w:rsidP="00036F79">
      <w:pPr>
        <w:keepNext/>
      </w:pPr>
      <w:r w:rsidRPr="00E66C55">
        <w:rPr>
          <w:noProof/>
        </w:rPr>
        <w:lastRenderedPageBreak/>
        <w:drawing>
          <wp:inline distT="0" distB="0" distL="0" distR="0" wp14:anchorId="3922F0D3" wp14:editId="6F24E78E">
            <wp:extent cx="5731510" cy="3037205"/>
            <wp:effectExtent l="0" t="0" r="254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731510" cy="3037205"/>
                    </a:xfrm>
                    <a:prstGeom prst="rect">
                      <a:avLst/>
                    </a:prstGeom>
                  </pic:spPr>
                </pic:pic>
              </a:graphicData>
            </a:graphic>
          </wp:inline>
        </w:drawing>
      </w:r>
    </w:p>
    <w:p w:rsidR="00E66C55" w:rsidRDefault="00036F79" w:rsidP="00036F79">
      <w:pPr>
        <w:pStyle w:val="Caption"/>
        <w:jc w:val="center"/>
      </w:pPr>
      <w:r>
        <w:t xml:space="preserve">Figure </w:t>
      </w:r>
      <w:r w:rsidR="00CE3FC1">
        <w:fldChar w:fldCharType="begin"/>
      </w:r>
      <w:r w:rsidR="00CE3FC1">
        <w:instrText xml:space="preserve"> SEQ Figure \* ARABIC </w:instrText>
      </w:r>
      <w:r w:rsidR="00CE3FC1">
        <w:fldChar w:fldCharType="separate"/>
      </w:r>
      <w:r w:rsidR="00D9368C">
        <w:rPr>
          <w:noProof/>
        </w:rPr>
        <w:t>11</w:t>
      </w:r>
      <w:r w:rsidR="00CE3FC1">
        <w:rPr>
          <w:noProof/>
        </w:rPr>
        <w:fldChar w:fldCharType="end"/>
      </w:r>
      <w:r>
        <w:t xml:space="preserve">. </w:t>
      </w:r>
      <w:r w:rsidRPr="009726C8">
        <w:t xml:space="preserve">Inductance vs theta waveform of the model with </w:t>
      </w:r>
      <w:r>
        <w:t>non-</w:t>
      </w:r>
      <w:r w:rsidRPr="009726C8">
        <w:t>linear material</w:t>
      </w:r>
    </w:p>
    <w:p w:rsidR="00E66C55" w:rsidRDefault="00E66C55" w:rsidP="008E7C15"/>
    <w:p w:rsidR="00036F79" w:rsidRDefault="00E66C55" w:rsidP="00036F79">
      <w:pPr>
        <w:keepNext/>
      </w:pPr>
      <w:r w:rsidRPr="00E66C55">
        <w:rPr>
          <w:noProof/>
        </w:rPr>
        <w:drawing>
          <wp:inline distT="0" distB="0" distL="0" distR="0" wp14:anchorId="055709FD" wp14:editId="1FA08D8B">
            <wp:extent cx="5731510" cy="3037205"/>
            <wp:effectExtent l="0" t="0" r="254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731510" cy="3037205"/>
                    </a:xfrm>
                    <a:prstGeom prst="rect">
                      <a:avLst/>
                    </a:prstGeom>
                  </pic:spPr>
                </pic:pic>
              </a:graphicData>
            </a:graphic>
          </wp:inline>
        </w:drawing>
      </w:r>
    </w:p>
    <w:p w:rsidR="00E66C55" w:rsidRDefault="00036F79" w:rsidP="00036F79">
      <w:pPr>
        <w:pStyle w:val="Caption"/>
        <w:jc w:val="center"/>
      </w:pPr>
      <w:r>
        <w:t xml:space="preserve">Figure </w:t>
      </w:r>
      <w:r w:rsidR="00CE3FC1">
        <w:fldChar w:fldCharType="begin"/>
      </w:r>
      <w:r w:rsidR="00CE3FC1">
        <w:instrText xml:space="preserve"> SEQ Figure \* ARABIC </w:instrText>
      </w:r>
      <w:r w:rsidR="00CE3FC1">
        <w:fldChar w:fldCharType="separate"/>
      </w:r>
      <w:r w:rsidR="00D9368C">
        <w:rPr>
          <w:noProof/>
        </w:rPr>
        <w:t>12</w:t>
      </w:r>
      <w:r w:rsidR="00CE3FC1">
        <w:rPr>
          <w:noProof/>
        </w:rPr>
        <w:fldChar w:fldCharType="end"/>
      </w:r>
      <w:r>
        <w:t>. Energy</w:t>
      </w:r>
      <w:r w:rsidRPr="00612D1E">
        <w:t xml:space="preserve"> vs theta waveform of the model with non-linear material</w:t>
      </w:r>
    </w:p>
    <w:p w:rsidR="00E66C55" w:rsidRDefault="00E66C55" w:rsidP="008E7C15">
      <w:r>
        <w:t>c)</w:t>
      </w:r>
    </w:p>
    <w:p w:rsidR="00036F79" w:rsidRDefault="00E66C55" w:rsidP="00036F79">
      <w:pPr>
        <w:keepNext/>
      </w:pPr>
      <w:r w:rsidRPr="00E66C55">
        <w:rPr>
          <w:noProof/>
        </w:rPr>
        <w:lastRenderedPageBreak/>
        <w:drawing>
          <wp:inline distT="0" distB="0" distL="0" distR="0" wp14:anchorId="5F443171" wp14:editId="080FD7A1">
            <wp:extent cx="5731510" cy="3037205"/>
            <wp:effectExtent l="0" t="0" r="254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731510" cy="3037205"/>
                    </a:xfrm>
                    <a:prstGeom prst="rect">
                      <a:avLst/>
                    </a:prstGeom>
                  </pic:spPr>
                </pic:pic>
              </a:graphicData>
            </a:graphic>
          </wp:inline>
        </w:drawing>
      </w:r>
    </w:p>
    <w:p w:rsidR="00E66C55" w:rsidRDefault="00036F79" w:rsidP="00036F79">
      <w:pPr>
        <w:pStyle w:val="Caption"/>
        <w:jc w:val="center"/>
      </w:pPr>
      <w:r>
        <w:t xml:space="preserve">Figure </w:t>
      </w:r>
      <w:r w:rsidR="00CE3FC1">
        <w:fldChar w:fldCharType="begin"/>
      </w:r>
      <w:r w:rsidR="00CE3FC1">
        <w:instrText xml:space="preserve"> SEQ Figure \* ARABIC </w:instrText>
      </w:r>
      <w:r w:rsidR="00CE3FC1">
        <w:fldChar w:fldCharType="separate"/>
      </w:r>
      <w:r w:rsidR="00D9368C">
        <w:rPr>
          <w:noProof/>
        </w:rPr>
        <w:t>13</w:t>
      </w:r>
      <w:r w:rsidR="00CE3FC1">
        <w:rPr>
          <w:noProof/>
        </w:rPr>
        <w:fldChar w:fldCharType="end"/>
      </w:r>
      <w:r>
        <w:t>. Torque</w:t>
      </w:r>
      <w:r w:rsidRPr="00CC2CCB">
        <w:t xml:space="preserve"> vs theta waveform of the model with non-linear material</w:t>
      </w:r>
    </w:p>
    <w:p w:rsidR="008E7C15" w:rsidRDefault="008E7C15" w:rsidP="008E7C15">
      <w:r>
        <w:t>d)</w:t>
      </w:r>
    </w:p>
    <w:p w:rsidR="00D9368C" w:rsidRDefault="00D9368C" w:rsidP="008E7C15">
      <w:r>
        <w:tab/>
        <w:t xml:space="preserve">The difference between linear and non-linear materials is that </w:t>
      </w:r>
      <w:r w:rsidR="00CE3FC1">
        <w:t xml:space="preserve">core is saturated since flux density exceed saturation flux density of the chosen material, ST1010. This results in lower flux density creation the calculation. Lower flux density means lower inductance and torque values for the same setup. </w:t>
      </w:r>
    </w:p>
    <w:p w:rsidR="00CE3FC1" w:rsidRDefault="00CE3FC1" w:rsidP="008E7C15"/>
    <w:p w:rsidR="00CE3FC1" w:rsidRDefault="00CE3FC1" w:rsidP="00CE3FC1">
      <w:pPr>
        <w:ind w:firstLine="720"/>
      </w:pPr>
      <w:r>
        <w:t>5)</w:t>
      </w:r>
    </w:p>
    <w:p w:rsidR="00CE3FC1" w:rsidRDefault="00CE3FC1" w:rsidP="00CE3FC1">
      <w:pPr>
        <w:ind w:firstLine="720"/>
      </w:pPr>
      <w:r>
        <w:t xml:space="preserve">Animation can be found in following link: </w:t>
      </w:r>
    </w:p>
    <w:bookmarkStart w:id="1" w:name="_GoBack"/>
    <w:bookmarkEnd w:id="1"/>
    <w:p w:rsidR="00CE3FC1" w:rsidRDefault="00CE3FC1" w:rsidP="00CE3FC1">
      <w:pPr>
        <w:ind w:firstLine="720"/>
      </w:pPr>
      <w:r>
        <w:fldChar w:fldCharType="begin"/>
      </w:r>
      <w:r>
        <w:instrText xml:space="preserve"> HYPERLINK "</w:instrText>
      </w:r>
      <w:r w:rsidRPr="00CE3FC1">
        <w:instrText>https://github.com/tokgozfurkan/ee568/blob/master/Result/animation.avi</w:instrText>
      </w:r>
      <w:r>
        <w:instrText xml:space="preserve">" </w:instrText>
      </w:r>
      <w:r>
        <w:fldChar w:fldCharType="separate"/>
      </w:r>
      <w:r w:rsidRPr="005D4620">
        <w:rPr>
          <w:rStyle w:val="Hyperlink"/>
        </w:rPr>
        <w:t>https://github.com/tokgozfurkan/ee568/blob/master/Result/animation.avi</w:t>
      </w:r>
      <w:r>
        <w:fldChar w:fldCharType="end"/>
      </w:r>
    </w:p>
    <w:p w:rsidR="008E7C15" w:rsidRPr="008E7C15" w:rsidRDefault="008E7C15" w:rsidP="008E7C15"/>
    <w:sectPr w:rsidR="008E7C15" w:rsidRPr="008E7C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700189"/>
    <w:multiLevelType w:val="hybridMultilevel"/>
    <w:tmpl w:val="2CA4DA2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4E8"/>
    <w:rsid w:val="00036F79"/>
    <w:rsid w:val="000814E8"/>
    <w:rsid w:val="000D1418"/>
    <w:rsid w:val="000E0E6F"/>
    <w:rsid w:val="0016112A"/>
    <w:rsid w:val="0023087D"/>
    <w:rsid w:val="00320DC7"/>
    <w:rsid w:val="003637C5"/>
    <w:rsid w:val="008078FB"/>
    <w:rsid w:val="008E7C15"/>
    <w:rsid w:val="00B21E8E"/>
    <w:rsid w:val="00BA279F"/>
    <w:rsid w:val="00BB6745"/>
    <w:rsid w:val="00CA79B2"/>
    <w:rsid w:val="00CE3FC1"/>
    <w:rsid w:val="00D2035B"/>
    <w:rsid w:val="00D9368C"/>
    <w:rsid w:val="00DD3BA8"/>
    <w:rsid w:val="00E66C55"/>
    <w:rsid w:val="00E80334"/>
    <w:rsid w:val="00EC70E2"/>
    <w:rsid w:val="00FA67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7E1EB"/>
  <w15:chartTrackingRefBased/>
  <w15:docId w15:val="{1DC82118-0C95-43FD-B1D6-8CAC2AE5A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DD3BA8"/>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autoRedefine/>
    <w:uiPriority w:val="9"/>
    <w:unhideWhenUsed/>
    <w:qFormat/>
    <w:rsid w:val="00DD3BA8"/>
    <w:pPr>
      <w:keepNext/>
      <w:keepLines/>
      <w:spacing w:before="40" w:after="0"/>
      <w:outlineLvl w:val="1"/>
    </w:pPr>
    <w:rPr>
      <w:rFonts w:asciiTheme="majorHAnsi" w:eastAsiaTheme="majorEastAsia" w:hAnsiTheme="majorHAnsi" w:cstheme="majorBidi"/>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BA8"/>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DD3BA8"/>
    <w:rPr>
      <w:rFonts w:asciiTheme="majorHAnsi" w:eastAsiaTheme="majorEastAsia" w:hAnsiTheme="majorHAnsi" w:cstheme="majorBidi"/>
      <w:i/>
      <w:sz w:val="26"/>
      <w:szCs w:val="26"/>
    </w:rPr>
  </w:style>
  <w:style w:type="paragraph" w:styleId="ListParagraph">
    <w:name w:val="List Paragraph"/>
    <w:basedOn w:val="Normal"/>
    <w:uiPriority w:val="34"/>
    <w:qFormat/>
    <w:rsid w:val="003637C5"/>
    <w:pPr>
      <w:ind w:left="720"/>
      <w:contextualSpacing/>
    </w:pPr>
  </w:style>
  <w:style w:type="character" w:styleId="PlaceholderText">
    <w:name w:val="Placeholder Text"/>
    <w:basedOn w:val="DefaultParagraphFont"/>
    <w:uiPriority w:val="99"/>
    <w:semiHidden/>
    <w:rsid w:val="003637C5"/>
    <w:rPr>
      <w:color w:val="808080"/>
    </w:rPr>
  </w:style>
  <w:style w:type="paragraph" w:styleId="Caption">
    <w:name w:val="caption"/>
    <w:basedOn w:val="Normal"/>
    <w:next w:val="Normal"/>
    <w:uiPriority w:val="35"/>
    <w:unhideWhenUsed/>
    <w:qFormat/>
    <w:rsid w:val="00E80334"/>
    <w:pPr>
      <w:spacing w:after="200" w:line="240" w:lineRule="auto"/>
    </w:pPr>
    <w:rPr>
      <w:i/>
      <w:iCs/>
      <w:color w:val="44546A" w:themeColor="text2"/>
      <w:sz w:val="18"/>
      <w:szCs w:val="18"/>
    </w:rPr>
  </w:style>
  <w:style w:type="character" w:styleId="Hyperlink">
    <w:name w:val="Hyperlink"/>
    <w:basedOn w:val="DefaultParagraphFont"/>
    <w:uiPriority w:val="99"/>
    <w:unhideWhenUsed/>
    <w:rsid w:val="00CE3FC1"/>
    <w:rPr>
      <w:color w:val="0563C1" w:themeColor="hyperlink"/>
      <w:u w:val="single"/>
    </w:rPr>
  </w:style>
  <w:style w:type="character" w:styleId="UnresolvedMention">
    <w:name w:val="Unresolved Mention"/>
    <w:basedOn w:val="DefaultParagraphFont"/>
    <w:uiPriority w:val="99"/>
    <w:semiHidden/>
    <w:unhideWhenUsed/>
    <w:rsid w:val="00CE3F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svg"/><Relationship Id="rId7" Type="http://schemas.openxmlformats.org/officeDocument/2006/relationships/image" Target="media/image2.svg"/><Relationship Id="rId12" Type="http://schemas.openxmlformats.org/officeDocument/2006/relationships/image" Target="media/image7.svg"/><Relationship Id="rId17" Type="http://schemas.openxmlformats.org/officeDocument/2006/relationships/image" Target="media/image12.png"/><Relationship Id="rId25" Type="http://schemas.openxmlformats.org/officeDocument/2006/relationships/image" Target="media/image20.svg"/><Relationship Id="rId2" Type="http://schemas.openxmlformats.org/officeDocument/2006/relationships/numbering" Target="numbering.xml"/><Relationship Id="rId16" Type="http://schemas.openxmlformats.org/officeDocument/2006/relationships/image" Target="media/image11.sv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sv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sv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95B57-D956-4F3A-8483-217A81C41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5684</TotalTime>
  <Pages>8</Pages>
  <Words>652</Words>
  <Characters>3721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Furkan Tokgöz</dc:creator>
  <cp:keywords/>
  <dc:description/>
  <cp:lastModifiedBy>Furkan Tokgöz</cp:lastModifiedBy>
  <cp:revision>5</cp:revision>
  <dcterms:created xsi:type="dcterms:W3CDTF">2020-03-03T10:31:00Z</dcterms:created>
  <dcterms:modified xsi:type="dcterms:W3CDTF">2020-03-08T11:33:00Z</dcterms:modified>
</cp:coreProperties>
</file>