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MH 拆解（作品集版）</w:t>
      </w:r>
    </w:p>
    <w:p/>
    <w:p>
      <w:pPr>
        <w:spacing w:before="200" w:after="80"/>
      </w:pPr>
      <w:r>
        <w:rPr>
          <w:b/>
          <w:sz w:val="24"/>
          <w:rFonts w:eastAsia="微软雅黑"/>
        </w:rPr>
        <w:t xml:space="preserve"> 文档结构  Contents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一、 战斗系统框图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二、 主被动反应频率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三、 操作精度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四、 精通循环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五、 武器系统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六、 连招派生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七、 和怪物的交互点设计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八、 怪物的动作招式和派生（泡狐龙）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九、 招式与生态 / 特点 / 外形的结合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  <w:t>•  十、 状态切换的设计与玩家感知</w:t>
      </w:r>
    </w:p>
    <w:p/>
    <w:p/>
    <w:p>
      <w:pPr>
        <w:spacing w:before="360" w:after="160"/>
      </w:pPr>
      <w:r>
        <w:rPr>
          <w:b/>
          <w:sz w:val="28"/>
          <w:rFonts w:eastAsia="微软雅黑"/>
        </w:rPr>
        <w:t>一、 战斗系统框图</w:t>
      </w:r>
    </w:p>
    <w:p>
      <w:pPr>
        <w:spacing w:before="120" w:after="40"/>
        <w:jc w:val="center"/>
      </w:pPr>
      <w:r>
        <w:rPr>
          <w:b/>
          <w:sz w:val="22"/>
          <w:rFonts w:eastAsia="微软雅黑"/>
        </w:rPr>
        <w:t>图 1  战斗系统框图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 w:ascii="微软雅黑" w:hAnsi="微软雅黑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>
      <w:pPr>
        <w:spacing w:line="372" w:lineRule="auto" w:after="40" w:before="80"/>
        <w:ind w:firstLine="420"/>
      </w:pPr>
      <w:r>
        <w:t>玩家行为(大类):攻击 / 移动 / 闪避 / 防御</w:t>
      </w:r>
    </w:p>
    <w:p>
      <w:pPr>
        <w:spacing w:line="372" w:lineRule="auto" w:after="40" w:before="80"/>
        <w:ind w:firstLine="420"/>
      </w:pPr>
      <w:r>
        <w:t>战中资源:玩家侧(体力 / 耐力 / 武器的资源循环)+ 敌人资源(生命值)</w:t>
      </w:r>
    </w:p>
    <w:p>
      <w:pPr>
        <w:spacing w:line="372" w:lineRule="auto" w:after="40" w:before="80"/>
        <w:ind w:firstLine="420"/>
      </w:pPr>
      <w:r>
        <w:t>敌人状态:正常 / 发怒 / 气绝状态 / 倒地 / 濒死 / 死亡 + 部分敌人特殊状态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二、 主被动反应频率</w:t>
      </w:r>
    </w:p>
    <w:p>
      <w:pPr>
        <w:spacing w:before="120" w:after="40"/>
        <w:jc w:val="center"/>
      </w:pPr>
      <w:r>
        <w:rPr>
          <w:b/>
          <w:sz w:val="22"/>
          <w:rFonts w:eastAsia="微软雅黑"/>
        </w:rPr>
        <w:t>图 2  主被动反应频率拆解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 w:ascii="微软雅黑" w:hAnsi="微软雅黑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/>
    <w:p>
      <w:pPr>
        <w:spacing w:before="360" w:after="160"/>
      </w:pPr>
      <w:r>
        <w:rPr>
          <w:b/>
          <w:sz w:val="28"/>
          <w:rFonts w:eastAsia="微软雅黑"/>
        </w:rPr>
        <w:t>三、 操作精度</w:t>
      </w:r>
    </w:p>
    <w:p>
      <w:pPr>
        <w:spacing w:before="200" w:after="80"/>
      </w:pPr>
      <w:r>
        <w:rPr>
          <w:b/>
          <w:sz w:val="24"/>
          <w:rFonts w:eastAsia="微软雅黑"/>
        </w:rPr>
        <w:t>· 3.1 指令复杂度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 w:ascii="微软雅黑" w:hAnsi="微软雅黑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>
      <w:pPr>
        <w:spacing w:before="200" w:after="80"/>
      </w:pPr>
      <w:r>
        <w:rPr>
          <w:b/>
          <w:sz w:val="24"/>
          <w:rFonts w:eastAsia="微软雅黑"/>
        </w:rPr>
        <w:t>· 3.2 空间精度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 w:ascii="微软雅黑" w:hAnsi="微软雅黑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>
      <w:pPr>
        <w:spacing w:before="200" w:after="80"/>
      </w:pPr>
      <w:r>
        <w:rPr>
          <w:b/>
          <w:sz w:val="24"/>
          <w:rFonts w:eastAsia="微软雅黑"/>
        </w:rPr>
        <w:t>· 3.3 时间精度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 w:ascii="微软雅黑" w:hAnsi="微软雅黑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>
      <w:pPr>
        <w:spacing w:before="120" w:after="40"/>
        <w:jc w:val="center"/>
      </w:pPr>
      <w:r>
        <w:rPr>
          <w:b/>
          <w:sz w:val="22"/>
          <w:rFonts w:eastAsia="微软雅黑"/>
        </w:rPr>
        <w:t>图 3  操作精度三维对比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四、 精通循环</w:t>
      </w:r>
    </w:p>
    <w:p>
      <w:pPr>
        <w:spacing w:line="372" w:lineRule="auto" w:after="40" w:before="80"/>
        <w:ind w:firstLine="420"/>
      </w:pPr>
      <w:r>
        <w:rPr>
          <w:sz w:val="22"/>
          <w:rFonts w:eastAsia="微软雅黑"/>
        </w:rPr>
      </w:r>
    </w:p>
    <w:p>
      <w:pPr>
        <w:spacing w:before="200" w:after="80"/>
      </w:pPr>
      <w:r>
        <w:rPr>
          <w:b/>
          <w:sz w:val="24"/>
          <w:rFonts w:eastAsia="微软雅黑"/>
        </w:rPr>
        <w:t>· 4.1 策略完备度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 w:ascii="微软雅黑" w:hAnsi="微软雅黑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>
      <w:pPr>
        <w:spacing w:before="200" w:after="80"/>
      </w:pPr>
      <w:r>
        <w:rPr>
          <w:b/>
          <w:sz w:val="24"/>
          <w:rFonts w:eastAsia="微软雅黑"/>
        </w:rPr>
        <w:t>· 4.2 反应速度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 w:ascii="微软雅黑" w:hAnsi="微软雅黑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>
      <w:pPr>
        <w:spacing w:before="200" w:after="80"/>
      </w:pPr>
      <w:r>
        <w:rPr>
          <w:b/>
          <w:sz w:val="24"/>
          <w:rFonts w:eastAsia="微软雅黑"/>
        </w:rPr>
        <w:t>· 4.3 难度设计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 w:ascii="微软雅黑" w:hAnsi="微软雅黑"/>
        </w:rPr>
      </w:r>
    </w:p>
    <w:p>
      <w:pPr>
        <w:spacing w:line="372" w:lineRule="auto" w:after="40" w:before="80"/>
        <w:ind w:firstLine="420"/>
      </w:pPr>
      <w:r>
        <w:rPr>
          <w:rFonts w:eastAsia="微软雅黑" w:ascii="Times New Roman" w:hAnsi="Times New Roman"/>
          <w:sz w:val="22"/>
        </w:rPr>
      </w:r>
    </w:p>
    <w:p/>
    <w:p>
      <w:pPr>
        <w:spacing w:before="360" w:after="160"/>
      </w:pPr>
      <w:r>
        <w:rPr>
          <w:b/>
          <w:sz w:val="28"/>
          <w:rFonts w:eastAsia="微软雅黑"/>
        </w:rPr>
        <w:t>五、 武器系统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[待用户填写：14 把武器的差异化设计 —— 操作风格 / 输出窗口 / 防御机制的对比；怎么形成"武器族谱"维度的战斗体验？]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六、 连招派生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[待用户填写：每把武器的连招派生 —— 出招表的前置 / 派生 / 取消条件；玩家怎么从中找到输出循环？]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七、 和怪物的交互点设计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[待用户填写：玩家在战斗中"跟怪物互动"的关键时刻 —— 集中弱点攻击 / 伤口破坏 / 部位破坏 / 骑乘 / 跳劈 等设计意图。]</w:t>
      </w:r>
    </w:p>
    <w:p/>
    <w:p/>
    <w:p>
      <w:pPr>
        <w:spacing w:before="360" w:after="160"/>
      </w:pPr>
      <w:r>
        <w:rPr>
          <w:b/>
          <w:sz w:val="28"/>
          <w:rFonts w:eastAsia="微软雅黑"/>
        </w:rPr>
        <w:t>八、 怪物的动作招式和派生（泡狐龙）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[待用户填写：泡狐龙的招式库 —— 基础招式 / 愤怒后专属 / 泡沫状态下变化；4 种状态的派生差异；跳跃起手 6 种 → 各自派生链。]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九、 招式与生态 / 特点 / 外形的结合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[待用户填写：泡狐龙的招式设计如何呼应它的"海龙种 + 优雅舞者 + 泡沫分泌"生态特点？身形（长尾 + 修长脖颈）如何影响攻击方式？]</w:t>
      </w:r>
    </w:p>
    <w:p/>
    <w:p>
      <w:pPr>
        <w:spacing w:before="360" w:after="160"/>
      </w:pPr>
      <w:r>
        <w:rPr>
          <w:b/>
          <w:sz w:val="28"/>
          <w:rFonts w:eastAsia="微软雅黑"/>
        </w:rPr>
        <w:t>十、 状态切换的设计与玩家感知</w:t>
      </w:r>
    </w:p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[待用户填写：通常 → 愤怒 → 泡沫 → 疲劳 4 状态如何切换？视觉（颜色变化）/ 听觉（龙吼）/ 动作（洗澡）等多种信号怎么叠加？玩家怎么"看懂"状态变化？]</w:t>
      </w:r>
    </w:p>
    <w:p/>
    <w:p/>
    <w:p>
      <w:pPr>
        <w:spacing w:line="372" w:lineRule="auto" w:after="40" w:before="80"/>
        <w:ind w:firstLine="420"/>
      </w:pPr>
      <w:r>
        <w:rPr>
          <w:i/>
          <w:color w:val="808080"/>
          <w:sz w:val="22"/>
          <w:rFonts w:eastAsia="微软雅黑"/>
        </w:rPr>
        <w:t>（最后更新：2026-07-06）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