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Workprint Refined Product Roadmap</w:t>
      </w:r>
    </w:p>
    <w:p>
      <w:r>
        <w:rPr>
          <w:b/>
        </w:rPr>
        <w:t>A decision-ready PRD, TRD, experience schematic, data architecture, and validation roadmap</w:t>
      </w:r>
    </w:p>
    <w:p>
      <w:pPr>
        <w:spacing w:after="140" w:line="269" w:lineRule="auto"/>
      </w:pPr>
      <w:r>
        <w:t>Prepared after a six-discipline product review of the Workprint repository and Anthropic Academy AI Fluency Framework Foundations. 21 September 2026.</w:t>
      </w:r>
    </w:p>
    <w:p>
      <w:pPr>
        <w:pStyle w:val="Heading1"/>
      </w:pPr>
      <w:r>
        <w:rPr>
          <w:color w:val="000000"/>
        </w:rPr>
        <w:t>Recommendation</w:t>
      </w:r>
    </w:p>
    <w:p>
      <w:pPr>
        <w:spacing w:after="140" w:line="269" w:lineRule="auto"/>
      </w:pPr>
      <w:r>
        <w:t>Continue only with a narrower promise: a private, user-curated, evidence-linked project recap and reflection workspace. Do not position Workprint as proof of authorship, contribution, ownership, audit-grade provenance, or AI-fluency assessment.</w:t>
      </w:r>
    </w:p>
    <w:p>
      <w:pPr>
        <w:spacing w:after="140" w:line="269" w:lineRule="auto"/>
      </w:pPr>
      <w:r>
        <w:t>The underlying evidence pipeline is worth preserving. The current web flow is not ready to ship as a trust product: it can advance to a sample-looking discovery without selected evidence, it separates the on-screen provider insight from the exported report, and its advertised file-import paths do not all reach the investigation pipeline.</w:t>
      </w:r>
    </w:p>
    <w:p>
      <w:pPr>
        <w:pStyle w:val="Heading2"/>
      </w:pPr>
      <w:r>
        <w:rPr>
          <w:color w:val="000000"/>
        </w:rPr>
        <w:t>Decision requested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Decision</w:t>
            </w:r>
          </w:p>
        </w:tc>
        <w:tc>
          <w:tcPr>
            <w:tcW w:type="dxa" w:w="309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Recommendation</w:t>
            </w:r>
          </w:p>
        </w:tc>
        <w:tc>
          <w:tcPr>
            <w:tcW w:type="dxa" w:w="439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Why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Product scope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Approve the v1 “evidence-linked project recap” thesis.</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It is feasible with current evidence boundaries and has a testable user value.</w:t>
            </w:r>
          </w:p>
        </w:tc>
      </w:tr>
      <w:tr>
        <w:tc>
          <w:tcPr>
            <w:tcW w:type="dxa" w:w="194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Current first-run flow</w:t>
            </w:r>
          </w:p>
        </w:tc>
        <w:tc>
          <w:tcPr>
            <w:tcW w:type="dxa" w:w="309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Remove from release until Phase 1 passes.</w:t>
            </w:r>
          </w:p>
        </w:tc>
        <w:tc>
          <w:tcPr>
            <w:tcW w:type="dxa" w:w="43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It creates a material provenance and consent failure.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Target market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Test independent product, design, and engineering creators first.</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 single first use case is necessary; hiring, compliance, and audit needs conflict.</w:t>
            </w:r>
          </w:p>
        </w:tc>
      </w:tr>
      <w:tr>
        <w:tc>
          <w:tcPr>
            <w:tcW w:type="dxa" w:w="194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AI Fluency</w:t>
            </w:r>
          </w:p>
        </w:tc>
        <w:tc>
          <w:tcPr>
            <w:tcW w:type="dxa" w:w="309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 as guided reflection, never scoring.</w:t>
            </w:r>
          </w:p>
        </w:tc>
        <w:tc>
          <w:tcPr>
            <w:tcW w:type="dxa" w:w="43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The framework is about effective, ethical human-AI collaboration, not judging a person from tool traces.</w:t>
            </w:r>
          </w:p>
        </w:tc>
      </w:tr>
    </w:tbl>
    <w:p>
      <w:pPr>
        <w:spacing w:after="60"/>
      </w:pPr>
    </w:p>
    <w:p>
      <w:r>
        <w:br w:type="page"/>
      </w:r>
    </w:p>
    <w:p>
      <w:pPr>
        <w:pStyle w:val="Heading1"/>
      </w:pPr>
      <w:r>
        <w:rPr>
          <w:color w:val="000000"/>
        </w:rPr>
        <w:t>1  Viability Assessment and Product Boundary</w:t>
      </w:r>
    </w:p>
    <w:p>
      <w:pPr>
        <w:spacing w:after="140" w:line="269" w:lineRule="auto"/>
      </w:pPr>
      <w:r>
        <w:t>The product is technically and ethically viable if it helps a person assemble and inspect a bounded account of selected evidence. It is not viable if the business model requires a defensible answer to who authored, owned, or contributed what across incomplete chats, static documents, and Git metadata.</w:t>
      </w:r>
    </w:p>
    <w:p>
      <w:pPr>
        <w:pStyle w:val="Heading2"/>
      </w:pPr>
      <w:r>
        <w:rPr>
          <w:color w:val="000000"/>
        </w:rPr>
        <w:t>Core thesis</w:t>
      </w:r>
    </w:p>
    <w:p>
      <w:pPr>
        <w:spacing w:after="140" w:line="269" w:lineRule="auto"/>
      </w:pPr>
      <w:r>
        <w:t>For an AI-enabled creator preparing a project review, handoff, or portfolio case study, Workprint turns explicitly selected, authorized project evidence into a concise brief whose claims, gaps, and AI-use disclosure can be inspected by a skeptical reader.</w:t>
      </w:r>
    </w:p>
    <w:p>
      <w:pPr>
        <w:pStyle w:val="Heading2"/>
      </w:pPr>
      <w:r>
        <w:rPr>
          <w:color w:val="000000"/>
        </w:rPr>
        <w:t>Job to be done</w:t>
      </w:r>
    </w:p>
    <w:p>
      <w:pPr>
        <w:spacing w:after="140" w:line="269" w:lineRule="auto"/>
      </w:pPr>
      <w:r>
        <w:t>When I need to explain an AI-assisted project without overstating what I did or what AI did, help me assemble an evidence-backed account of material decisions, evolution, and unknowns in under 15 minutes.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Keep</w:t>
            </w:r>
          </w:p>
        </w:tc>
        <w:tc>
          <w:tcPr>
            <w:tcW w:type="dxa" w:w="482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Explicit non-goal</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Evidence-linked recap, handoff, reflection, and reader understanding</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Authorship, ownership, effort, productivity, value, or contribution percentages</w:t>
            </w:r>
          </w:p>
        </w:tc>
      </w:tr>
      <w:tr>
        <w:tc>
          <w:tcPr>
            <w:tcW w:type="dxa" w:w="460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Candidate AI synthesis held to cited evidence and user review</w:t>
            </w:r>
          </w:p>
        </w:tc>
        <w:tc>
          <w:tcPr>
            <w:tcW w:type="dxa" w:w="48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Employment, promotion, academic-integrity, or formal audit evidence</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AI Fluency reflection prompts and optional next actions</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4D score, inferred competency, ranking, or achievement language</w:t>
            </w:r>
          </w:p>
        </w:tc>
      </w:tr>
      <w:tr>
        <w:tc>
          <w:tcPr>
            <w:tcW w:type="dxa" w:w="460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Local-first evidence handling and user-controlled export</w:t>
            </w:r>
          </w:p>
        </w:tc>
        <w:tc>
          <w:tcPr>
            <w:tcW w:type="dxa" w:w="48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Universal “connect every work tool” integrations before the first slice works</w:t>
            </w:r>
          </w:p>
        </w:tc>
      </w:tr>
    </w:tbl>
    <w:p>
      <w:pPr>
        <w:spacing w:after="60"/>
      </w:pPr>
    </w:p>
    <w:p>
      <w:pPr>
        <w:pStyle w:val="Heading2"/>
      </w:pPr>
      <w:r>
        <w:rPr>
          <w:color w:val="000000"/>
        </w:rPr>
        <w:t>Go no-go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Gate</w:t>
            </w:r>
          </w:p>
        </w:tc>
        <w:tc>
          <w:tcPr>
            <w:tcW w:type="dxa" w:w="432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Pass condition</w:t>
            </w:r>
          </w:p>
        </w:tc>
        <w:tc>
          <w:tcPr>
            <w:tcW w:type="dxa" w:w="345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Pivot or stop if failed</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evidence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60% of screened target users can assemble authorized, interpretable evidence for one project.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Pivot to a private evidence notebook / reflection worksheet.</w:t>
            </w:r>
          </w:p>
        </w:tc>
      </w:tr>
      <w:tr>
        <w:tc>
          <w:tcPr>
            <w:tcW w:type="dxa" w:w="16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Grounding</w:t>
            </w:r>
          </w:p>
        </w:tc>
        <w:tc>
          <w:tcPr>
            <w:tcW w:type="dxa" w:w="432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100% of human-audited material claims are entailed by cited spans; 0 material overclaims.</w:t>
            </w:r>
          </w:p>
        </w:tc>
        <w:tc>
          <w:tcPr>
            <w:tcW w:type="dxa" w:w="34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Restrict to local evidence map; remove AI narrative.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Reader value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Readers answer goal, two decisions, and one limitation at least 20 points more accurately or 25% faster than raw artifacts.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Do not continue reviewer-facing report development.</w:t>
            </w:r>
          </w:p>
        </w:tc>
      </w:tr>
      <w:tr>
        <w:tc>
          <w:tcPr>
            <w:tcW w:type="dxa" w:w="16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Usability</w:t>
            </w:r>
          </w:p>
        </w:tc>
        <w:tc>
          <w:tcPr>
            <w:tcW w:type="dxa" w:w="432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70% of qualified users complete a first report without terminal or developer help.</w:t>
            </w:r>
          </w:p>
        </w:tc>
        <w:tc>
          <w:tcPr>
            <w:tcW w:type="dxa" w:w="34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Solve service model or retain local-only experience.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Consent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0 seeded-secret escapes and packet/permission preview is completed before dispatch.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Do not enable live provider reasoning.</w:t>
            </w:r>
          </w:p>
        </w:tc>
      </w:tr>
    </w:tbl>
    <w:p>
      <w:pPr>
        <w:spacing w:after="60"/>
      </w:pPr>
    </w:p>
    <w:p>
      <w:r>
        <w:br w:type="page"/>
      </w:r>
    </w:p>
    <w:p>
      <w:pPr>
        <w:pStyle w:val="Heading1"/>
      </w:pPr>
      <w:r>
        <w:rPr>
          <w:color w:val="000000"/>
        </w:rPr>
        <w:t>2  Current State Findings and Immediate Release Blocks</w:t>
      </w:r>
    </w:p>
    <w:p>
      <w:pPr>
        <w:spacing w:after="140" w:line="269" w:lineRule="auto"/>
      </w:pPr>
      <w:r>
        <w:t>These are contract failures, not visual polish issues. The initial release work should repair them before adding connectors, dashboards, or new report formats.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Priority</w:t>
            </w:r>
          </w:p>
        </w:tc>
        <w:tc>
          <w:tcPr>
            <w:tcW w:type="dxa" w:w="453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Finding</w:t>
            </w:r>
          </w:p>
        </w:tc>
        <w:tc>
          <w:tcPr>
            <w:tcW w:type="dxa" w:w="410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Required response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Start &gt; Sources &gt; Investigate is enabled without real selected evidence. The default sample path can show a personal-looking discovery; demo content is not persistently labelled.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evidence must lead to readiness guidance, never a claim, confidence band, or report. Move demo to a distinct, immutable demo session.</w:t>
            </w:r>
          </w:p>
        </w:tc>
      </w:tr>
      <w:tr>
        <w:tc>
          <w:tcPr>
            <w:tcW w:type="dxa" w:w="7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P0</w:t>
            </w:r>
          </w:p>
        </w:tc>
        <w:tc>
          <w:tcPr>
            <w:tcW w:type="dxa" w:w="453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The UI advances from Investigating after a fixed 3.2 seconds, regardless of actual local or provider completion/failure.</w:t>
            </w:r>
          </w:p>
        </w:tc>
        <w:tc>
          <w:tcPr>
            <w:tcW w:type="dxa" w:w="41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 backend-derived phases, cancellation, retry, and source-level status. No timed success transition.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 insight is displayed separately from the deterministic downloadable report. Its packet, citations, model, omissions, validation, and review state are not exported with it.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Create one canonical report/claim object and export exactly what the user reviewed.</w:t>
            </w:r>
          </w:p>
        </w:tc>
      </w:tr>
      <w:tr>
        <w:tc>
          <w:tcPr>
            <w:tcW w:type="dxa" w:w="7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P0</w:t>
            </w:r>
          </w:p>
        </w:tc>
        <w:tc>
          <w:tcPr>
            <w:tcW w:type="dxa" w:w="453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Browser-added ChatGPT, Google Docs, and Figma evidence is described as real evidence but does not flow through the corresponding adapters; investigation only runs with a native project path.</w:t>
            </w:r>
          </w:p>
        </w:tc>
        <w:tc>
          <w:tcPr>
            <w:tcW w:type="dxa" w:w="41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Either wire one source end-to-end or remove the promise. Do not label metadata/file excerpts as a complete investigation.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P0</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 packet contract has drift: implementation/docs use 45,000 tokens while UI and decision log say 30,000. Raw debug responses may persist despite the stated non-persistence boundary.</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Choose one cap; update code, copy, tests, and decision record. Remove raw debug persistence or make a redacted, opt-in, short-expiry support bundle.</w:t>
            </w:r>
          </w:p>
        </w:tc>
      </w:tr>
      <w:tr>
        <w:tc>
          <w:tcPr>
            <w:tcW w:type="dxa" w:w="7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P1</w:t>
            </w:r>
          </w:p>
        </w:tc>
        <w:tc>
          <w:tcPr>
            <w:tcW w:type="dxa" w:w="453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BYOK after a purported discovery is a surprise and a large novice-user barrier.</w:t>
            </w:r>
          </w:p>
        </w:tc>
        <w:tc>
          <w:tcPr>
            <w:tcW w:type="dxa" w:w="41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Offer strong local-only value first; test a managed-provider option only after privacy/service decisions.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P1</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Current 4D extraction uses proxies such as turn counts and temporal Git correlation.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Present only as evidence available for reflection; replace proxy claims with user-confirmed reflections.</w:t>
            </w:r>
          </w:p>
        </w:tc>
      </w:tr>
    </w:tbl>
    <w:p>
      <w:pPr>
        <w:spacing w:after="60"/>
      </w:pPr>
    </w:p>
    <w:p>
      <w:pPr>
        <w:pStyle w:val="Heading2"/>
      </w:pPr>
      <w:r>
        <w:rPr>
          <w:color w:val="000000"/>
        </w:rPr>
        <w:t>Scope cut</w:t>
      </w:r>
    </w:p>
    <w:p>
      <w:pPr>
        <w:spacing w:after="140" w:line="269" w:lineRule="auto"/>
      </w:pPr>
      <w:r>
        <w:t>For the first truthful slice, defer multi-provider parity, raw JSON download, Figma API import, Claude Desktop deep parse, browser raw-path support, and the Playbook download. Ship one path: desktop folder or one supported export &gt; item-level evidence review &gt; one reasoning mode &gt; validated claim &gt; inspection and user disposition &gt; Markdown draft.</w:t>
      </w:r>
    </w:p>
    <w:p>
      <w:r>
        <w:br w:type="page"/>
      </w:r>
    </w:p>
    <w:p>
      <w:pPr>
        <w:pStyle w:val="Heading1"/>
      </w:pPr>
      <w:r>
        <w:rPr>
          <w:color w:val="000000"/>
        </w:rPr>
        <w:t>3  Product Requirements Document</w:t>
      </w:r>
    </w:p>
    <w:p>
      <w:pPr>
        <w:pStyle w:val="Heading2"/>
      </w:pPr>
      <w:r>
        <w:rPr>
          <w:color w:val="000000"/>
        </w:rPr>
        <w:t>Primary users and audience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Role</w:t>
            </w:r>
          </w:p>
        </w:tc>
        <w:tc>
          <w:tcPr>
            <w:tcW w:type="dxa" w:w="388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Need</w:t>
            </w:r>
          </w:p>
        </w:tc>
        <w:tc>
          <w:tcPr>
            <w:tcW w:type="dxa" w:w="324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V1 decision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Author: independent creator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Explain AI-assisted project work honestly and efficiently.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Primary user; recruit for discovery and pilot.</w:t>
            </w:r>
          </w:p>
        </w:tc>
      </w:tr>
      <w:tr>
        <w:tc>
          <w:tcPr>
            <w:tcW w:type="dxa" w:w="23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Reader: collaborator, client, or hiring reviewer</w:t>
            </w:r>
          </w:p>
        </w:tc>
        <w:tc>
          <w:tcPr>
            <w:tcW w:type="dxa" w:w="388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Understand key decisions, evidence, and limitations without opening raw files first.</w:t>
            </w:r>
          </w:p>
        </w:tc>
        <w:tc>
          <w:tcPr>
            <w:tcW w:type="dxa" w:w="324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Primary value arbiter; design and measure reader understanding.</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Manager, legal reviewer, compliance auditor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Need complete, identity-linked, defensible evidence.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Explicitly out of scope for v1.</w:t>
            </w:r>
          </w:p>
        </w:tc>
      </w:tr>
    </w:tbl>
    <w:p>
      <w:pPr>
        <w:spacing w:after="60"/>
      </w:pPr>
    </w:p>
    <w:p>
      <w:pPr>
        <w:pStyle w:val="Heading2"/>
      </w:pPr>
      <w:r>
        <w:rPr>
          <w:color w:val="000000"/>
        </w:rPr>
        <w:t>User stories</w:t>
      </w:r>
    </w:p>
    <w:p>
      <w:pPr>
        <w:pStyle w:val="ListBullet"/>
        <w:spacing w:after="60"/>
      </w:pPr>
      <w:r>
        <w:t>As an author, I can state the recap purpose, intended reader, and question I want evidence to answer, knowing this framing is not evidence.</w:t>
      </w:r>
    </w:p>
    <w:p>
      <w:pPr>
        <w:pStyle w:val="ListBullet"/>
        <w:spacing w:after="60"/>
      </w:pPr>
      <w:r>
        <w:t>As an author, I can see what each source can and cannot support, select individual excerpts, and review what would leave my device before it is sent.</w:t>
      </w:r>
    </w:p>
    <w:p>
      <w:pPr>
        <w:pStyle w:val="ListBullet"/>
        <w:spacing w:after="60"/>
      </w:pPr>
      <w:r>
        <w:t>As a reader, I can inspect every material claim in two clicks or less, including direct support, confidence rationale, and material gaps.</w:t>
      </w:r>
    </w:p>
    <w:p>
      <w:pPr>
        <w:pStyle w:val="ListBullet"/>
        <w:spacing w:after="60"/>
      </w:pPr>
      <w:r>
        <w:t>As an author, I can mark a candidate claim unsupported, refine my question, or remove it before it appears in an export.</w:t>
      </w:r>
    </w:p>
    <w:p>
      <w:pPr>
        <w:pStyle w:val="ListBullet"/>
        <w:spacing w:after="60"/>
      </w:pPr>
      <w:r>
        <w:t>As an author, I can complete a useful local evidence map even if I never use an AI provider.</w:t>
      </w:r>
    </w:p>
    <w:p>
      <w:pPr>
        <w:pStyle w:val="Heading2"/>
      </w:pPr>
      <w:r>
        <w:rPr>
          <w:color w:val="000000"/>
        </w:rPr>
        <w:t>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Area</w:t>
            </w:r>
          </w:p>
        </w:tc>
        <w:tc>
          <w:tcPr>
            <w:tcW w:type="dxa" w:w="496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Requirement</w:t>
            </w:r>
          </w:p>
        </w:tc>
        <w:tc>
          <w:tcPr>
            <w:tcW w:type="dxa" w:w="280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Acceptance signal</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Framing</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Collect a required purpose/question; project title and audience are optional but separate from evidence.</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 report visibly labels framing as user-provided context.</w:t>
            </w:r>
          </w:p>
        </w:tc>
      </w:tr>
      <w:tr>
        <w:tc>
          <w:tcPr>
            <w:tcW w:type="dxa" w:w="16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 ledger</w:t>
            </w:r>
          </w:p>
        </w:tc>
        <w:tc>
          <w:tcPr>
            <w:tcW w:type="dxa" w:w="49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Track candidate, readable, selected, blocked, summary-only, metadata-only, included, and omitted states separately.</w:t>
            </w:r>
          </w:p>
        </w:tc>
        <w:tc>
          <w:tcPr>
            <w:tcW w:type="dxa" w:w="280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“Found”, “read”, “selected”, and “sent” are never conflated.</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Packet approval</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Show every included item, provider/model, source/time coverage, redactions, omissions, token-size estimate, and permission acknowledgement before dispatch.</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Any selection/question/provider change invalidates approval.</w:t>
            </w:r>
          </w:p>
        </w:tc>
      </w:tr>
      <w:tr>
        <w:tc>
          <w:tcPr>
            <w:tcW w:type="dxa" w:w="16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Claims</w:t>
            </w:r>
          </w:p>
        </w:tc>
        <w:tc>
          <w:tcPr>
            <w:tcW w:type="dxa" w:w="49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 candidate claims only; require citation spans, support explanation, confidence rationale, limitations, and user disposition.</w:t>
            </w:r>
          </w:p>
        </w:tc>
        <w:tc>
          <w:tcPr>
            <w:tcW w:type="dxa" w:w="280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Uncited/held/unsafe/malformed results never show as an insight.</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Report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Export one canonical reviewed report with provenance manifest, report status, generated time, packet boundary, model/provider, omissions, and review state.</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The export equals the visible reviewed report.</w:t>
            </w:r>
          </w:p>
        </w:tc>
      </w:tr>
      <w:tr>
        <w:tc>
          <w:tcPr>
            <w:tcW w:type="dxa" w:w="165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Reflection</w:t>
            </w:r>
          </w:p>
        </w:tc>
        <w:tc>
          <w:tcPr>
            <w:tcW w:type="dxa" w:w="49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Offer 4D prompts only where user has evidence or personal reflection to attach.</w:t>
            </w:r>
          </w:p>
        </w:tc>
        <w:tc>
          <w:tcPr>
            <w:tcW w:type="dxa" w:w="280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score or inferred fluency diagnosis exists in UI or export.</w:t>
            </w:r>
          </w:p>
        </w:tc>
      </w:tr>
    </w:tbl>
    <w:p>
      <w:pPr>
        <w:spacing w:after="60"/>
      </w:pPr>
    </w:p>
    <w:p>
      <w:pPr>
        <w:pStyle w:val="Heading2"/>
      </w:pPr>
      <w:r>
        <w:rPr>
          <w:color w:val="000000"/>
        </w:rPr>
        <w:t>AI Fluency product translation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1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4D lens</w:t>
            </w:r>
          </w:p>
        </w:tc>
        <w:tc>
          <w:tcPr>
            <w:tcW w:type="dxa" w:w="489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Product behavior</w:t>
            </w:r>
          </w:p>
        </w:tc>
        <w:tc>
          <w:tcPr>
            <w:tcW w:type="dxa" w:w="302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Never infer</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Delegation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captures task, platform choice, what AI did, and retained human judgment.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Tool presence as a delegation decision.</w:t>
            </w:r>
          </w:p>
        </w:tc>
      </w:tr>
      <w:tr>
        <w:tc>
          <w:tcPr>
            <w:tcW w:type="dxa" w:w="151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Description</w:t>
            </w:r>
          </w:p>
        </w:tc>
        <w:tc>
          <w:tcPr>
            <w:tcW w:type="dxa" w:w="489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identifies product goal, process constraints, and performance criteria.</w:t>
            </w:r>
          </w:p>
        </w:tc>
        <w:tc>
          <w:tcPr>
            <w:tcW w:type="dxa" w:w="30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Multi-turn chat as clear specification.</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Discernment</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reviews claims, corrects evidence, captures acceptance/rejection and verification.</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 Git commit near a chat as review.</w:t>
            </w:r>
          </w:p>
        </w:tc>
      </w:tr>
      <w:tr>
        <w:tc>
          <w:tcPr>
            <w:tcW w:type="dxa" w:w="151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Diligence</w:t>
            </w:r>
          </w:p>
        </w:tc>
        <w:tc>
          <w:tcPr>
            <w:tcW w:type="dxa" w:w="489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Permission, redaction, provider disclosure, sharing audience, and verification checklist accompany the report.</w:t>
            </w:r>
          </w:p>
        </w:tc>
        <w:tc>
          <w:tcPr>
            <w:tcW w:type="dxa" w:w="30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Test-file changes as responsible deployment.</w:t>
            </w:r>
          </w:p>
        </w:tc>
      </w:tr>
    </w:tbl>
    <w:p>
      <w:pPr>
        <w:spacing w:after="60"/>
      </w:pPr>
    </w:p>
    <w:p>
      <w:pPr>
        <w:pStyle w:val="Heading1"/>
      </w:pPr>
      <w:r>
        <w:rPr>
          <w:color w:val="000000"/>
        </w:rPr>
        <w:t>4  Experience and Interaction Design Schematic</w:t>
      </w:r>
    </w:p>
    <w:p>
      <w:pPr>
        <w:spacing w:after="140" w:line="269" w:lineRule="auto"/>
      </w:pPr>
      <w:r>
        <w:t>The interaction should be a single evidence session, not four rigid marketing screens. Each transition changes the user’s agency, data boundary, or claim status and must be visibly named.</w:t>
      </w:r>
    </w:p>
    <w:p>
      <w:pPr>
        <w:pStyle w:val="Heading2"/>
      </w:pPr>
      <w:r>
        <w:rPr>
          <w:color w:val="000000"/>
        </w:rPr>
        <w:t>State model</w:t>
      </w:r>
    </w:p>
    <w:p>
      <w:pPr>
        <w:spacing w:after="140" w:line="269" w:lineRule="auto"/>
      </w:pPr>
      <w:r>
        <w:t>New &gt; Framing &gt; Collecting &gt; Review required &gt; Packet approved &gt; Ready to analyze &gt; Preparing &gt; Provider waiting &gt; Validation &gt; Insight ready / Analysis failed / Claim held &gt; Reviewed &gt; Export ready. Demo follows a separate demo-only branch with a persistent “Demo — no personal evidence” label.</w:t>
      </w:r>
    </w:p>
    <w:p>
      <w:pPr>
        <w:pStyle w:val="Heading2"/>
      </w:pPr>
      <w:r>
        <w:rPr>
          <w:color w:val="000000"/>
        </w:rPr>
        <w:t>End-to-end schematic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2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Stage</w:t>
            </w:r>
          </w:p>
        </w:tc>
        <w:tc>
          <w:tcPr>
            <w:tcW w:type="dxa" w:w="381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User sees and decides</w:t>
            </w:r>
          </w:p>
        </w:tc>
        <w:tc>
          <w:tcPr>
            <w:tcW w:type="dxa" w:w="230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System may do</w:t>
            </w:r>
          </w:p>
        </w:tc>
        <w:tc>
          <w:tcPr>
            <w:tcW w:type="dxa" w:w="180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Exit condition</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 Frame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Purpose, reader, question; why this recap is needed.</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Store only session framing.</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Purpose is present.</w:t>
            </w:r>
          </w:p>
        </w:tc>
      </w:tr>
      <w:tr>
        <w:tc>
          <w:tcPr>
            <w:tcW w:type="dxa" w:w="12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2. Collect</w:t>
            </w:r>
          </w:p>
        </w:tc>
        <w:tc>
          <w:tcPr>
            <w:tcW w:type="dxa" w:w="381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Choose one desktop folder or one supported export; see per-source limits.</w:t>
            </w:r>
          </w:p>
        </w:tc>
        <w:tc>
          <w:tcPr>
            <w:tcW w:type="dxa" w:w="23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Discover candidates locally.</w:t>
            </w:r>
          </w:p>
        </w:tc>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one readable candidate.</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3. Review evidence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Inspect and select items; see direct / summary / metadata / blocked states and coverage gaps.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Normalize selected sources locally.</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one eligible item and explicit selection.</w:t>
            </w:r>
          </w:p>
        </w:tc>
      </w:tr>
      <w:tr>
        <w:tc>
          <w:tcPr>
            <w:tcW w:type="dxa" w:w="12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4. Approve packet</w:t>
            </w:r>
          </w:p>
        </w:tc>
        <w:tc>
          <w:tcPr>
            <w:tcW w:type="dxa" w:w="381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Review exact outbound manifest, redactions, omissions, provider/model and permission statement.</w:t>
            </w:r>
          </w:p>
        </w:tc>
        <w:tc>
          <w:tcPr>
            <w:tcW w:type="dxa" w:w="23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Assemble a versioned minimal packet.</w:t>
            </w:r>
          </w:p>
        </w:tc>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grants current approval.</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5. Analyze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Actual phases: prepare, wait, validate. Cancel/retry are available.</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Run local map and optional provider reasoning.</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Validated claim or named failure/hold.</w:t>
            </w:r>
          </w:p>
        </w:tc>
      </w:tr>
      <w:tr>
        <w:tc>
          <w:tcPr>
            <w:tcW w:type="dxa" w:w="12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6. Review result</w:t>
            </w:r>
          </w:p>
        </w:tc>
        <w:tc>
          <w:tcPr>
            <w:tcW w:type="dxa" w:w="381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Inspect citations; accept, refine, mark unsupported, or remove.</w:t>
            </w:r>
          </w:p>
        </w:tc>
        <w:tc>
          <w:tcPr>
            <w:tcW w:type="dxa" w:w="230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Keep immutable candidate/version history in session.</w:t>
            </w:r>
          </w:p>
        </w:tc>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 disposition recorded.</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7. Share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Audience, redaction level, report preview, export.</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Render one provenance-bound report.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Reviewed draft/export is created.</w:t>
            </w:r>
          </w:p>
        </w:tc>
      </w:tr>
    </w:tbl>
    <w:p>
      <w:pPr>
        <w:spacing w:after="60"/>
      </w:pPr>
    </w:p>
    <w:p>
      <w:pPr>
        <w:pStyle w:val="Heading2"/>
      </w:pPr>
      <w:r>
        <w:rPr>
          <w:color w:val="000000"/>
        </w:rPr>
        <w:t>Interaction rules</w:t>
      </w:r>
    </w:p>
    <w:p>
      <w:pPr>
        <w:pStyle w:val="ListBullet"/>
        <w:spacing w:after="60"/>
      </w:pPr>
      <w:r>
        <w:t>No real selected evidence means no personal insight, confidence, full report, or sample content.</w:t>
      </w:r>
    </w:p>
    <w:p>
      <w:pPr>
        <w:pStyle w:val="ListBullet"/>
        <w:spacing w:after="60"/>
      </w:pPr>
      <w:r>
        <w:t>A source status must be textual and specific: readable, selected, sent, blocked, excluded, summary-only, or metadata-only. Use color only as a secondary cue.</w:t>
      </w:r>
    </w:p>
    <w:p>
      <w:pPr>
        <w:pStyle w:val="ListBullet"/>
        <w:spacing w:after="60"/>
      </w:pPr>
      <w:r>
        <w:t>No claim can be accepted/exported without a visible citation, support rationale, limitations, coverage/conflict rationale, and user review state.</w:t>
      </w:r>
    </w:p>
    <w:p>
      <w:pPr>
        <w:pStyle w:val="ListBullet"/>
        <w:spacing w:after="60"/>
      </w:pPr>
      <w:r>
        <w:t>Provider failures are nontechnical and distinct: invalid key, quota, timeout/outage, malformed response, boundary rejection, insufficient evidence. Boundary rejection directs the user back to evidence/question refinement, not blind retry.</w:t>
      </w:r>
    </w:p>
    <w:p>
      <w:pPr>
        <w:pStyle w:val="ListBullet"/>
        <w:spacing w:after="60"/>
      </w:pPr>
      <w:r>
        <w:t>Keep existing focus management and evidence-drawer patterns, but announce state changes once, land focus on the changed task heading, and never make fake progress.</w:t>
      </w:r>
    </w:p>
    <w:p>
      <w:pPr>
        <w:pStyle w:val="Heading2"/>
      </w:pPr>
      <w:r>
        <w:rPr>
          <w:color w:val="000000"/>
        </w:rPr>
        <w:t>Content and visual direction</w:t>
      </w:r>
    </w:p>
    <w:p>
      <w:pPr>
        <w:spacing w:after="140" w:line="269" w:lineRule="auto"/>
      </w:pPr>
      <w:r>
        <w:t>Retain the calm, warm visual tone but remove internal design labels such as “Warm Investigator” from the product. Use generous hierarchy, evidence chips, compact proof cards, and plain language. The product should feel like a careful research instrument, not an achievement dashboard or a prototype demo.</w:t>
      </w:r>
    </w:p>
    <w:p>
      <w:pPr>
        <w:pStyle w:val="Heading1"/>
      </w:pPr>
      <w:r>
        <w:rPr>
          <w:color w:val="000000"/>
        </w:rPr>
        <w:t>5  Technical Requirements Document</w:t>
      </w:r>
    </w:p>
    <w:p>
      <w:pPr>
        <w:pStyle w:val="Heading2"/>
      </w:pPr>
      <w:r>
        <w:rPr>
          <w:color w:val="000000"/>
        </w:rPr>
        <w:t>Architecture decision</w:t>
      </w:r>
    </w:p>
    <w:p>
      <w:pPr>
        <w:spacing w:after="140" w:line="269" w:lineRule="auto"/>
      </w:pPr>
      <w:r>
        <w:t>Keep the existing adapter &gt; normalized record &gt; observation &gt; investigation shape. Replace the split UI/client evidence and separate-report paths with one server-side InvestigationRun that is the sole source for the evidence ledger, packet manifest, claim candidates, validation decisions, and export.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Layer</w:t>
            </w:r>
          </w:p>
        </w:tc>
        <w:tc>
          <w:tcPr>
            <w:tcW w:type="dxa" w:w="475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Required change</w:t>
            </w:r>
          </w:p>
        </w:tc>
        <w:tc>
          <w:tcPr>
            <w:tcW w:type="dxa" w:w="302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Definition of done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Ingestion</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One supported source adapter is invoked through the same flow that creates the report; local folder and export capability are deliberately separated by environment.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 browser export or desktop folder produces the same normalized evidence contract.</w:t>
            </w:r>
          </w:p>
        </w:tc>
      </w:tr>
      <w:tr>
        <w:tc>
          <w:tcPr>
            <w:tcW w:type="dxa" w:w="158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Canonical run</w:t>
            </w:r>
          </w:p>
        </w:tc>
        <w:tc>
          <w:tcPr>
            <w:tcW w:type="dxa" w:w="475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Introduce a versioned InvestigationRun and immutable derived objects: Selection, PacketVersion, CandidateFinding, ValidationDecision, ReportExport.</w:t>
            </w:r>
          </w:p>
        </w:tc>
        <w:tc>
          <w:tcPr>
            <w:tcW w:type="dxa" w:w="30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On-screen and exported content resolve to the same run/version IDs.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Packet builder</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Build only from explicit selected evidence; track inclusion reason, sensitivity classification, omission reason, and exact span/locator.</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Manifest is viewable before and after send; change invalidates consent.</w:t>
            </w:r>
          </w:p>
        </w:tc>
      </w:tr>
      <w:tr>
        <w:tc>
          <w:tcPr>
            <w:tcW w:type="dxa" w:w="158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 gateway</w:t>
            </w:r>
          </w:p>
        </w:tc>
        <w:tc>
          <w:tcPr>
            <w:tcW w:type="dxa" w:w="475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Keep provider output untrusted; schema parse, quote/span check, policy check, entailment check, and hold/reject pathway are required.</w:t>
            </w:r>
          </w:p>
        </w:tc>
        <w:tc>
          <w:tcPr>
            <w:tcW w:type="dxa" w:w="30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Valid evidence IDs alone cannot pass a material claim.</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Exports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Generate in-app preview and Markdown first; emit provider/model, timestamp, report status, provenance manifest, packet metadata, and user disposition.</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hidden local report differs from the reviewed report.</w:t>
            </w:r>
          </w:p>
        </w:tc>
      </w:tr>
      <w:tr>
        <w:tc>
          <w:tcPr>
            <w:tcW w:type="dxa" w:w="158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Policy/config</w:t>
            </w:r>
          </w:p>
        </w:tc>
        <w:tc>
          <w:tcPr>
            <w:tcW w:type="dxa" w:w="475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One central source for packet cap, models, terminology, privacy rules, and retention. Add contract tests against UI/docs.</w:t>
            </w:r>
          </w:p>
        </w:tc>
        <w:tc>
          <w:tcPr>
            <w:tcW w:type="dxa" w:w="302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policy number or retention claim drifts across code, copy, docs, and tests.</w:t>
            </w:r>
          </w:p>
        </w:tc>
      </w:tr>
    </w:tbl>
    <w:p>
      <w:pPr>
        <w:spacing w:after="60"/>
      </w:pPr>
    </w:p>
    <w:p>
      <w:pPr>
        <w:pStyle w:val="Heading2"/>
      </w:pPr>
      <w:r>
        <w:rPr>
          <w:color w:val="000000"/>
        </w:rPr>
        <w:t>Reliability and test requirements</w:t>
      </w:r>
    </w:p>
    <w:p>
      <w:pPr>
        <w:pStyle w:val="ListBullet"/>
        <w:spacing w:after="60"/>
      </w:pPr>
      <w:r>
        <w:t>Automated state-machine tests: no evidence cannot reach discovery/export; source/question/provider change stales prior claims; all errors preserve reviewable state.</w:t>
      </w:r>
    </w:p>
    <w:p>
      <w:pPr>
        <w:pStyle w:val="ListBullet"/>
        <w:spacing w:after="60"/>
      </w:pPr>
      <w:r>
        <w:t>Contract tests: supported imports reach adapters; each export claim has a report claim ID, citations, limitations, and validation decision.</w:t>
      </w:r>
    </w:p>
    <w:p>
      <w:pPr>
        <w:pStyle w:val="ListBullet"/>
        <w:spacing w:after="60"/>
      </w:pPr>
      <w:r>
        <w:t>Provider tests: malicious prompt injection, malformed JSON, invalid citations, valid-ID-but-unsupported claims, overload/model fallback, timeout, and boundary violation.</w:t>
      </w:r>
    </w:p>
    <w:p>
      <w:pPr>
        <w:pStyle w:val="ListBullet"/>
        <w:spacing w:after="60"/>
      </w:pPr>
      <w:r>
        <w:t>Run the existing Python suite and fix the three observed provider-reasoning regressions before baselining new work. Typecheck and lint require a reproducible Node dependency install in CI.</w:t>
      </w:r>
    </w:p>
    <w:p>
      <w:pPr>
        <w:pStyle w:val="Heading2"/>
      </w:pPr>
      <w:r>
        <w:rPr>
          <w:color w:val="000000"/>
        </w:rPr>
        <w:t>Security and privacy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Control</w:t>
            </w:r>
          </w:p>
        </w:tc>
        <w:tc>
          <w:tcPr>
            <w:tcW w:type="dxa" w:w="720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MVP requirement</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Data locality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cloud database or accounts. Evidence stays on-device/in memory unless author explicitly exports.</w:t>
            </w:r>
          </w:p>
        </w:tc>
      </w:tr>
      <w:tr>
        <w:tc>
          <w:tcPr>
            <w:tcW w:type="dxa" w:w="216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Sensitive content</w:t>
            </w:r>
          </w:p>
        </w:tc>
        <w:tc>
          <w:tcPr>
            <w:tcW w:type="dxa" w:w="72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Content-based secret/PII screening before local rendering and again before outbound packet; filename rules are defense-in-depth only. Show redactions and allow removal.</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Credentials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Session-only BYOK in process memory; never include in logs, telemetry, debug files, crash reports, or exports. Future persistence only via OS credential store.</w:t>
            </w:r>
          </w:p>
        </w:tc>
      </w:tr>
      <w:tr>
        <w:tc>
          <w:tcPr>
            <w:tcW w:type="dxa" w:w="216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Diagnostics</w:t>
            </w:r>
          </w:p>
        </w:tc>
        <w:tc>
          <w:tcPr>
            <w:tcW w:type="dxa" w:w="72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Remove raw provider debug files. If needed, provide an expressly enabled, redacted, short-expiry support bundle.</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Telemetry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Off by default. Opt-in telemetry uses only coarse action/outcome/timing/version/count buckets; never text, paths, names, IDs, prompts, outputs, or keys.</w:t>
            </w:r>
          </w:p>
        </w:tc>
      </w:tr>
      <w:tr>
        <w:tc>
          <w:tcPr>
            <w:tcW w:type="dxa" w:w="216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Access</w:t>
            </w:r>
          </w:p>
        </w:tc>
        <w:tc>
          <w:tcPr>
            <w:tcW w:type="dxa" w:w="72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State clearly that v1 is single OS-user/local-app only. Cloud sync or teams need a separate identity, ACL, encryption, deletion, and threat-model program.</w:t>
            </w:r>
          </w:p>
        </w:tc>
      </w:tr>
    </w:tbl>
    <w:p>
      <w:pPr>
        <w:spacing w:after="60"/>
      </w:pPr>
    </w:p>
    <w:p>
      <w:pPr>
        <w:pStyle w:val="Heading1"/>
      </w:pPr>
      <w:r>
        <w:rPr>
          <w:color w:val="000000"/>
        </w:rPr>
        <w:t>6  Data Architecture and Provenance Contract</w:t>
      </w:r>
    </w:p>
    <w:p>
      <w:pPr>
        <w:spacing w:after="140" w:line="269" w:lineRule="auto"/>
      </w:pPr>
      <w:r>
        <w:t>Do not add a central database to solve a v1 problem. Use an in-memory, local-first graph for a session; permit an optional minimal local consent receipt with no evidence text. Preserve raw source data locally and export only selected, derived provenance.</w:t>
      </w:r>
    </w:p>
    <w:p>
      <w:pPr>
        <w:pStyle w:val="Heading2"/>
      </w:pPr>
      <w:r>
        <w:rPr>
          <w:color w:val="000000"/>
        </w:rPr>
        <w:t>Logical data 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Step</w:t>
            </w:r>
          </w:p>
        </w:tc>
        <w:tc>
          <w:tcPr>
            <w:tcW w:type="dxa" w:w="2736"/>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Object</w:t>
            </w:r>
          </w:p>
        </w:tc>
        <w:tc>
          <w:tcPr>
            <w:tcW w:type="dxa" w:w="583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Invariant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Project &gt; SourceSnapshot</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Display name is local; root fingerprint is salted; source type/version, hash, origin and time precision are retained.</w:t>
            </w:r>
          </w:p>
        </w:tc>
      </w:tr>
      <w:tr>
        <w:tc>
          <w:tcPr>
            <w:tcW w:type="dxa" w:w="7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2</w:t>
            </w:r>
          </w:p>
        </w:tc>
        <w:tc>
          <w:tcPr>
            <w:tcW w:type="dxa" w:w="273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EvidenceRecord &gt; NormalizedRecord &gt; Observation</w:t>
            </w:r>
          </w:p>
        </w:tc>
        <w:tc>
          <w:tcPr>
            <w:tcW w:type="dxa" w:w="583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Each statement retains exact locator/span, transform/adapter version, reliability, and limitations.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EvidenceSelection &gt; PacketVersion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 packet contains only explicit selections; records include included, excluded, blocked, and omitted reasons.</w:t>
            </w:r>
          </w:p>
        </w:tc>
      </w:tr>
      <w:tr>
        <w:tc>
          <w:tcPr>
            <w:tcW w:type="dxa" w:w="7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4</w:t>
            </w:r>
          </w:p>
        </w:tc>
        <w:tc>
          <w:tcPr>
            <w:tcW w:type="dxa" w:w="2736"/>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ProviderRun &gt; CandidateFinding</w:t>
            </w:r>
          </w:p>
        </w:tc>
        <w:tc>
          <w:tcPr>
            <w:tcW w:type="dxa" w:w="583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No raw key, prompt, packet, or response is persisted. Candidate claims are untrusted derivative data.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5</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ValidationDecision &gt; ReportExport</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Each material sentence maps to citations, policy/validation status, source snapshot, and user disposition.</w:t>
            </w:r>
          </w:p>
        </w:tc>
      </w:tr>
    </w:tbl>
    <w:p>
      <w:pPr>
        <w:spacing w:after="60"/>
      </w:pPr>
    </w:p>
    <w:p>
      <w:pPr>
        <w:pStyle w:val="Heading2"/>
      </w:pPr>
      <w:r>
        <w:rPr>
          <w:color w:val="000000"/>
        </w:rPr>
        <w:t>Provenance diagram in words</w:t>
      </w:r>
    </w:p>
    <w:p>
      <w:pPr>
        <w:spacing w:after="140" w:line="269" w:lineRule="auto"/>
      </w:pPr>
      <w:r>
        <w:t>Selected local sources -&gt; Redaction and classification -&gt; Versioned normalized records -&gt; Observations with provenance -&gt; User-approved packet -&gt; Chosen AI provider -&gt; Candidate claim -&gt; Span, policy, and entailment validation -&gt; Inspectable insight and export. A hold or rejection returns the user to evidence gaps and review.</w:t>
      </w:r>
    </w:p>
    <w:p>
      <w:pPr>
        <w:pStyle w:val="Heading2"/>
      </w:pPr>
      <w:r>
        <w:rPr>
          <w:color w:val="000000"/>
        </w:rPr>
        <w:t>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Entity</w:t>
            </w:r>
          </w:p>
        </w:tc>
        <w:tc>
          <w:tcPr>
            <w:tcW w:type="dxa" w:w="547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Minimum fields</w:t>
            </w:r>
          </w:p>
        </w:tc>
        <w:tc>
          <w:tcPr>
            <w:tcW w:type="dxa" w:w="208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Retention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SourceSnapshot</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source type/version, locator, content hash, classification, read limit, captured time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 memory; raw data remains with user.</w:t>
            </w:r>
          </w:p>
        </w:tc>
      </w:tr>
      <w:tr>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EvidenceRecord</w:t>
            </w:r>
          </w:p>
        </w:tc>
        <w:tc>
          <w:tcPr>
            <w:tcW w:type="dxa" w:w="547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immutable span/excerpt, locator, actor as recorded, timestamp/precision, sensitivity labels</w:t>
            </w:r>
          </w:p>
        </w:tc>
        <w:tc>
          <w:tcPr>
            <w:tcW w:type="dxa" w:w="208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 memory; outbound only if selected.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Observation</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statement, reliability, evidence IDs, limitations, transform version</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In memory and selected export.</w:t>
            </w:r>
          </w:p>
        </w:tc>
      </w:tr>
      <w:tr>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PacketVersion</w:t>
            </w:r>
          </w:p>
        </w:tc>
        <w:tc>
          <w:tcPr>
            <w:tcW w:type="dxa" w:w="547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hash, provider/model, policy/schema version, token count, include/omit IDs and reasons</w:t>
            </w:r>
          </w:p>
        </w:tc>
        <w:tc>
          <w:tcPr>
            <w:tcW w:type="dxa" w:w="208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Metadata only in export/optional receipt; not raw packet.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CandidateFinding</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claim, citation spans, uncertainty, 4D lens if any</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Session only until review/export.</w:t>
            </w:r>
          </w:p>
        </w:tc>
      </w:tr>
      <w:tr>
        <w:tc>
          <w:tcPr>
            <w:tcW w:type="dxa" w:w="180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ValidationDecision</w:t>
            </w:r>
          </w:p>
        </w:tc>
        <w:tc>
          <w:tcPr>
            <w:tcW w:type="dxa" w:w="547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policy checks, entailment result, disposition: accept/rewrite/hold/reject</w:t>
            </w:r>
          </w:p>
        </w:tc>
        <w:tc>
          <w:tcPr>
            <w:tcW w:type="dxa" w:w="208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Export with reviewed claim.</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ReportExport</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render checksum, selected findings, provenance manifest, review status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User-selected local location.</w:t>
            </w:r>
          </w:p>
        </w:tc>
      </w:tr>
    </w:tbl>
    <w:p>
      <w:pPr>
        <w:spacing w:after="60"/>
      </w:pPr>
    </w:p>
    <w:p>
      <w:pPr>
        <w:pStyle w:val="Heading2"/>
      </w:pPr>
      <w:r>
        <w:rPr>
          <w:color w:val="000000"/>
        </w:rPr>
        <w:t>Claim quality policy</w:t>
      </w:r>
    </w:p>
    <w:p>
      <w:pPr>
        <w:pStyle w:val="ListBullet"/>
        <w:spacing w:after="60"/>
      </w:pPr>
      <w:r>
        <w:t>A citation must resolve to a precise evidence span, not merely an observation ID.</w:t>
      </w:r>
    </w:p>
    <w:p>
      <w:pPr>
        <w:pStyle w:val="ListBullet"/>
        <w:spacing w:after="60"/>
      </w:pPr>
      <w:r>
        <w:t>Every candidate passes forbidden-domain checks, citation span checks, entailment verification calibrated on held-out data, uncertainty calibration, and a user-visible hold/reject path.</w:t>
      </w:r>
    </w:p>
    <w:p>
      <w:pPr>
        <w:pStyle w:val="ListBullet"/>
        <w:spacing w:after="60"/>
      </w:pPr>
      <w:r>
        <w:t>Static exports, summaries, narrow coverage, ambiguous identity, conflict, staleness, and selection bias are first-class EvidenceGap records, not buried caveats.</w:t>
      </w:r>
    </w:p>
    <w:p>
      <w:pPr>
        <w:pStyle w:val="Heading1"/>
      </w:pPr>
      <w:r>
        <w:rPr>
          <w:color w:val="000000"/>
        </w:rPr>
        <w:t>7  Analytics, Evaluation, and Success Metrics</w:t>
      </w:r>
    </w:p>
    <w:p>
      <w:pPr>
        <w:spacing w:after="140" w:line="269" w:lineRule="auto"/>
      </w:pPr>
      <w:r>
        <w:t>Instrument to learn whether a skeptical reader understands a project more accurately and quickly—not to score AI use or maximize “insights generated.”</w:t>
      </w:r>
    </w:p>
    <w:p>
      <w:pPr>
        <w:pStyle w:val="Heading2"/>
      </w:pPr>
      <w:r>
        <w:rPr>
          <w:color w:val="000000"/>
        </w:rPr>
        <w:t>North-star metric</w:t>
      </w:r>
    </w:p>
    <w:p>
      <w:pPr>
        <w:spacing w:after="140" w:line="269" w:lineRule="auto"/>
      </w:pPr>
      <w:r>
        <w:t>Reviewer-verified understanding: the share of reports for which an intended reader correctly identifies the project goal, two material decisions, and one meaningful limitation from the evidence links.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Metric</w:t>
            </w:r>
          </w:p>
        </w:tc>
        <w:tc>
          <w:tcPr>
            <w:tcW w:type="dxa" w:w="619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Initial gate</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Qualified activation</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50% of users with eligible inputs select evidence and reach a report.</w:t>
            </w:r>
          </w:p>
        </w:tc>
      </w:tr>
      <w:tr>
        <w:tc>
          <w:tcPr>
            <w:tcW w:type="dxa" w:w="31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 adequacy</w:t>
            </w:r>
          </w:p>
        </w:tc>
        <w:tc>
          <w:tcPr>
            <w:tcW w:type="dxa" w:w="61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70% of completed reports have two relevant sources or a prominent one-source limitation.</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Reviewer accuracy and time</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+20 percentage points accuracy or 25% faster than raw artifacts; no worse confidence calibration.</w:t>
            </w:r>
          </w:p>
        </w:tc>
      </w:tr>
      <w:tr>
        <w:tc>
          <w:tcPr>
            <w:tcW w:type="dxa" w:w="31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Claim entailment</w:t>
            </w:r>
          </w:p>
        </w:tc>
        <w:tc>
          <w:tcPr>
            <w:tcW w:type="dxa" w:w="61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100% for material claims in human-audited pilot reports.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Material overclaim</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0%; hard release blocker.</w:t>
            </w:r>
          </w:p>
        </w:tc>
      </w:tr>
      <w:tr>
        <w:tc>
          <w:tcPr>
            <w:tcW w:type="dxa" w:w="3168"/>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4D usefulness</w:t>
            </w:r>
          </w:p>
        </w:tc>
        <w:tc>
          <w:tcPr>
            <w:tcW w:type="dxa" w:w="619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At least 60% report a concrete next-practice action; otherwise remove from core flow.</w:t>
            </w:r>
          </w:p>
        </w:tc>
      </w:tr>
    </w:tbl>
    <w:p>
      <w:pPr>
        <w:spacing w:after="60"/>
      </w:pPr>
    </w:p>
    <w:p>
      <w:pPr>
        <w:pStyle w:val="Heading2"/>
      </w:pPr>
      <w:r>
        <w:rPr>
          <w:color w:val="000000"/>
        </w:rPr>
        <w:t>Privacy-preserving event taxonomy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24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Event family</w:t>
            </w:r>
          </w:p>
        </w:tc>
        <w:tc>
          <w:tcPr>
            <w:tcW w:type="dxa" w:w="612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Safe properties</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project_started</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use_case, platform, app version</w:t>
            </w:r>
          </w:p>
        </w:tc>
      </w:tr>
      <w:tr>
        <w:tc>
          <w:tcPr>
            <w:tcW w:type="dxa" w:w="324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source_discovered / selected / excluded</w:t>
            </w:r>
          </w:p>
        </w:tc>
        <w:tc>
          <w:tcPr>
            <w:tcW w:type="dxa" w:w="612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source_type, count bucket, reason</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evidence_previewed</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source_type, coverage band</w:t>
            </w:r>
          </w:p>
        </w:tc>
      </w:tr>
      <w:tr>
        <w:tc>
          <w:tcPr>
            <w:tcW w:type="dxa" w:w="324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provider_selected / completed</w:t>
            </w:r>
          </w:p>
        </w:tc>
        <w:tc>
          <w:tcPr>
            <w:tcW w:type="dxa" w:w="612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provider, outcome, latency, packet-size bucket, truncation</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report_generated / exported / shared</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report ID, source-count band, evidence-adequacy band</w:t>
            </w:r>
          </w:p>
        </w:tc>
      </w:tr>
      <w:tr>
        <w:tc>
          <w:tcPr>
            <w:tcW w:type="dxa" w:w="324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claim_evidence_opened / flagged</w:t>
            </w:r>
          </w:p>
        </w:tc>
        <w:tc>
          <w:tcPr>
            <w:tcW w:type="dxa" w:w="612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claim type, flag reason only</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permission_uncertain / provider_abandoned</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high-level reason only</w:t>
            </w:r>
          </w:p>
        </w:tc>
      </w:tr>
    </w:tbl>
    <w:p>
      <w:pPr>
        <w:spacing w:after="60"/>
      </w:pPr>
    </w:p>
    <w:p>
      <w:pPr>
        <w:pStyle w:val="Heading2"/>
      </w:pPr>
      <w:r>
        <w:rPr>
          <w:color w:val="000000"/>
        </w:rPr>
        <w:t>Research program before beta</w:t>
      </w:r>
    </w:p>
    <w:p>
      <w:pPr>
        <w:pStyle w:val="ListBullet"/>
        <w:spacing w:after="60"/>
      </w:pPr>
      <w:r>
        <w:t>Run a 12-author / 12-reader comparison using real but shareable projects against a structured manual artifact bundle.</w:t>
      </w:r>
    </w:p>
    <w:p>
      <w:pPr>
        <w:pStyle w:val="ListBullet"/>
        <w:spacing w:after="60"/>
      </w:pPr>
      <w:r>
        <w:t>Build a consented, de-identified corpus of at least 20 dossiers containing direct, summary, conflicting, incomplete, Git-only, sensitive-data, prompt-injection, malformed-output, and multilingual cases.</w:t>
      </w:r>
    </w:p>
    <w:p>
      <w:pPr>
        <w:pStyle w:val="ListBullet"/>
        <w:spacing w:after="60"/>
      </w:pPr>
      <w:r>
        <w:t>Use two trained human annotators and adjudication for support spans, allowed/forbidden claims, uncertainty, and expected fallback.</w:t>
      </w:r>
    </w:p>
    <w:p>
      <w:pPr>
        <w:pStyle w:val="Heading1"/>
      </w:pPr>
      <w:r>
        <w:rPr>
          <w:color w:val="000000"/>
        </w:rPr>
        <w:t>8  Delivery Roadmap and Ownership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Phase</w:t>
            </w:r>
          </w:p>
        </w:tc>
        <w:tc>
          <w:tcPr>
            <w:tcW w:type="dxa" w:w="4680"/>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Outcome and scope</w:t>
            </w:r>
          </w:p>
        </w:tc>
        <w:tc>
          <w:tcPr>
            <w:tcW w:type="dxa" w:w="223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Exit gate</w:t>
            </w:r>
          </w:p>
        </w:tc>
        <w:tc>
          <w:tcPr>
            <w:tcW w:type="dxa" w:w="1872"/>
            <w:shd w:fill="17324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color w:val="FFFFFF"/>
                <w:sz w:val="17"/>
              </w:rPr>
              <w:t>Suggested owner</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0  Decide and reset</w:t>
              <w:br/>
              <w:t>2–3 weeks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Select initial author/reader and one report use case. Remove policy drift and current misleading entry states. Recruit pilot corpus.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Primary audience, claim taxonomy, consent language, evaluation rubric, and red-team corpus are approved.</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Product, UX, data, engineering</w:t>
            </w:r>
          </w:p>
        </w:tc>
      </w:tr>
      <w:tr>
        <w:tc>
          <w:tcPr>
            <w:tcW w:type="dxa" w:w="158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  One truthful vertical slice</w:t>
              <w:br/>
              <w:t>4–6 weeks</w:t>
            </w:r>
          </w:p>
        </w:tc>
        <w:tc>
          <w:tcPr>
            <w:tcW w:type="dxa" w:w="468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One source path reaches one canonical InvestigationRun. Evidence ledger, item selection, packet manifest, no fake progress, and one reviewed Markdown draft.</w:t>
            </w:r>
          </w:p>
        </w:tc>
        <w:tc>
          <w:tcPr>
            <w:tcW w:type="dxa" w:w="223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All P0 interaction and trust criteria pass; no selected evidence cannot produce a personal claim.</w:t>
            </w:r>
          </w:p>
        </w:tc>
        <w:tc>
          <w:tcPr>
            <w:tcW w:type="dxa" w:w="187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Engineering, UX, interaction, data</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2  Grounded synthesis and review</w:t>
              <w:br/>
              <w:t>3–5 weeks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Span citations, claim validation/hold, in-app proof cards, correction/refinement, report preview and provenance export.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100% material claims pass human entailment audit; 0 forbidden claims in red-team suite.</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Engineering, data, product analyst</w:t>
            </w:r>
          </w:p>
        </w:tc>
      </w:tr>
      <w:tr>
        <w:tc>
          <w:tcPr>
            <w:tcW w:type="dxa" w:w="1584"/>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3  Private pilot</w:t>
              <w:br/>
              <w:t>4 weeks</w:t>
            </w:r>
          </w:p>
        </w:tc>
        <w:tc>
          <w:tcPr>
            <w:tcW w:type="dxa" w:w="4680"/>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10–20 intended creators and readers; opt-in, no-content telemetry; comparison study.</w:t>
            </w:r>
          </w:p>
        </w:tc>
        <w:tc>
          <w:tcPr>
            <w:tcW w:type="dxa" w:w="223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Activation, reader-value, privacy, and calibration gates are met.</w:t>
            </w:r>
          </w:p>
        </w:tc>
        <w:tc>
          <w:tcPr>
            <w:tcW w:type="dxa" w:w="1872"/>
            <w:shd w:fill="F6F8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Product, research, analyst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4  Expand only on evidence</w:t>
              <w:br/>
              <w:t>ongoing</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Add one connector or an optional reflection feature only when pilot evidence improves reader value without reducing trust.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Connector improves pilot report quality; source limitations are explicit.</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6"/>
              </w:rPr>
              <w:t>Product and engineering</w:t>
            </w:r>
          </w:p>
        </w:tc>
      </w:tr>
    </w:tbl>
    <w:p>
      <w:pPr>
        <w:spacing w:after="60"/>
      </w:pPr>
    </w:p>
    <w:p>
      <w:pPr>
        <w:pStyle w:val="Heading2"/>
      </w:pPr>
      <w:r>
        <w:rPr>
          <w:color w:val="000000"/>
        </w:rPr>
        <w:t>Release checklist for the first slice</w:t>
      </w:r>
    </w:p>
    <w:p>
      <w:pPr>
        <w:pStyle w:val="ListBullet"/>
        <w:spacing w:after="60"/>
      </w:pPr>
      <w:r>
        <w:t>One end-to-end source is actually processed by the adapter, packet builder, claim validator, preview, and exporter.</w:t>
      </w:r>
    </w:p>
    <w:p>
      <w:pPr>
        <w:pStyle w:val="ListBullet"/>
        <w:spacing w:after="60"/>
      </w:pPr>
      <w:r>
        <w:t>No sample content can inherit personal framing; demo is distinct and persistently labelled.</w:t>
      </w:r>
    </w:p>
    <w:p>
      <w:pPr>
        <w:pStyle w:val="ListBullet"/>
        <w:spacing w:after="60"/>
      </w:pPr>
      <w:r>
        <w:t>Selection and approval are revocable and every change makes prior analysis stale.</w:t>
      </w:r>
    </w:p>
    <w:p>
      <w:pPr>
        <w:pStyle w:val="ListBullet"/>
        <w:spacing w:after="60"/>
      </w:pPr>
      <w:r>
        <w:t>Policy values, models, retention, and product wording are tested for consistency across UI, API, docs, and exports.</w:t>
      </w:r>
    </w:p>
    <w:p>
      <w:pPr>
        <w:pStyle w:val="ListBullet"/>
        <w:spacing w:after="60"/>
      </w:pPr>
      <w:r>
        <w:t>A user can clear the session, see excluded/blocked evidence, and understand the exact next action after a failure.</w:t>
      </w:r>
    </w:p>
    <w:p>
      <w:pPr>
        <w:pStyle w:val="Heading1"/>
      </w:pPr>
      <w:r>
        <w:rPr>
          <w:color w:val="000000"/>
        </w:rPr>
        <w:t>9  Sources and Review Basis</w:t>
      </w:r>
    </w:p>
    <w:p>
      <w:pPr>
        <w:spacing w:after="140" w:line="269" w:lineRule="auto"/>
      </w:pPr>
      <w:r>
        <w:t>Repository evidence reviewed: Workprint README; foundation vision, product, engineering, privacy, architecture, decision, and roadmap documents; web application flow and API routes; provider reasoning, project-file evidence, evidence adapters, tests, and report code. Review was performed against repository revision 0147c41.</w:t>
      </w:r>
    </w:p>
    <w:p>
      <w:pPr>
        <w:spacing w:after="140" w:line="269" w:lineRule="auto"/>
      </w:pPr>
      <w:r>
        <w:t>External framework: Anthropic Academy, “AI Fluency: Framework and foundations.” The course describes effective, efficient, ethical, and safe human-AI collaboration through Delegation, Description, Discernment, and Diligence; it also frames automation, augmentation, agency, strategic delegation, prompting, critical evaluation, and responsible deployment. Available at https://academy.claude.com/courses/ai-fluency-framework-foundations</w:t>
      </w:r>
    </w:p>
    <w:p>
      <w:pPr>
        <w:pStyle w:val="Heading2"/>
      </w:pPr>
      <w:r>
        <w:rPr>
          <w:color w:val="000000"/>
        </w:rPr>
        <w:t>Final recommendation</w:t>
      </w:r>
    </w:p>
    <w:p>
      <w:pPr>
        <w:spacing w:after="140" w:line="269" w:lineRule="auto"/>
      </w:pPr>
      <w:r>
        <w:t>Do not kill Workprint’s evidence-first mission. Kill the current claim that it can seamlessly reconstruct a trustworthy personal narrative from loosely selected project files. Build the narrow, rigorous vertical slice first. If real users cannot supply adequate authorized evidence or skeptical readers are not materially faster and more accurate, pivot to a private evidence notebook and guided AI Fluency reflection rather than making the narrative engine more persuasive.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