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ECDC" w14:textId="48FE1317" w:rsidR="00B36113" w:rsidRPr="00B36113" w:rsidRDefault="00B36113" w:rsidP="00B36113">
      <w:pPr>
        <w:rPr>
          <w:b/>
          <w:bCs/>
        </w:rPr>
      </w:pPr>
      <w:r w:rsidRPr="00B36113">
        <w:rPr>
          <w:b/>
          <w:bCs/>
        </w:rPr>
        <w:t>A. 强制</w:t>
      </w:r>
    </w:p>
    <w:p w14:paraId="795F91F4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包名小写且使用公司/项目域名反写</w:t>
      </w:r>
      <w:r w:rsidRPr="00B36113">
        <w:t>，如 com.example.project。</w:t>
      </w:r>
    </w:p>
    <w:p w14:paraId="626F3C45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类名使用大驼峰</w:t>
      </w:r>
      <w:r w:rsidRPr="00B36113">
        <w:t>（PascalCase），且不得以下划线或特殊字符开头。</w:t>
      </w:r>
    </w:p>
    <w:p w14:paraId="6067FC01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方法名使用小驼峰</w:t>
      </w:r>
      <w:r w:rsidRPr="00B36113">
        <w:t>（camelCase），描述性动词开头。</w:t>
      </w:r>
    </w:p>
    <w:p w14:paraId="103BA382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常量使用全大写加下划线</w:t>
      </w:r>
      <w:r w:rsidRPr="00B36113">
        <w:t>，如 MAX_BUFFER_SIZE。</w:t>
      </w:r>
    </w:p>
    <w:p w14:paraId="5AFC7057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严禁魔法数字和魔法字符串</w:t>
      </w:r>
      <w:r w:rsidRPr="00B36113">
        <w:t>，必须提取为常量，并加注释。</w:t>
      </w:r>
    </w:p>
    <w:p w14:paraId="216EA9B3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每个类文件顶部必须包含版权和授权信息</w:t>
      </w:r>
      <w:r w:rsidRPr="00B36113">
        <w:t>，格式统一。</w:t>
      </w:r>
    </w:p>
    <w:p w14:paraId="2D7107AD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单行最多 120 字符</w:t>
      </w:r>
      <w:r w:rsidRPr="00B36113">
        <w:t>，超出需拆分；禁止出现横向滚动条。</w:t>
      </w:r>
    </w:p>
    <w:p w14:paraId="644054E8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所有公共 API、复杂逻辑必须写 Javadoc 注释</w:t>
      </w:r>
      <w:r w:rsidRPr="00B36113">
        <w:t>，包括参数、返回值、异常。</w:t>
      </w:r>
    </w:p>
    <w:p w14:paraId="1306390D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不得在生产代码中留下 TODO、FIXME</w:t>
      </w:r>
      <w:r w:rsidRPr="00B36113">
        <w:t>，如有待办需新建 issue 并链接。</w:t>
      </w:r>
    </w:p>
    <w:p w14:paraId="70C7695B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所有 SQL 必须使用预编译语句（PreparedStatement、MyBatis 参数占位符）</w:t>
      </w:r>
      <w:r w:rsidRPr="00B36113">
        <w:t>，防止 SQL 注入。</w:t>
      </w:r>
    </w:p>
    <w:p w14:paraId="2D21CCC2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所有外部请求（数据库、RPC、HTTP）均需设置超时</w:t>
      </w:r>
      <w:r w:rsidRPr="00B36113">
        <w:t>，并适当重试或降级。</w:t>
      </w:r>
    </w:p>
    <w:p w14:paraId="04B8FC55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不得捕获 Exception 或 Throwable</w:t>
      </w:r>
      <w:r w:rsidRPr="00B36113">
        <w:t>，只能捕获特定异常并做好处理或包装后抛出。</w:t>
      </w:r>
    </w:p>
    <w:p w14:paraId="47B4F1CA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所有可复用业务逻辑需编写单元测试，代码覆盖率不低于 80%</w:t>
      </w:r>
      <w:r w:rsidRPr="00B36113">
        <w:t>。</w:t>
      </w:r>
    </w:p>
    <w:p w14:paraId="03ACB2F8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禁止使用过时（@Deprecated）或被屏蔽的 API</w:t>
      </w:r>
      <w:r w:rsidRPr="00B36113">
        <w:t>，需及时升级或替换。</w:t>
      </w:r>
    </w:p>
    <w:p w14:paraId="135A8CBE" w14:textId="77777777" w:rsidR="00B36113" w:rsidRPr="00B36113" w:rsidRDefault="00B36113" w:rsidP="00B36113">
      <w:pPr>
        <w:numPr>
          <w:ilvl w:val="0"/>
          <w:numId w:val="1"/>
        </w:numPr>
      </w:pPr>
      <w:r w:rsidRPr="00B36113">
        <w:rPr>
          <w:b/>
          <w:bCs/>
        </w:rPr>
        <w:t>代码提交前必须通过静态分析工具（Checkstyle/PMD/SpotBugs）和单元测试</w:t>
      </w:r>
      <w:r w:rsidRPr="00B36113">
        <w:t>，否则禁止合入主分支。</w:t>
      </w:r>
    </w:p>
    <w:p w14:paraId="13D614CA" w14:textId="562F2555" w:rsidR="00B36113" w:rsidRPr="00B36113" w:rsidRDefault="00B36113" w:rsidP="00B36113">
      <w:pPr>
        <w:rPr>
          <w:b/>
          <w:bCs/>
        </w:rPr>
      </w:pPr>
      <w:r w:rsidRPr="00B36113">
        <w:rPr>
          <w:b/>
          <w:bCs/>
        </w:rPr>
        <w:t>B. 推荐</w:t>
      </w:r>
    </w:p>
    <w:p w14:paraId="16E852F7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方法长度尽量控制在 50 行以内</w:t>
      </w:r>
      <w:r w:rsidRPr="00B36113">
        <w:t>，过长可拆分成私有子方法。</w:t>
      </w:r>
    </w:p>
    <w:p w14:paraId="69C38F71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避免多重嵌套（if/for/switch）超过三层</w:t>
      </w:r>
      <w:r w:rsidRPr="00B36113">
        <w:t>，可使用早返回或策略模式。</w:t>
      </w:r>
    </w:p>
    <w:p w14:paraId="0E62C75B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使用 Java 8+ 特性</w:t>
      </w:r>
      <w:r w:rsidRPr="00B36113">
        <w:t>，如 Stream、Optional，但避免过度链式调用导致可读性差。</w:t>
      </w:r>
    </w:p>
    <w:p w14:paraId="7E86B7B6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推荐使用 Lombok 简化 POJO/DTO 的 getter/setter/构造函数</w:t>
      </w:r>
      <w:r w:rsidRPr="00B36113">
        <w:t>，并开启 IDE 插件支持。</w:t>
      </w:r>
    </w:p>
    <w:p w14:paraId="1142B02A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日志使用 SLF4J 接口</w:t>
      </w:r>
      <w:r w:rsidRPr="00B36113">
        <w:t>，避免直接使用具体实现；日志级别原则：ERROR/WARN/INFO/DEBUG。</w:t>
      </w:r>
    </w:p>
    <w:p w14:paraId="466CF63A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lastRenderedPageBreak/>
        <w:t>Service 层业务方法名推荐以动词+领域对象命名</w:t>
      </w:r>
      <w:r w:rsidRPr="00B36113">
        <w:t>，如 createOrder、cancelSubscription。</w:t>
      </w:r>
    </w:p>
    <w:p w14:paraId="5D2EE709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Controller 层返回统一的响应体模型</w:t>
      </w:r>
      <w:r w:rsidRPr="00B36113">
        <w:t>，包含 code、message、data 三部分。</w:t>
      </w:r>
    </w:p>
    <w:p w14:paraId="6B62278C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配置信息（DB、MQ、API 密钥）必须通过配置中心/Register 或 environment variable 管理</w:t>
      </w:r>
      <w:r w:rsidRPr="00B36113">
        <w:t>，禁止硬编码。</w:t>
      </w:r>
    </w:p>
    <w:p w14:paraId="2F94198D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使用依赖注入（Spring @Autowired/@Qualifier）而非手动 new 对象</w:t>
      </w:r>
      <w:r w:rsidRPr="00B36113">
        <w:t>。</w:t>
      </w:r>
    </w:p>
    <w:p w14:paraId="5FA4FB15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对于跨服务调用，推荐使用异步、消息队列或熔断降级（Hystrix/Resilience4j）</w:t>
      </w:r>
      <w:r w:rsidRPr="00B36113">
        <w:t>。</w:t>
      </w:r>
    </w:p>
    <w:p w14:paraId="57412BB2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代码审查（PR）时应至少两人 Review，且 Review 人不得为代码作者本人。</w:t>
      </w:r>
    </w:p>
    <w:p w14:paraId="7A36280C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推荐使用 Git Flow 或 trunk-based flow 分支模型，并严格执行命名规范（feature/bugfix/release）。</w:t>
      </w:r>
    </w:p>
    <w:p w14:paraId="0AAB5324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新功能上线前需在测试环境通过集成测试、性能测试与安全扫描。</w:t>
      </w:r>
    </w:p>
    <w:p w14:paraId="69A14C70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推荐使用 Docker 容器化部署，且镜像体积需尽量瘦化。</w:t>
      </w:r>
    </w:p>
    <w:p w14:paraId="6BFE6603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对外接口文档推荐使用 OpenAPI/Swagger 自动生成并同步更新。</w:t>
      </w:r>
    </w:p>
    <w:p w14:paraId="199C6E90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推荐使用统一的异常码规范（例如 6 位数字），并在全局异常处理器中统一返回。</w:t>
      </w:r>
    </w:p>
    <w:p w14:paraId="214A4C54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性能敏感场景下，推荐使用 Caffeine/Redis 缓存并设置合理的过期策略。</w:t>
      </w:r>
    </w:p>
    <w:p w14:paraId="3A5EE6F7" w14:textId="77777777" w:rsidR="00B36113" w:rsidRPr="00B36113" w:rsidRDefault="00B36113" w:rsidP="00B36113">
      <w:pPr>
        <w:numPr>
          <w:ilvl w:val="0"/>
          <w:numId w:val="2"/>
        </w:numPr>
      </w:pPr>
      <w:r w:rsidRPr="00B36113">
        <w:rPr>
          <w:b/>
          <w:bCs/>
        </w:rPr>
        <w:t>推荐定期组织代码评审会议（Code Review Meeting），分享最佳实践。</w:t>
      </w:r>
    </w:p>
    <w:p w14:paraId="65CF7143" w14:textId="69B80EC2" w:rsidR="00B36113" w:rsidRPr="00B36113" w:rsidRDefault="00B36113" w:rsidP="00B36113">
      <w:pPr>
        <w:rPr>
          <w:b/>
          <w:bCs/>
        </w:rPr>
      </w:pPr>
      <w:r w:rsidRPr="00B36113">
        <w:rPr>
          <w:b/>
          <w:bCs/>
        </w:rPr>
        <w:t>C. 允许</w:t>
      </w:r>
    </w:p>
    <w:p w14:paraId="623907E1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可根据项目需要选用 Maven 或 Gradle 构建工具。</w:t>
      </w:r>
    </w:p>
    <w:p w14:paraId="40F03C33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可使用 Guava、Apache Commons 等第三方库，但需评估依赖体积及维护情况。</w:t>
      </w:r>
    </w:p>
    <w:p w14:paraId="5B4234DC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在小工具脚本中可适当使用静态导入（static import），但生产代码慎用。</w:t>
      </w:r>
    </w:p>
    <w:p w14:paraId="15F2CEF1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对于简单的枚举，可不写 Javadoc，但需保证命名清晰。</w:t>
      </w:r>
    </w:p>
    <w:p w14:paraId="1EF9A00F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测试中可使用 Mockito/PowerMock 等模拟框架。</w:t>
      </w:r>
    </w:p>
    <w:p w14:paraId="697E353D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微服务之间可使用 REST 或 gRPC，视团队技术栈和性能要求而定。</w:t>
      </w:r>
    </w:p>
    <w:p w14:paraId="29CD648A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可选用 MapStruct、Dozer 等工具进行对象映射。</w:t>
      </w:r>
    </w:p>
    <w:p w14:paraId="4796D3E1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可根据项目需求使用事务注解 @Transactional 的不同传播级别。</w:t>
      </w:r>
    </w:p>
    <w:p w14:paraId="004B3F1A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lastRenderedPageBreak/>
        <w:t>允许在非核心路径使用日志占位符 {} 方式拼接。</w:t>
      </w:r>
    </w:p>
    <w:p w14:paraId="61C06C2F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允许在开发环境开启 SQL 日志和慢查询日志，生产环境中需关闭或限流输出。</w:t>
      </w:r>
    </w:p>
    <w:p w14:paraId="2E033991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对于低风险实验性模块，可适当放宽提交前测试覆盖率要求，但必须事后补齐。</w:t>
      </w:r>
    </w:p>
    <w:p w14:paraId="4CC44684" w14:textId="77777777" w:rsidR="00B36113" w:rsidRPr="00B36113" w:rsidRDefault="00B36113" w:rsidP="00B36113">
      <w:pPr>
        <w:numPr>
          <w:ilvl w:val="0"/>
          <w:numId w:val="3"/>
        </w:numPr>
      </w:pPr>
      <w:r w:rsidRPr="00B36113">
        <w:rPr>
          <w:b/>
          <w:bCs/>
        </w:rPr>
        <w:t>允许团队内部根据项目特点补充细化本规范，但需在 Wiki/文档中心登记并公开。</w:t>
      </w:r>
    </w:p>
    <w:p w14:paraId="33A1512C" w14:textId="77777777" w:rsidR="00B622B0" w:rsidRPr="00B36113" w:rsidRDefault="00B622B0"/>
    <w:sectPr w:rsidR="00B622B0" w:rsidRPr="00B3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0081"/>
    <w:multiLevelType w:val="multilevel"/>
    <w:tmpl w:val="1D28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E11A1"/>
    <w:multiLevelType w:val="multilevel"/>
    <w:tmpl w:val="FF52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033A"/>
    <w:multiLevelType w:val="multilevel"/>
    <w:tmpl w:val="D27A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421749">
    <w:abstractNumId w:val="0"/>
  </w:num>
  <w:num w:numId="2" w16cid:durableId="1836341938">
    <w:abstractNumId w:val="2"/>
  </w:num>
  <w:num w:numId="3" w16cid:durableId="151880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B0"/>
    <w:rsid w:val="00B36113"/>
    <w:rsid w:val="00B622B0"/>
    <w:rsid w:val="00D5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4834D"/>
  <w15:chartTrackingRefBased/>
  <w15:docId w15:val="{5FC7E1FD-BCB7-4606-9594-11DC059A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2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2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2B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2B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2B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2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2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2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2B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2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22B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22B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22B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22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22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22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22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2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22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22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2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2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22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2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了 来</dc:creator>
  <cp:keywords/>
  <dc:description/>
  <cp:lastModifiedBy>了 来</cp:lastModifiedBy>
  <cp:revision>2</cp:revision>
  <dcterms:created xsi:type="dcterms:W3CDTF">2025-06-26T02:46:00Z</dcterms:created>
  <dcterms:modified xsi:type="dcterms:W3CDTF">2025-06-26T02:47:00Z</dcterms:modified>
</cp:coreProperties>
</file>